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media/image1.jpeg" ContentType="image/jpeg"/>
  <Override PartName="/word/media/image2.jpeg" ContentType="image/jpeg"/>
  <Override PartName="/word/media/image3.jpeg" ContentType="image/jpeg"/>
  <Override PartName="/word/media/image4.jpeg" ContentType="image/jpeg"/>
  <Override PartName="/word/media/image5.jpeg" ContentType="image/jpeg"/>
  <Override PartName="/word/media/image6.jpeg" ContentType="image/jpeg"/>
  <Override PartName="/word/footer1.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&#65279;<?xml version="1.0" encoding="utf-8"?><Relationships xmlns="http://schemas.openxmlformats.org/package/2006/relationships"><Relationship Type="http://schemas.openxmlformats.org/package/2006/relationships/metadata/core-properties" Target="docProps/core.xml" Id="rId1" /><Relationship Type="http://schemas.openxmlformats.org/officeDocument/2006/relationships/extended-properties" Target="docProps/app.xml" Id="rId2" /><Relationship Type="http://schemas.openxmlformats.org/officeDocument/2006/relationships/officeDocument" Target="word/document.xml" Id="rId4" /></Relationships>
</file>

<file path=word/document.xml><?xml version="1.0" encoding="utf-8"?>
<w:document xmlns:a="http://schemas.openxmlformats.org/drawingml/2006/main" xmlns:pic="http://schemas.openxmlformats.org/drawingml/2006/picture"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t>Hot. 3</w:t>
      </w:r>
    </w:p>
    <w:p>
      <w:pPr>
        <w:pStyle w:val="Normal"/>
        <w:rPr/>
      </w:pPr>
      <w:r>
        <w:rPr/>
        <w:t>Dosar nr. D1</w:t>
      </w:r>
    </w:p>
    <w:p>
      <w:pPr>
        <w:pStyle w:val="Normal"/>
        <w:jc w:val="center"/>
        <w:rPr/>
      </w:pPr>
      <w:r>
        <w:rPr/>
      </w:r>
    </w:p>
    <w:p>
      <w:pPr>
        <w:pStyle w:val="Normal"/>
        <w:jc w:val="center"/>
        <w:rPr/>
      </w:pPr>
      <w:r>
        <w:rPr/>
        <w:t>R O M Â N I A</w:t>
      </w:r>
    </w:p>
    <w:p>
      <w:pPr>
        <w:pStyle w:val="Normal"/>
        <w:jc w:val="center"/>
        <w:rPr/>
      </w:pPr>
      <w:r>
        <w:rPr/>
        <w:t>CURTEA DE APEL ...</w:t>
      </w:r>
    </w:p>
    <w:p>
      <w:pPr>
        <w:pStyle w:val="Normal"/>
        <w:jc w:val="center"/>
        <w:rPr>
          <w:lang w:val="en-US"/>
        </w:rPr>
      </w:pPr>
      <w:r>
        <w:rPr/>
        <w:t>SECŢIA ...</w:t>
      </w:r>
    </w:p>
    <w:p>
      <w:pPr>
        <w:pStyle w:val="Normal"/>
        <w:jc w:val="center"/>
        <w:rPr/>
      </w:pPr>
      <w:r>
        <w:rPr/>
        <w:t>SENTINŢA Nr. ...</w:t>
      </w:r>
    </w:p>
    <w:p>
      <w:pPr>
        <w:pStyle w:val="Normal"/>
        <w:jc w:val="center"/>
        <w:rPr/>
      </w:pPr>
      <w:r>
        <w:rPr/>
        <w:t>Şedinţa </w:t>
      </w:r>
      <w:bookmarkStart w:name="tip_sedinta" w:id="0"/>
      <w:r>
        <w:rPr/>
        <w:t>publică</w:t>
      </w:r>
      <w:bookmarkEnd w:id="0"/>
      <w:r>
        <w:rPr/>
        <w:t xml:space="preserve"> de la ... </w:t>
      </w:r>
    </w:p>
    <w:p>
      <w:pPr>
        <w:pStyle w:val="Normal"/>
        <w:jc w:val="center"/>
        <w:rPr/>
      </w:pPr>
      <w:r>
        <w:rPr/>
        <w:t>Completul compus din:</w:t>
      </w:r>
    </w:p>
    <w:p>
      <w:pPr>
        <w:pStyle w:val="Normal"/>
        <w:jc w:val="center"/>
        <w:rPr/>
      </w:pPr>
      <w:r>
        <w:rPr/>
        <w:t>PREŞEDINTE: A0006</w:t>
      </w:r>
    </w:p>
    <w:p>
      <w:pPr>
        <w:pStyle w:val="Normal"/>
        <w:jc w:val="center"/>
        <w:rPr/>
      </w:pPr>
      <w:r>
        <w:rPr/>
        <w:t>Grefier: ...</w:t>
      </w:r>
    </w:p>
    <w:p>
      <w:pPr>
        <w:pStyle w:val="Normal"/>
        <w:jc w:val="center"/>
        <w:rPr/>
      </w:pPr>
      <w:r>
        <w:rPr/>
      </w:r>
    </w:p>
    <w:p>
      <w:pPr>
        <w:pStyle w:val="Normal"/>
        <w:jc w:val="center"/>
        <w:rPr/>
      </w:pPr>
      <w:r>
        <w:rPr/>
        <w:t>x.x</w:t>
      </w:r>
    </w:p>
    <w:p>
      <w:pPr>
        <w:pStyle w:val="Normal"/>
        <w:jc w:val="center"/>
        <w:rPr/>
      </w:pPr>
      <w:r>
        <w:rPr/>
      </w:r>
    </w:p>
    <w:p>
      <w:pPr>
        <w:pStyle w:val="Normal"/>
        <w:jc w:val="both"/>
        <w:rPr/>
      </w:pPr>
      <w:r>
        <w:rPr/>
        <w:tab/>
        <w:t xml:space="preserve">Pe rol, rezultatul dezbaterilor privind acţiunea </w:t>
      </w:r>
      <w:bookmarkStart w:name="_Hlk86668303" w:id="1"/>
      <w:r>
        <w:rPr/>
        <w:t>formulată de reclamanta SC A1 COM SRL-PRIN LICHIDATOR JUDICIAR B1 împotriva pârâtelor DIRECŢIA GENERALĂ REGIONALĂ A FINANŢELOR PUBLICE ...-ADMINISTRAŢIA JUDEŢEANĂ A FINANŢELOR PUBLICE ... şi ANAF-DIRECŢIA GENERALĂ DE SOLUŢIONARE A CONTESTAŢIILOR, având ca obiect contestaţie act administrativ fiscal.</w:t>
      </w:r>
      <w:bookmarkEnd w:id="1"/>
    </w:p>
    <w:p>
      <w:pPr>
        <w:pStyle w:val="Normal"/>
        <w:jc w:val="both"/>
        <w:rPr/>
      </w:pPr>
      <w:r>
        <w:rPr/>
        <w:tab/>
        <w:t>Mersul dezbaterilor şi concluziile părţilor au fost consemnate în încheierea de şedinţă din data de ..., încheiere care face parte integrantă din prezenta sentinţă şi când instanţa a amânat pronunţarea iniţial la datele de ..., ..., 1..., ... şi ulterior la această dată.</w:t>
      </w:r>
    </w:p>
    <w:p>
      <w:pPr>
        <w:pStyle w:val="Normal"/>
        <w:jc w:val="both"/>
        <w:rPr/>
      </w:pPr>
      <w:r>
        <w:rPr/>
      </w:r>
    </w:p>
    <w:p>
      <w:pPr>
        <w:pStyle w:val="Normal"/>
        <w:jc w:val="center"/>
        <w:rPr/>
      </w:pPr>
      <w:r>
        <w:rPr/>
        <w:t>C U R T E A:</w:t>
      </w:r>
    </w:p>
    <w:p>
      <w:pPr>
        <w:pStyle w:val="Normal"/>
        <w:jc w:val="center"/>
        <w:rPr/>
      </w:pPr>
      <w:r>
        <w:rPr/>
      </w:r>
    </w:p>
    <w:p>
      <w:pPr>
        <w:pStyle w:val="Normal"/>
        <w:jc w:val="both"/>
        <w:rPr/>
      </w:pPr>
      <w:r>
        <w:rPr/>
        <w:tab/>
        <w:t>Asupra acţiunii de faţă;</w:t>
      </w:r>
    </w:p>
    <w:p>
      <w:pPr>
        <w:pStyle w:val="Frspaiere1"/>
        <w:ind w:firstLine="720"/>
        <w:jc w:val="both"/>
        <w:rPr>
          <w:color w:val="auto"/>
          <w:sz w:val="24"/>
        </w:rPr>
      </w:pPr>
      <w:r>
        <w:rPr>
          <w:rStyle w:val="Fontdeparagrafimplicit1"/>
          <w:color w:val="auto"/>
          <w:sz w:val="24"/>
        </w:rPr>
        <w:t>Prin acţiunea formulată la această instanţă, reclamanta SC A1 COM SRL, societate în faliment, prin lichidator judiciar B1, în temeiul art. 15 din Legea nr. 554/2004 și art.281 alin.2 din Legea 207/2015, în contradictoriu cu ANAF- Direcția Generală de Administrare a Marilor Contribuabili-Serviciul Solutionare Contestații şi Direcția Generală Regională a Finanțelor PUBLICE ...-Administrația Județeană a Finanțelor PUBLICE ..., a solicitat:</w:t>
      </w:r>
    </w:p>
    <w:p>
      <w:pPr>
        <w:pStyle w:val="Frspaiere1"/>
        <w:ind w:firstLine="720"/>
        <w:jc w:val="both"/>
        <w:rPr>
          <w:color w:val="auto"/>
          <w:sz w:val="24"/>
        </w:rPr>
      </w:pPr>
      <w:r>
        <w:rPr>
          <w:rStyle w:val="Fontdeparagrafimplicit1"/>
          <w:color w:val="auto"/>
          <w:sz w:val="24"/>
        </w:rPr>
        <w:t xml:space="preserve">-în temeiul art.1, art.2 și art.8 din Legea nr.554/2004 a contenciosului administrativ actualizată: anularea actului administrativ denumit Decizie nr. .../17.07.2020, emisă de ANAF-Direcția Generală de Soluționare a Contestațiilor în soluționarea procedurii prealabile și a actelor subsecvente ce au stat Ia baza emiterii deciziei: Decizia de impunere nr. ...  ...0/14.12.2015 emisă în baza Raportului de Inspecție Fiscali nr. ... ...9/14.12.2015întocmite de organele de inspecție fiscală din cadrul Administrației Județene a Finanțelor PUBLICE ... prin care s-au stabilit diferențe suplimentare de plată pentru WA în sumă de 8.529.912 lei reprezentând : </w:t>
      </w:r>
    </w:p>
    <w:p>
      <w:pPr>
        <w:pStyle w:val="Frspaiere1"/>
        <w:ind w:firstLine="720"/>
        <w:jc w:val="both"/>
        <w:rPr>
          <w:color w:val="auto"/>
          <w:sz w:val="24"/>
        </w:rPr>
      </w:pPr>
      <w:r>
        <w:rPr>
          <w:rStyle w:val="Fontdeparagrafimplicit1"/>
          <w:color w:val="auto"/>
          <w:sz w:val="24"/>
        </w:rPr>
        <w:t>- 5.007.823 lei TVA;</w:t>
      </w:r>
    </w:p>
    <w:p>
      <w:pPr>
        <w:pStyle w:val="Frspaiere1"/>
        <w:ind w:firstLine="720"/>
        <w:jc w:val="both"/>
        <w:rPr>
          <w:color w:val="auto"/>
          <w:sz w:val="24"/>
        </w:rPr>
      </w:pPr>
      <w:r>
        <w:rPr>
          <w:rStyle w:val="Fontdeparagrafimplicit1"/>
          <w:color w:val="auto"/>
          <w:sz w:val="24"/>
        </w:rPr>
        <w:t>-2.770.916 lei accesorii aferente TVA (dobânzi); -751.173 lei penalități de întârziere.</w:t>
      </w:r>
    </w:p>
    <w:p>
      <w:pPr>
        <w:pStyle w:val="Frspaiere1"/>
        <w:ind w:firstLine="720"/>
        <w:jc w:val="both"/>
        <w:rPr>
          <w:color w:val="auto"/>
          <w:sz w:val="24"/>
        </w:rPr>
      </w:pPr>
      <w:r>
        <w:rPr>
          <w:rStyle w:val="Fontdeparagrafimplicit1"/>
          <w:color w:val="auto"/>
          <w:sz w:val="24"/>
        </w:rPr>
        <w:t>Decizia este netemeinică, nefondată din următoarele considerente:</w:t>
      </w:r>
    </w:p>
    <w:p>
      <w:pPr>
        <w:pStyle w:val="Frspaiere1"/>
        <w:ind w:firstLine="720"/>
        <w:jc w:val="both"/>
        <w:rPr>
          <w:color w:val="auto"/>
          <w:sz w:val="24"/>
        </w:rPr>
      </w:pPr>
      <w:r>
        <w:rPr>
          <w:rStyle w:val="Fontdeparagrafimplicit1"/>
          <w:color w:val="auto"/>
          <w:sz w:val="24"/>
        </w:rPr>
        <w:t>MOTIVE:</w:t>
      </w:r>
    </w:p>
    <w:p>
      <w:pPr>
        <w:pStyle w:val="Frspaiere1"/>
        <w:ind w:firstLine="720"/>
        <w:jc w:val="both"/>
        <w:rPr>
          <w:color w:val="auto"/>
          <w:sz w:val="24"/>
        </w:rPr>
      </w:pPr>
      <w:r>
        <w:rPr>
          <w:rStyle w:val="Fontdeparagrafimplicit1"/>
          <w:color w:val="auto"/>
          <w:sz w:val="24"/>
        </w:rPr>
        <w:t>A)-Succinta prezentare a situației in fapt:</w:t>
      </w:r>
    </w:p>
    <w:p>
      <w:pPr>
        <w:pStyle w:val="Frspaiere1"/>
        <w:ind w:firstLine="720"/>
        <w:jc w:val="both"/>
        <w:rPr>
          <w:color w:val="auto"/>
          <w:sz w:val="24"/>
        </w:rPr>
      </w:pPr>
      <w:r>
        <w:rPr>
          <w:rStyle w:val="Fontdeparagrafimplicit1"/>
          <w:color w:val="auto"/>
          <w:sz w:val="24"/>
        </w:rPr>
        <w:t>În fapt, prin Decizia nr. .../18.02.2016, s-a dispus suspendarea soluționării contestației formulată împotriva Decizia de impunere nr.  ...  ...0/14.12.2015, emisă in baza Raportului de inspecție fiscală nr. ... ...9/14.12.2015, întocmite de organele de  inspecție fiscală din cadrul Administrației Județene a Finanțelor PUBLICE ..., privind obligațiile fiscale suplimentare stabilite de inspecția fiscală pentru persoane juridice.</w:t>
      </w:r>
    </w:p>
    <w:p>
      <w:pPr>
        <w:pStyle w:val="Frspaiere1"/>
        <w:ind w:firstLine="720"/>
        <w:jc w:val="both"/>
        <w:rPr>
          <w:color w:val="auto"/>
          <w:sz w:val="24"/>
        </w:rPr>
      </w:pPr>
      <w:r>
        <w:rPr>
          <w:rStyle w:val="Fontdeparagrafimplicit1"/>
          <w:color w:val="auto"/>
          <w:sz w:val="24"/>
        </w:rPr>
        <w:t>Împotriva acestei decizii a formulat contestație care a fost admisa de instanța de recurs -Înalta Cute de Casație si Justiție, fiind definitiva prin Decizia nr.... a Înaltei Curți de Casație si Justiție , prin care intimata a fost obligata la soluționarea pe fond a contestației.</w:t>
      </w:r>
    </w:p>
    <w:p>
      <w:pPr>
        <w:pStyle w:val="Frspaiere1"/>
        <w:ind w:firstLine="720"/>
        <w:jc w:val="both"/>
        <w:rPr>
          <w:color w:val="auto"/>
          <w:sz w:val="24"/>
        </w:rPr>
      </w:pPr>
      <w:r>
        <w:rPr>
          <w:rStyle w:val="Fontdeparagrafimplicit1"/>
          <w:color w:val="auto"/>
          <w:sz w:val="24"/>
        </w:rPr>
        <w:t>Prin Decizia  .../17.07.2020 a fost soluționată pe fond contestația si s-a dispus respingerea ca neîntemeiată a contestației formulate împotriva Decizia de impunere nr. ...  ...0/14.12.2015 emisă în baza Raportului de Inspecție Fiscală nr. ...  ...9/14.12.2015.</w:t>
      </w:r>
    </w:p>
    <w:p>
      <w:pPr>
        <w:pStyle w:val="Frspaiere1"/>
        <w:ind w:firstLine="720"/>
        <w:jc w:val="both"/>
        <w:rPr>
          <w:color w:val="auto"/>
          <w:sz w:val="24"/>
        </w:rPr>
      </w:pPr>
      <w:r>
        <w:rPr>
          <w:rStyle w:val="Fontdeparagrafimplicit1"/>
          <w:color w:val="auto"/>
          <w:sz w:val="24"/>
        </w:rPr>
        <w:t>Deși controlul viza perioada 2011-2015, echipa de control a făcut referire numai la perioada 2011, începutul 2012.</w:t>
      </w:r>
    </w:p>
    <w:p>
      <w:pPr>
        <w:pStyle w:val="Frspaiere1"/>
        <w:ind w:firstLine="720"/>
        <w:jc w:val="both"/>
        <w:rPr>
          <w:color w:val="auto"/>
          <w:sz w:val="24"/>
        </w:rPr>
      </w:pPr>
      <w:r>
        <w:rPr>
          <w:rStyle w:val="Fontdeparagrafimplicit1"/>
          <w:color w:val="auto"/>
          <w:sz w:val="24"/>
        </w:rPr>
        <w:t>Constatările echipei de control nu corespund stării de fapt fiscale reale, încălcând toate prevederile legale, atât naționale cât și europene precum si hotărâri judecătorești definitive cu efect pozitiv al puterii de lucru judecat ale subscrisei si ale paratei.</w:t>
      </w:r>
    </w:p>
    <w:p>
      <w:pPr>
        <w:pStyle w:val="Frspaiere1"/>
        <w:ind w:firstLine="720"/>
        <w:jc w:val="both"/>
        <w:rPr>
          <w:color w:val="auto"/>
          <w:sz w:val="24"/>
        </w:rPr>
      </w:pPr>
      <w:r>
        <w:rPr>
          <w:rStyle w:val="Fontdeparagrafimplicit1"/>
          <w:color w:val="auto"/>
          <w:sz w:val="24"/>
        </w:rPr>
        <w:t>-Raportul de Inspecție Fiscală a fost încheiat, atât cu încălcarea procedurilor legale privind efectuarea inspecției fiscale, cât și cu nerespectarea și neaplicarea legii și a hotărârilor judecătorești definitive și irevocabile, a directivelor europene și a jurisprudenței Curții de Justiție a Uniunii Europene, din următoarele considerente:</w:t>
      </w:r>
    </w:p>
    <w:p>
      <w:pPr>
        <w:pStyle w:val="Frspaiere1"/>
        <w:ind w:firstLine="720"/>
        <w:jc w:val="both"/>
        <w:rPr>
          <w:color w:val="auto"/>
          <w:sz w:val="24"/>
        </w:rPr>
      </w:pPr>
      <w:r>
        <w:rPr>
          <w:rStyle w:val="Fontdeparagrafimplicit1"/>
          <w:color w:val="auto"/>
          <w:sz w:val="24"/>
        </w:rPr>
        <w:t>-Prin Decizia de impunere s-a stabilit suplimentar la plată TVA în sumă de 8.529.912 lei, întrucât parata a apreciat că achizițiile subscrisei nu ar fi reale, deși există hotărâri judecătorești rămase definitive in contencios administrativ, care au stabilit realitatea si legalitatea tranzacțiilor efectuate, respectiv Sentința nr.SC2 pronunțată de Tribunalul... în Dosar nr.D2, rămasă definitivă prin Decizia Curții de Apel ... nr.DC2.</w:t>
      </w:r>
    </w:p>
    <w:p>
      <w:pPr>
        <w:pStyle w:val="Frspaiere1"/>
        <w:ind w:firstLine="720"/>
        <w:jc w:val="both"/>
        <w:rPr>
          <w:color w:val="auto"/>
          <w:sz w:val="24"/>
        </w:rPr>
      </w:pPr>
      <w:r>
        <w:rPr>
          <w:rStyle w:val="Fontdeparagrafimplicit1"/>
          <w:color w:val="auto"/>
          <w:sz w:val="24"/>
        </w:rPr>
        <w:t>-În pofida faptului că avea facturi ce îndeplinesc calitatea de document justificativ de la toate societățile de la care am achiziționat marfă, organul fiscal a considerat în mod greșit că, deși aceste facturi erau înregistrate în contabilitatea furnizorului cât si în contabilitatea  acestea nu ar avea calitatea de document justificativ și prin urmare nu se face dovada efectuării operațiunii sau intrării în gestiune, deoarece acești furnizori au avut nereguli în contabilitate cu privire la achizițiile și furnizorii lor, furnizori cu care subscrisa nu a avut nici direct nici indirect vreo legătură de natură comercială.</w:t>
      </w:r>
    </w:p>
    <w:p>
      <w:pPr>
        <w:pStyle w:val="Frspaiere1"/>
        <w:ind w:firstLine="720"/>
        <w:jc w:val="both"/>
        <w:rPr>
          <w:color w:val="auto"/>
          <w:sz w:val="24"/>
        </w:rPr>
      </w:pPr>
      <w:r>
        <w:rPr>
          <w:rStyle w:val="Fontdeparagrafimplicit1"/>
          <w:color w:val="auto"/>
          <w:sz w:val="24"/>
        </w:rPr>
        <w:t xml:space="preserve">În prezent se află în procedura falimentului. </w:t>
      </w:r>
    </w:p>
    <w:p>
      <w:pPr>
        <w:pStyle w:val="Frspaiere1"/>
        <w:ind w:firstLine="720"/>
        <w:jc w:val="both"/>
        <w:rPr>
          <w:color w:val="auto"/>
          <w:sz w:val="24"/>
        </w:rPr>
      </w:pPr>
      <w:r>
        <w:rPr>
          <w:rStyle w:val="Fontdeparagrafimplicit1"/>
          <w:color w:val="auto"/>
          <w:sz w:val="24"/>
        </w:rPr>
        <w:t>B)EXCEPTII:</w:t>
      </w:r>
    </w:p>
    <w:p>
      <w:pPr>
        <w:pStyle w:val="Frspaiere1"/>
        <w:ind w:firstLine="720"/>
        <w:jc w:val="both"/>
        <w:rPr>
          <w:color w:val="auto"/>
          <w:sz w:val="24"/>
        </w:rPr>
      </w:pPr>
      <w:r>
        <w:rPr>
          <w:rStyle w:val="Fontdeparagrafimplicit1"/>
          <w:color w:val="auto"/>
          <w:sz w:val="24"/>
        </w:rPr>
        <w:t>l)-Invocă excepţia efectului pozitiv al puterii de lucru judecat pentru perioada fiscala a anului 2011 principiul securității si certitudinii juridice si principiul aplicării unitare a fiscale pentru perioada verificată, având in vedere si disp.art.5 alin.1 din OG 92/2003, prin nerespectarea hotărârilor judecătorești invocate cu efect pozitiv al puterii de lucru judecat:</w:t>
      </w:r>
    </w:p>
    <w:p>
      <w:pPr>
        <w:pStyle w:val="Frspaiere1"/>
        <w:ind w:firstLine="720"/>
        <w:jc w:val="both"/>
        <w:rPr>
          <w:color w:val="auto"/>
          <w:sz w:val="24"/>
        </w:rPr>
      </w:pPr>
      <w:r>
        <w:rPr>
          <w:rStyle w:val="Fontdeparagrafimplicit1"/>
          <w:color w:val="auto"/>
          <w:sz w:val="24"/>
        </w:rPr>
        <w:t>Dezlegarea în această problemă privind legalitatea documentelor financiar contabile si dreptul de deducere pentru anul 2011 (perioada fiscala de unde provine suma contestata, întrucât din anul 2012 facturile au fost fără TVA, deci taxare inversa), de la furnizorii menționați in actele de control, a format obiectul analizei Tribunalului..., care prin - Sentința nr.SC2 pronunțată de Tribunalului... în Dosar nr.D2, rămasă definitivă și irevocabilă prin Decizia nr.DC2 a Curții de Apel ..., a admis acțiunile DGFP... (actuala AJFP...) in calitate de reclamant în contradictoriu cu Curtea de Conturi a României iar subscrisa am avut calitatea de intervenient accesoriu in susținerea DGRFP ... si a constatat legalitatea operațiunilor economice si ale A1 COM precum si dreptul de deducere.</w:t>
      </w:r>
    </w:p>
    <w:p>
      <w:pPr>
        <w:pStyle w:val="Frspaiere1"/>
        <w:ind w:firstLine="720"/>
        <w:jc w:val="both"/>
        <w:rPr>
          <w:color w:val="auto"/>
          <w:sz w:val="24"/>
        </w:rPr>
      </w:pPr>
      <w:r>
        <w:rPr>
          <w:rStyle w:val="Fontdeparagrafimplicit1"/>
          <w:color w:val="auto"/>
          <w:sz w:val="24"/>
        </w:rPr>
        <w:t>Întrucât perioada fiscala 2011 a făcut obiectul cercetării judecătorești privind realitatea si legalitatea tranzacțiilor si dreptul de deducere, actele contestate sunt vădit nelegale si netemeinice deoarece suma contestata este aferenta anului fiscal 2011.</w:t>
      </w:r>
    </w:p>
    <w:p>
      <w:pPr>
        <w:pStyle w:val="Frspaiere1"/>
        <w:ind w:firstLine="720"/>
        <w:jc w:val="both"/>
        <w:rPr>
          <w:color w:val="auto"/>
          <w:sz w:val="24"/>
        </w:rPr>
      </w:pPr>
      <w:r>
        <w:rPr>
          <w:rStyle w:val="Fontdeparagrafimplicit1"/>
          <w:color w:val="auto"/>
          <w:sz w:val="24"/>
        </w:rPr>
        <w:t>Aceste hotărâri judecătorești definitive și irevocabile impun obligativitatea respectării considerentelor reținute de către instanță, privind tranșarea unor probleme juridice ce au incidentă si în controlul efectuat de DGRFP-... AJFP..., întrucât au fost analizate aceleași achiziții/livrări ale SC A1 COM SRL, pentru anul 2011, perioada supusă controlului, cu aceiași furnizori la care se face referire în actul de control si pentru care instanțele au statuat realitatea si legalitatea tranzacțiilor efectuate si dreptul de deducere .</w:t>
      </w:r>
    </w:p>
    <w:p>
      <w:pPr>
        <w:pStyle w:val="Frspaiere1"/>
        <w:ind w:firstLine="720"/>
        <w:jc w:val="both"/>
        <w:rPr>
          <w:color w:val="auto"/>
          <w:sz w:val="24"/>
        </w:rPr>
      </w:pPr>
      <w:r>
        <w:rPr>
          <w:rStyle w:val="Fontdeparagrafimplicit1"/>
          <w:color w:val="auto"/>
          <w:sz w:val="24"/>
        </w:rPr>
        <w:t>-În expertiza fiscala judiciară chiar a organului fiscal, precum și a SC A1 COM SRL, validată de instanța de judecată, expertul fiscal al DGRFP ...-AJFP... numit de către instanță și alți 4 experți asistenți au concluzionat:</w:t>
      </w:r>
    </w:p>
    <w:p>
      <w:pPr>
        <w:pStyle w:val="Frspaiere1"/>
        <w:ind w:firstLine="720"/>
        <w:jc w:val="both"/>
        <w:rPr>
          <w:color w:val="auto"/>
          <w:sz w:val="24"/>
        </w:rPr>
      </w:pPr>
      <w:r>
        <w:rPr>
          <w:rStyle w:val="Fontdeparagrafimplicit1"/>
          <w:color w:val="auto"/>
          <w:sz w:val="24"/>
        </w:rPr>
        <w:t>De asemenea dreptul de deducere al TVA aferentă unor bunuri sau servicii contractate de beneficiar nu este afectat de eventualul comportament fiscal inadecvat al furnizorilor, sau a altor agenți economici care au făcut parte din circuitul economic al livrărilor/achizițiilor. " (fila 7 expertiză)</w:t>
      </w:r>
    </w:p>
    <w:p>
      <w:pPr>
        <w:pStyle w:val="Frspaiere1"/>
        <w:ind w:firstLine="720"/>
        <w:jc w:val="both"/>
        <w:rPr>
          <w:color w:val="auto"/>
          <w:sz w:val="24"/>
        </w:rPr>
      </w:pPr>
      <w:r>
        <w:rPr>
          <w:rStyle w:val="Fontdeparagrafimplicit1"/>
          <w:color w:val="auto"/>
          <w:sz w:val="24"/>
        </w:rPr>
        <w:t>-Chiar parata DGRFP ... a depus la dosar înscrisuri în ceea ce privește dreptul de deducere, realitatea si legalitatea tranzacțiilor, ale căror mențiuni au fost reținute de către instanțele de judecată în considerentele hotărârilor:</w:t>
      </w:r>
    </w:p>
    <w:p>
      <w:pPr>
        <w:pStyle w:val="Frspaiere1"/>
        <w:ind w:firstLine="720"/>
        <w:jc w:val="both"/>
        <w:rPr>
          <w:color w:val="auto"/>
          <w:sz w:val="24"/>
        </w:rPr>
      </w:pPr>
      <w:r>
        <w:rPr>
          <w:rStyle w:val="Fontdeparagrafimplicit1"/>
          <w:color w:val="auto"/>
          <w:sz w:val="24"/>
        </w:rPr>
        <w:t>”</w:t>
      </w:r>
      <w:r>
        <w:rPr>
          <w:rStyle w:val="Fontdeparagrafimplicit1"/>
          <w:color w:val="auto"/>
          <w:sz w:val="24"/>
        </w:rPr>
        <w:t xml:space="preserve">realitatea unor tranzacții ...a rezultat că aceștia au achitat TVA datorată furnizorilor </w:t>
      </w:r>
      <w:r>
        <w:rPr/>
        <w:drawing>
          <wp:inline distT="0" distB="0" distL="0" distR="0">
            <wp:extent cx="19050" cy="28575"/>
            <wp:effectExtent l="0" t="0" r="0" b="0"/>
            <wp:docPr id="1"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
                    <pic:cNvPicPr>
                      <a:picLocks noChangeAspect="1" noChangeArrowheads="1"/>
                    </pic:cNvPicPr>
                  </pic:nvPicPr>
                  <pic:blipFill>
                    <a:blip r:embed="rId2"/>
                    <a:stretch>
                      <a:fillRect/>
                    </a:stretch>
                  </pic:blipFill>
                  <pic:spPr bwMode="auto">
                    <a:xfrm>
                      <a:off x="0" y="0"/>
                      <a:ext cx="19050" cy="28575"/>
                    </a:xfrm>
                    <a:prstGeom prst="rect">
                      <a:avLst/>
                    </a:prstGeom>
                  </pic:spPr>
                </pic:pic>
              </a:graphicData>
            </a:graphic>
          </wp:inline>
        </w:drawing>
      </w:r>
      <w:r>
        <w:rPr>
          <w:rStyle w:val="Fontdeparagrafimplicit1"/>
          <w:color w:val="auto"/>
          <w:sz w:val="24"/>
        </w:rPr>
        <w:t>situație în care nu pot fi ținuți în solidar pentru o eventuală neplată a acestei taxe de către agenții economici furnizori din alte județe. S-a mai constatat că lingourile de aluminiu aprovizionate de către agenții economici din județul... fie au fost comercializate ca atare, fie au fost introduse în procesul de reprelucrare, în vederea obținerii unui nou standard de marcă de fabricație și apoi vândute, în ambele situații fiind înregistrate venituri și colectându-se taxa pe valoare adăugată. Chiar dacă ar fi existat anumite nereguli cu privire la întocmirea facturilor fiscale de aprovizionare având certitudinea că mărfurile lingourile de aluminiu au circulat, că în urma vânzărilor s-au înregistrat venituri și s-a colectat TVA, astfel că nu agenții economici din județul... se fac răspunzători de aceste nereguli. (Sentința nr.SC2, fila 15)</w:t>
      </w:r>
    </w:p>
    <w:p>
      <w:pPr>
        <w:pStyle w:val="Frspaiere1"/>
        <w:ind w:firstLine="720"/>
        <w:jc w:val="both"/>
        <w:rPr>
          <w:color w:val="auto"/>
          <w:sz w:val="24"/>
        </w:rPr>
      </w:pPr>
      <w:r>
        <w:rPr>
          <w:rStyle w:val="Fontdeparagrafimplicit1"/>
          <w:color w:val="auto"/>
          <w:sz w:val="24"/>
        </w:rPr>
        <w:t>-</w:t>
      </w:r>
      <w:bookmarkStart w:name="_Hlk84924777" w:id="2"/>
      <w:r>
        <w:rPr>
          <w:rStyle w:val="Fontdeparagrafimplicit1"/>
          <w:color w:val="auto"/>
          <w:sz w:val="24"/>
        </w:rPr>
        <w:t>Obligația organului fiscal de a respecta hotărâri judecătorești este prevăzută si de disp.art.6 alin.l din Legea 207/2015.</w:t>
      </w:r>
      <w:bookmarkEnd w:id="2"/>
    </w:p>
    <w:p>
      <w:pPr>
        <w:pStyle w:val="Frspaiere1"/>
        <w:ind w:firstLine="720"/>
        <w:jc w:val="both"/>
        <w:rPr>
          <w:color w:val="auto"/>
          <w:sz w:val="24"/>
        </w:rPr>
      </w:pPr>
      <w:r>
        <w:rPr>
          <w:rStyle w:val="Fontdeparagrafimplicit1"/>
          <w:color w:val="auto"/>
          <w:sz w:val="24"/>
        </w:rPr>
        <w:t>ART. 6 Exercitarea dreptului de apreciere(l) ”....în exercitarea dreptului său de apreciere, organul fiscal trebuie să ia în considerare opinia emisă în scris de organul fiscal competent respectivului contribuabil/plătitor în cadru/ activității de asistentă si îndrumare a contribuabililor plătitori/or, precum si soluția adoptată de organul fiscal în cadrul unui act administrativ fiscal sau de instanța judecătorească, printr-o hotărâre definitivă, emisă anterior, pentru situații de fapt similare la același contribuabil/plătitor, în situația în care organul fiscal constată că există diferențe între starea de fapt fiscală a contribuabilului/plătitorului și informațiile avute în vedere la emiterea unei opinii scrise sau a unui act administrativ fiscal la același contribuabil/plătitor, organul fiscal are dreptul să consemneze constatările în conformitate cu situația fiscală reală și cu legislația fiscală și are obligația să menționeze în scris motivele pentru care nu ia în considerare opinia prealabilă. (Lege 20712015)</w:t>
      </w:r>
    </w:p>
    <w:p>
      <w:pPr>
        <w:pStyle w:val="Frspaiere1"/>
        <w:ind w:firstLine="720"/>
        <w:jc w:val="both"/>
        <w:rPr>
          <w:color w:val="auto"/>
          <w:sz w:val="24"/>
        </w:rPr>
      </w:pPr>
      <w:r>
        <w:rPr>
          <w:rStyle w:val="Fontdeparagrafimplicit1"/>
          <w:color w:val="auto"/>
          <w:sz w:val="24"/>
        </w:rPr>
        <w:t>-Si Curtea Europeană a Drepturilor Omului a exprimat in mod constant principiul conform căruia executarea unei hotărâri judecătorești este garanția unui proces echitabil și că punerea în executare a unei obligații ce incumbă statului sau agenților săi trebuie să se facă din oficiu.</w:t>
      </w:r>
    </w:p>
    <w:p>
      <w:pPr>
        <w:pStyle w:val="Frspaiere1"/>
        <w:ind w:firstLine="720"/>
        <w:jc w:val="both"/>
        <w:rPr>
          <w:color w:val="auto"/>
          <w:sz w:val="24"/>
        </w:rPr>
      </w:pPr>
      <w:r>
        <w:rPr>
          <w:rStyle w:val="Fontdeparagrafimplicit1"/>
          <w:color w:val="auto"/>
          <w:sz w:val="24"/>
        </w:rPr>
        <w:t>Curtea reamintește părților că executarea unei sentințe sau a unei decizii, indiferent de instanța care a pronunțat-o trebuie considerată ca făcând parte integrantă din "proces” in sensul art. 6 al. 1 din Convenție,</w:t>
      </w:r>
    </w:p>
    <w:p>
      <w:pPr>
        <w:pStyle w:val="Frspaiere1"/>
        <w:ind w:firstLine="720"/>
        <w:jc w:val="both"/>
        <w:rPr>
          <w:color w:val="auto"/>
          <w:sz w:val="24"/>
        </w:rPr>
      </w:pPr>
      <w:r>
        <w:rPr>
          <w:rStyle w:val="Fontdeparagrafimplicit1"/>
          <w:color w:val="auto"/>
          <w:sz w:val="24"/>
        </w:rPr>
        <w:t xml:space="preserve">Dreptul de acces la justiție ar fi iluzoriu dacă ordinea juridică internă a unui stat contractant ar permite ca o hotărâre definitivă și obligatorie să rămână fără efect în detrimentul unei </w:t>
      </w:r>
    </w:p>
    <w:p>
      <w:pPr>
        <w:pStyle w:val="Frspaiere1"/>
        <w:ind w:firstLine="720"/>
        <w:jc w:val="both"/>
        <w:rPr>
          <w:color w:val="auto"/>
          <w:sz w:val="24"/>
        </w:rPr>
      </w:pPr>
      <w:r>
        <w:rPr>
          <w:rStyle w:val="Fontdeparagrafimplicit1"/>
          <w:color w:val="auto"/>
          <w:sz w:val="24"/>
        </w:rPr>
        <w:t>Ori, administraţia constituie un element al statului de drept, interesul său fiind identic ca cel al unei bune administrări a justiției, pe cale de consecinţă dacă administrația refuză sau omite să execute hotărâre judecătorească, sau întârzie în executarea acesteia, garanțiile art.6 de care a beneficiat justițiabilul în fața instanțelor judecătoresti îsi pierd orice rațiune de a fi. (Sandor C. României hot. din data de 24 martie 2005).</w:t>
      </w:r>
    </w:p>
    <w:p>
      <w:pPr>
        <w:pStyle w:val="Frspaiere1"/>
        <w:ind w:firstLine="720"/>
        <w:jc w:val="both"/>
        <w:rPr>
          <w:color w:val="auto"/>
          <w:sz w:val="24"/>
        </w:rPr>
      </w:pPr>
      <w:r>
        <w:rPr>
          <w:rStyle w:val="Fontdeparagrafimplicit1"/>
          <w:color w:val="auto"/>
          <w:sz w:val="24"/>
        </w:rPr>
        <w:t>-De asemenea, în Hotărârea Hornsby c. Greciei din 19.03.1997, Curtea Europeană a Drepturilor Omului a decis in sensul ca „protecția efectivă a justițiabilului și restabilirea legalității implici obligația administrației de a se plia unei sentințe sau hotărâri pronunțate de o asemenea instanță", iar „dacă administrația refuză sau omite să execute sau întârzie să o facă, garanțiile articolului 6 de care a beneficiat justițiabilul, în cursul fazei judiciare a procedurii, și-ar pierde rațiunea de a fi".</w:t>
      </w:r>
    </w:p>
    <w:p>
      <w:pPr>
        <w:pStyle w:val="Frspaiere1"/>
        <w:ind w:firstLine="720"/>
        <w:jc w:val="both"/>
        <w:rPr>
          <w:color w:val="auto"/>
          <w:sz w:val="24"/>
        </w:rPr>
      </w:pPr>
      <w:r>
        <w:rPr>
          <w:rStyle w:val="Fontdeparagrafimplicit1"/>
          <w:color w:val="auto"/>
          <w:sz w:val="24"/>
        </w:rPr>
        <w:t>-Curtea Constituțională a statuat ca puterea de lucru judecat nu este limitată la dispozitivul hotărârii, ci ea se întinde și asupra considerentelor hotărârii, care constituie susținerea necesară a dispozitivului, făcând corp comun cu acesta.</w:t>
      </w:r>
    </w:p>
    <w:p>
      <w:pPr>
        <w:pStyle w:val="Frspaiere1"/>
        <w:ind w:firstLine="720"/>
        <w:jc w:val="both"/>
        <w:rPr>
          <w:color w:val="auto"/>
          <w:sz w:val="24"/>
        </w:rPr>
      </w:pPr>
      <w:r>
        <w:rPr>
          <w:rStyle w:val="Fontdeparagrafimplicit1"/>
          <w:color w:val="auto"/>
          <w:sz w:val="24"/>
        </w:rPr>
        <w:t>Hotărârea Curții Constituționale a statuat prin Decizia Plenului Curții Constituționale nr.l/1995 că puterea de lucru judecat se atașează nu numai dispozitivului, ci si considerentelor pe care se sprijini acesta.</w:t>
      </w:r>
    </w:p>
    <w:p>
      <w:pPr>
        <w:pStyle w:val="Frspaiere1"/>
        <w:ind w:firstLine="720"/>
        <w:jc w:val="both"/>
        <w:rPr>
          <w:color w:val="auto"/>
          <w:sz w:val="24"/>
        </w:rPr>
      </w:pPr>
      <w:r>
        <w:rPr>
          <w:rStyle w:val="Fontdeparagrafimplicit1"/>
          <w:color w:val="auto"/>
          <w:sz w:val="24"/>
        </w:rPr>
        <w:t>-Concordant cu acestea, Înalta Curte a statuat printr-o speță similar a statuat:</w:t>
      </w:r>
    </w:p>
    <w:p>
      <w:pPr>
        <w:pStyle w:val="Frspaiere1"/>
        <w:ind w:firstLine="720"/>
        <w:jc w:val="both"/>
        <w:rPr>
          <w:color w:val="auto"/>
          <w:sz w:val="24"/>
        </w:rPr>
      </w:pPr>
      <w:r>
        <w:rPr>
          <w:rStyle w:val="Fontdeparagrafimplicit1"/>
          <w:color w:val="auto"/>
          <w:sz w:val="24"/>
        </w:rPr>
        <w:t>Dacă în manifestarea sa de excepție procesuală (care corespunde unui efect negativ, extinctiv, de natură să oprească a doua judecată), autoritatea de lucru judecat presupune tripla identitate de elemente prevăzută de art. 1201 C.civ., de părți, obiect și cauză (care într-adevăr, în speță nu se regăsește), nu tot astfel se întâmplă atunci când acest efect al hotărârii se manifestă pozitiv, demonstrând modalitatea în care au fost dezlegate anterior anumite aspecte litigioase în raporturile dintre părți fără posibilitatea de a mai fi contrazis, el impunându-se într-un al doilea proces care are legătură cu chestiunea litigioasă dezlegată anterior, din nevoia de ordine și stabilitate juridică.</w:t>
      </w:r>
    </w:p>
    <w:p>
      <w:pPr>
        <w:pStyle w:val="Frspaiere1"/>
        <w:ind w:firstLine="720"/>
        <w:jc w:val="both"/>
        <w:rPr>
          <w:b/>
          <w:bCs/>
          <w:color w:val="auto"/>
          <w:sz w:val="24"/>
        </w:rPr>
      </w:pPr>
      <w:r>
        <w:rPr>
          <w:rStyle w:val="Fontdeparagrafimplicit1"/>
          <w:b/>
          <w:bCs/>
          <w:color w:val="auto"/>
          <w:sz w:val="24"/>
        </w:rPr>
        <w:t>Cum, potrivit art. 1200 pct. 4 cu referire la art. 1202 alin. (2) C.civ., în relaţia dintre părți, această prezumție are caracter absolut înseamnă că nu se poate introduce o nouă acțiune în cadrul căreia să pretindă stabilirea contrariului a ceea ce s-a statuat judecătorește anterior. ” (Decizia nr.3845/2013 a ÎCCJ)</w:t>
      </w:r>
    </w:p>
    <w:p>
      <w:pPr>
        <w:pStyle w:val="Frspaiere1"/>
        <w:ind w:firstLine="720"/>
        <w:jc w:val="both"/>
        <w:rPr>
          <w:b/>
          <w:bCs/>
          <w:color w:val="auto"/>
          <w:sz w:val="24"/>
        </w:rPr>
      </w:pPr>
      <w:r>
        <w:rPr>
          <w:rStyle w:val="Fontdeparagrafimplicit1"/>
          <w:b/>
          <w:bCs/>
          <w:color w:val="auto"/>
          <w:sz w:val="24"/>
        </w:rPr>
        <w:t>- Tot în acest sens, Înalta Curte de Casație și Justiție, Secția a II-a civilă a statuat prin Decizia nr. 554 din 14 februarie 2014:</w:t>
      </w:r>
    </w:p>
    <w:p>
      <w:pPr>
        <w:pStyle w:val="Frspaiere1"/>
        <w:ind w:firstLine="720"/>
        <w:jc w:val="both"/>
        <w:rPr>
          <w:b/>
          <w:bCs/>
          <w:color w:val="auto"/>
          <w:sz w:val="24"/>
        </w:rPr>
      </w:pPr>
      <w:r>
        <w:rPr>
          <w:rStyle w:val="Fontdeparagrafimplicit1"/>
          <w:b/>
          <w:bCs/>
          <w:color w:val="auto"/>
          <w:sz w:val="24"/>
        </w:rPr>
        <w:t>Puterea de lucru judecat este opusă de un litigant adversarului său, care este terț față de prima hotărâre, caz în care hotărârea are valoare de mijloc de probă și poate fi contrazisă prin administrarea altor probe, nu și în situația în care pârâta a fost parte în procesul în care s-a pronunțat hotărârea invocată cu putere de lucru judecat, hotărâre care fi este opozabilă pe deplin şi care nu mai poate fi contrazisă într-o altă cauză”</w:t>
      </w:r>
    </w:p>
    <w:p>
      <w:pPr>
        <w:pStyle w:val="Frspaiere1"/>
        <w:ind w:firstLine="720"/>
        <w:jc w:val="both"/>
        <w:rPr>
          <w:color w:val="auto"/>
          <w:sz w:val="24"/>
        </w:rPr>
      </w:pPr>
      <w:r>
        <w:rPr>
          <w:rStyle w:val="Fontdeparagrafimplicit1"/>
          <w:color w:val="auto"/>
          <w:sz w:val="24"/>
        </w:rPr>
        <w:t>De asemenea, solicită să se aibă în vedere faptul ca argumentele reținute de instanțele de judecată in considerentele hotărârilor au fost făcute și de către parata DGRFP —... si AJFP..., precum și de echipa de control în nume propriu, ca membri ai Sindicatului Finanțelor Publice (nominalizați în hotărârile judecătorești), prin înscrisurile depuse la dosar, pe care le anexează.</w:t>
      </w:r>
    </w:p>
    <w:p>
      <w:pPr>
        <w:pStyle w:val="Frspaiere1"/>
        <w:ind w:firstLine="720"/>
        <w:jc w:val="both"/>
        <w:rPr>
          <w:color w:val="auto"/>
          <w:sz w:val="24"/>
        </w:rPr>
      </w:pPr>
      <w:r>
        <w:rPr>
          <w:rStyle w:val="Fontdeparagrafimplicit1"/>
          <w:color w:val="auto"/>
          <w:sz w:val="24"/>
        </w:rPr>
        <w:t>-Conform jurisprudenței constante a CEDO, noțiunea de proces echitabil presupune ca dezlegările irevocabile date problemelor de drept în litigii anterioare, sub aspectul problemelor de drept soluționate, caracter obligatoriu în litigiile ulterioare, deoarece s-ar încălca principiul securității raporturilor juridice, cu consecința generării incertitudinii jurisprudențiale şi a reducerii încrederii  justițiabililor în sistemul judiciar.</w:t>
      </w:r>
    </w:p>
    <w:p>
      <w:pPr>
        <w:pStyle w:val="Frspaiere1"/>
        <w:ind w:firstLine="720"/>
        <w:jc w:val="both"/>
        <w:rPr>
          <w:color w:val="auto"/>
          <w:sz w:val="24"/>
        </w:rPr>
      </w:pPr>
      <w:r>
        <w:rPr>
          <w:rStyle w:val="Fontdeparagrafimplicit1"/>
          <w:color w:val="auto"/>
          <w:sz w:val="24"/>
        </w:rPr>
        <w:t>Repunerea în discuție unei situații tranșate de către instanța de judecată prin invocarea unor argumente fără valoare de probă din punct de vedere  al dispozițiilor legale în materie, în condițiile în care reclamanta a fost parte în procesul în care s-a pronunțat hotărârea cu putere de lucru judecat, încalcă principiul securității raporturilor juridice si prevederile art.6 paragraf 1 din Convenție.</w:t>
      </w:r>
    </w:p>
    <w:p>
      <w:pPr>
        <w:pStyle w:val="Frspaiere1"/>
        <w:ind w:firstLine="720"/>
        <w:jc w:val="both"/>
        <w:rPr>
          <w:color w:val="auto"/>
          <w:sz w:val="24"/>
        </w:rPr>
      </w:pPr>
      <w:r>
        <w:rPr>
          <w:rStyle w:val="Fontdeparagrafimplicit1"/>
          <w:color w:val="auto"/>
          <w:sz w:val="24"/>
        </w:rPr>
        <w:t>-ÎN JURISPRUDENȚA CEDO, unul dintre elementele fundamentale ale principiului preeminenței dreptului este principiul securității raporturilor juridice, care presupune, printre altele, că soluțiile definitive date de instanțele judecătorești să nu mai poată fi contestate.</w:t>
      </w:r>
    </w:p>
    <w:p>
      <w:pPr>
        <w:pStyle w:val="Frspaiere1"/>
        <w:ind w:firstLine="720"/>
        <w:jc w:val="both"/>
        <w:rPr>
          <w:color w:val="auto"/>
          <w:sz w:val="24"/>
        </w:rPr>
      </w:pPr>
      <w:r>
        <w:rPr>
          <w:rStyle w:val="Fontdeparagrafimplicit1"/>
          <w:color w:val="auto"/>
          <w:sz w:val="24"/>
        </w:rPr>
        <w:t>Așadar, dezlegarea asupra unei probleme de drept date printr-o hotărâre irevocabilă este de naturi si clarifice din acel moment acea problemă creând speranța legitimă, ci ea nu va mai fi negată într-o proceduri ulterioară, cu atât mai mult cu cât organul fiscal a fost parte in dosar, susținând aceleași puncte de vedere pe care le susține si în prezenta contestație.</w:t>
      </w:r>
    </w:p>
    <w:p>
      <w:pPr>
        <w:pStyle w:val="Frspaiere1"/>
        <w:ind w:firstLine="720"/>
        <w:jc w:val="both"/>
        <w:rPr>
          <w:color w:val="auto"/>
          <w:sz w:val="24"/>
        </w:rPr>
      </w:pPr>
      <w:r>
        <w:rPr>
          <w:rStyle w:val="Fontdeparagrafimplicit1"/>
          <w:color w:val="auto"/>
          <w:sz w:val="24"/>
        </w:rPr>
        <w:t>Considerentele care converg la admiterea efectului pozitiv al puterii de lucru judecat invocat, transpar si din argumentele pe care instanțele de judecată le-au adus in motivarea Sentința nr.SC2 pronunțată de Tribunalul... în Dosar nr.D2, rămasă definitivă prin Decizia Curții de Apel ... nr</w:t>
      </w:r>
      <w:r>
        <w:rPr>
          <w:rStyle w:val="Fontdeparagrafimplicit1"/>
          <w:color w:val="FF0000"/>
          <w:sz w:val="24"/>
        </w:rPr>
        <w:t>.</w:t>
      </w:r>
      <w:r>
        <w:rPr>
          <w:rStyle w:val="Fontdeparagrafimplicit1"/>
          <w:color w:val="auto"/>
          <w:sz w:val="24"/>
        </w:rPr>
        <w:t>DC2/ ... cu putere de lucru judecat la societate, instanța statuând:</w:t>
      </w:r>
    </w:p>
    <w:p>
      <w:pPr>
        <w:pStyle w:val="Frspaiere1"/>
        <w:ind w:firstLine="720"/>
        <w:jc w:val="both"/>
        <w:rPr>
          <w:color w:val="auto"/>
          <w:sz w:val="24"/>
        </w:rPr>
      </w:pPr>
      <w:r>
        <w:rPr>
          <w:rStyle w:val="Fontdeparagrafimplicit1"/>
          <w:color w:val="auto"/>
          <w:sz w:val="24"/>
        </w:rPr>
        <w:t>”</w:t>
      </w:r>
      <w:r>
        <w:rPr>
          <w:rStyle w:val="Fontdeparagrafimplicit1"/>
          <w:color w:val="auto"/>
          <w:sz w:val="24"/>
        </w:rPr>
        <w:t>Conduita organelor fiscale dă naștere unei așteptări legitime la nivelul contribuabilului chiar și în situația în care această conduită a fost greșită în ceea ce privește o decizie sau soluție emisă de autoritatea fiscală competentă, principiu/ protecției așteptărilor legitime și a certitudinii juridice trebuind respectate de instituțiile Uniunii Europene și state/e membre. Încălcarea acestui principiu ar reprezenta o încălcare inacceptabilă în condițiile existenței unei jurisprudențe comunitare dare. " (Cauzele C-181/04 și C-183/04 Elmeka).</w:t>
      </w:r>
    </w:p>
    <w:p>
      <w:pPr>
        <w:pStyle w:val="Frspaiere1"/>
        <w:ind w:firstLine="720"/>
        <w:jc w:val="both"/>
        <w:rPr>
          <w:color w:val="auto"/>
          <w:sz w:val="24"/>
        </w:rPr>
      </w:pPr>
      <w:r>
        <w:rPr>
          <w:rStyle w:val="Fontdeparagrafimplicit1"/>
          <w:color w:val="auto"/>
          <w:sz w:val="24"/>
        </w:rPr>
        <w:t>Citează din hotărârea Curții de Apel ... nr.DC2 menționată, anexată, fila 28:</w:t>
      </w:r>
    </w:p>
    <w:p>
      <w:pPr>
        <w:pStyle w:val="Frspaiere1"/>
        <w:ind w:firstLine="720"/>
        <w:jc w:val="both"/>
        <w:rPr>
          <w:color w:val="auto"/>
          <w:sz w:val="24"/>
        </w:rPr>
      </w:pPr>
      <w:r>
        <w:rPr>
          <w:rStyle w:val="Fontdeparagrafimplicit1"/>
          <w:color w:val="auto"/>
          <w:sz w:val="24"/>
        </w:rPr>
        <w:t>Conform constatărilor Curții Europene de Justiție„ principiul protecției așteptărilor legitime si al certitudinii juridice fac parte din cadrul legislativ al uniunii europene si trebuie respectate de instituțiile uniunii europene si de statele membre, în cuprinsul acestei decizii, CURTEA EUROPEANĂ DE JUSTIŢIE menționează că, în ceea ce privește încasarea TVA, autoritățile fiscale naționale sunt obligate să respecte principiul protecției așteptărilor legitime ale persoanelor impozabile. în ceea ce privește o decizie sau soluție emisă de autoritatea fiscali competentă. ”</w:t>
      </w:r>
    </w:p>
    <w:p>
      <w:pPr>
        <w:pStyle w:val="Frspaiere1"/>
        <w:ind w:firstLine="720"/>
        <w:jc w:val="both"/>
        <w:rPr>
          <w:color w:val="auto"/>
          <w:sz w:val="24"/>
        </w:rPr>
      </w:pPr>
      <w:r>
        <w:rPr>
          <w:rStyle w:val="Fontdeparagrafimplicit1"/>
          <w:color w:val="auto"/>
          <w:sz w:val="24"/>
        </w:rPr>
        <w:t>Instituția puterii de lucru judecat si jurisprudența Curții de Justiție a Uniunii Europene si a CEDO în materie, este o cerință fundamentală de predictibilitate a actului de justiție și de respectare a principiului securității juridice, iar conținutul hotărârilor judecătorești este reglementat ca o prezumție legală ce se impune a fi respectata, nerespectarea soluțiilor definitive constituind o încălcare a art.6.1 din Convenție.</w:t>
      </w:r>
    </w:p>
    <w:p>
      <w:pPr>
        <w:pStyle w:val="Frspaiere1"/>
        <w:ind w:firstLine="720"/>
        <w:jc w:val="both"/>
        <w:rPr>
          <w:color w:val="auto"/>
          <w:sz w:val="24"/>
        </w:rPr>
      </w:pPr>
      <w:r>
        <w:rPr>
          <w:rStyle w:val="Fontdeparagrafimplicit1"/>
          <w:color w:val="auto"/>
          <w:sz w:val="24"/>
        </w:rPr>
        <w:t>In raport de decizia Curții Europene de Justiție în cauzele C-181/04 și C-183/04 Elmeka și faptul că există hotărâri judecătorești definitive în ceea ce privește, realitatea si legalitatea operațiunilor economice în cazul achizițiilor/livrărilor de aliaje de aluminiu și de asemenea dreptul de deducere în perioada 2011, fiind întocmite rapoarte de expertiză fiscală judiciare validate de către instanțele de judecată, decizia de impunere contestată este nelegală.</w:t>
      </w:r>
    </w:p>
    <w:p>
      <w:pPr>
        <w:pStyle w:val="Frspaiere1"/>
        <w:ind w:firstLine="720"/>
        <w:jc w:val="both"/>
        <w:rPr>
          <w:color w:val="auto"/>
          <w:sz w:val="24"/>
        </w:rPr>
      </w:pPr>
      <w:r>
        <w:rPr>
          <w:rStyle w:val="Fontdeparagrafimplicit1"/>
          <w:color w:val="auto"/>
          <w:sz w:val="24"/>
        </w:rPr>
        <w:t>- Organul fiscal prin Decizia  .../17.07.2020 contestata nu s-a pronunțat și în raport cu considerentele cuprinse în hotărârile pronunțate de instanțele de judecată, precum și a expertizei fiscale judiciare chiar a ANAF-ului, validată de instanță, în care s-a analizat aceeași situație de fapt ce a făcut obiectul inspecției fiscale, având în vedere implicarea asupra actelor fiscale, astfel cum prevăd dispozițiile din Ordinul nr.2906/2014, Anexa 1 — Instrucțiuni de aplicare a Titlului IX din OG 92/2003 pct.10.4.</w:t>
      </w:r>
    </w:p>
    <w:p>
      <w:pPr>
        <w:pStyle w:val="Frspaiere1"/>
        <w:ind w:firstLine="720"/>
        <w:jc w:val="both"/>
        <w:rPr>
          <w:color w:val="auto"/>
          <w:sz w:val="24"/>
        </w:rPr>
      </w:pPr>
      <w:r>
        <w:rPr>
          <w:rStyle w:val="Fontdeparagrafimplicit1"/>
          <w:color w:val="auto"/>
          <w:sz w:val="24"/>
        </w:rPr>
        <w:t>Față de aceste elemente probatorii care converg la admiterea excepției puterii de lucru judecat organul fiscal nu le-a avut în vedere, ignorând cu rea credință puterea de lucru judecat și principiile de drept, precum si jurisprudența CEDO și a CJCE, ce au implicații asupra aspectelor fiscale din actele contestate.</w:t>
      </w:r>
    </w:p>
    <w:p>
      <w:pPr>
        <w:pStyle w:val="Frspaiere1"/>
        <w:ind w:firstLine="720"/>
        <w:jc w:val="both"/>
        <w:rPr>
          <w:color w:val="auto"/>
          <w:sz w:val="24"/>
        </w:rPr>
      </w:pPr>
      <w:r>
        <w:rPr>
          <w:rStyle w:val="Fontdeparagrafimplicit1"/>
          <w:color w:val="auto"/>
          <w:sz w:val="24"/>
        </w:rPr>
        <w:t>Pentru toate considerentele de fapt si de drept, solicită admiterea excepției invocată.</w:t>
      </w:r>
    </w:p>
    <w:p>
      <w:pPr>
        <w:pStyle w:val="Frspaiere1"/>
        <w:ind w:firstLine="720"/>
        <w:jc w:val="both"/>
        <w:rPr>
          <w:color w:val="auto"/>
          <w:sz w:val="24"/>
        </w:rPr>
      </w:pPr>
      <w:r>
        <w:rPr>
          <w:rStyle w:val="Fontdeparagrafimplicit1"/>
          <w:color w:val="auto"/>
          <w:sz w:val="24"/>
        </w:rPr>
        <w:t>II. PE FOND, nelegalitatea si netemeinicia actelor contestate.</w:t>
      </w:r>
    </w:p>
    <w:p>
      <w:pPr>
        <w:pStyle w:val="Frspaiere1"/>
        <w:ind w:firstLine="720"/>
        <w:jc w:val="both"/>
        <w:rPr>
          <w:color w:val="auto"/>
          <w:sz w:val="24"/>
        </w:rPr>
      </w:pPr>
      <w:r>
        <w:rPr>
          <w:rStyle w:val="Fontdeparagrafimplicit1"/>
          <w:color w:val="auto"/>
          <w:sz w:val="24"/>
        </w:rPr>
        <w:t>Inspecția fiscala s-a desfășurat cu nerespectarea tuturor procedurilor legate (pe care le-a contestat in procedura administrativa si la care parata nu a răspuns) si a dispozițiilor legale ce reglementează dreptul de deducere.</w:t>
      </w:r>
    </w:p>
    <w:p>
      <w:pPr>
        <w:pStyle w:val="Frspaiere1"/>
        <w:ind w:firstLine="720"/>
        <w:jc w:val="both"/>
        <w:rPr>
          <w:color w:val="auto"/>
          <w:sz w:val="24"/>
        </w:rPr>
      </w:pPr>
      <w:r>
        <w:rPr>
          <w:rStyle w:val="Fontdeparagrafimplicit1"/>
          <w:color w:val="auto"/>
          <w:sz w:val="24"/>
        </w:rPr>
        <w:t>Singurul motiv pentru care parata refuza dreptul de deducere si a apreciat ca facturile de achiziții nu au calitate de document justificativ, este realitatea tranzacțiilor ,datorita comportamentului fiscal inadecvat al furnizorilor sau al furnizorilor, furnizorilor SC A1 SRL, condiție ce nu este reglementată de nici un act normativ, mai mult este contrara Directivei 112/CE/2006 si jurisprudenței CJUE.</w:t>
      </w:r>
    </w:p>
    <w:p>
      <w:pPr>
        <w:pStyle w:val="Frspaiere1"/>
        <w:ind w:firstLine="720"/>
        <w:jc w:val="both"/>
        <w:rPr>
          <w:color w:val="auto"/>
          <w:sz w:val="24"/>
        </w:rPr>
      </w:pPr>
      <w:r>
        <w:rPr>
          <w:rStyle w:val="Fontdeparagrafimplicit1"/>
          <w:color w:val="auto"/>
          <w:sz w:val="24"/>
        </w:rPr>
        <w:t>1. Invocă nelegalitatea actelor contestate si prin încălcarea de către parata a disp. art.113 alin.l și 2 din Legea nr.207/2015, întrucât atribuțiile și competențele organului fiscal sunt strict și limitativ prevăzute de lege. Legiuitorul a prevăzut limitativ care sunt competențele organului fiscal, astfel încât pronunțarea de către organul fiscal în ceea ce privește realitatea tranzacțiilor este in afara cadrului legal si abuziva.</w:t>
      </w:r>
    </w:p>
    <w:p>
      <w:pPr>
        <w:pStyle w:val="Frspaiere1"/>
        <w:ind w:firstLine="720"/>
        <w:jc w:val="both"/>
        <w:rPr>
          <w:color w:val="auto"/>
          <w:sz w:val="24"/>
        </w:rPr>
      </w:pPr>
      <w:r>
        <w:rPr>
          <w:rStyle w:val="Fontdeparagrafimplicit1"/>
          <w:color w:val="auto"/>
          <w:sz w:val="24"/>
        </w:rPr>
        <w:t>Legiuitorul nu  a atribuit organului fiscal competența de a verifica/ stabili dacă o tranzacție este sau nu reală, singura instituție competentă pentru a califica realitatea unei tranzacții fiind instanța de judecată.</w:t>
      </w:r>
    </w:p>
    <w:p>
      <w:pPr>
        <w:pStyle w:val="Frspaiere1"/>
        <w:ind w:firstLine="720"/>
        <w:jc w:val="both"/>
        <w:rPr>
          <w:color w:val="auto"/>
          <w:sz w:val="24"/>
        </w:rPr>
      </w:pPr>
      <w:r>
        <w:rPr>
          <w:rStyle w:val="Fontdeparagrafimplicit1"/>
          <w:color w:val="auto"/>
          <w:sz w:val="24"/>
        </w:rPr>
        <w:t>-Conform Codului de procedura fiscala, inspecția fiscala are ca obiect verificarea legalității, precum și aplicarea legislației fiscale și contabile și a conformității declarațiilor fiscale, corectitudinii și exactității îndeplinirii obligațiilor fiscale, nicidecum stabilirea realității achizițiilor/tranzacțiilor sau circulația pe drumurile publice, capacitatea încărcăturii unei mașini si alte inepții ce nu au legătură cu legea aplicabila controlului fiscal-legea fiscala si nici cu atribuțiile si competentele organului fiscal.</w:t>
      </w:r>
    </w:p>
    <w:p>
      <w:pPr>
        <w:pStyle w:val="Frspaiere1"/>
        <w:ind w:firstLine="720"/>
        <w:jc w:val="both"/>
        <w:rPr>
          <w:color w:val="auto"/>
          <w:sz w:val="24"/>
        </w:rPr>
      </w:pPr>
      <w:r>
        <w:rPr>
          <w:rStyle w:val="Fontdeparagrafimplicit1"/>
          <w:color w:val="auto"/>
          <w:sz w:val="24"/>
        </w:rPr>
        <w:t>"ART. 113 Obiectul inspecției fiscale</w:t>
      </w:r>
    </w:p>
    <w:p>
      <w:pPr>
        <w:pStyle w:val="Frspaiere1"/>
        <w:ind w:firstLine="720"/>
        <w:jc w:val="both"/>
        <w:rPr>
          <w:color w:val="auto"/>
          <w:sz w:val="24"/>
        </w:rPr>
      </w:pPr>
      <w:r>
        <w:rPr>
          <w:rStyle w:val="Fontdeparagrafimplicit1"/>
          <w:color w:val="auto"/>
          <w:sz w:val="24"/>
        </w:rPr>
        <w:t>(1) Inspecția fiscală reprezintă activitatea ce are ca obiect verificarea legalității și conformității declarațiilor fiscale, corectitudinii și exactității îndeplinirii obligațiilor în legătură cu stabilirea obligațiilor fiscale de către contribuabil/plătitor, respectării prevederilor legislației fiscale și contabile, verificarea sau stabilirea, după caz, a bazelor de impozitare și a situațiilor de fapt aferente, stabilirea diferențelor de obligații fiscale principale. "</w:t>
      </w:r>
    </w:p>
    <w:p>
      <w:pPr>
        <w:pStyle w:val="Frspaiere1"/>
        <w:ind w:firstLine="720"/>
        <w:jc w:val="both"/>
        <w:rPr>
          <w:color w:val="auto"/>
          <w:sz w:val="24"/>
        </w:rPr>
      </w:pPr>
      <w:r>
        <w:rPr>
          <w:rStyle w:val="Fontdeparagrafimplicit1"/>
          <w:color w:val="auto"/>
          <w:sz w:val="24"/>
        </w:rPr>
        <w:t>În acest sens sunt și adresele de la Ministerul Finanțelor Publice-ANAF către AJFP... (anexate), prin care învederează instituției că organul fiscal nu are competențe în a se pronunța în ceea ce privește realitatea unei tranzacții.</w:t>
      </w:r>
    </w:p>
    <w:p>
      <w:pPr>
        <w:pStyle w:val="Frspaiere1"/>
        <w:ind w:firstLine="720"/>
        <w:jc w:val="both"/>
        <w:rPr>
          <w:color w:val="auto"/>
          <w:sz w:val="24"/>
        </w:rPr>
      </w:pPr>
      <w:r>
        <w:rPr>
          <w:rStyle w:val="Fontdeparagrafimplicit1"/>
          <w:color w:val="auto"/>
          <w:sz w:val="24"/>
        </w:rPr>
        <w:t>-În condițiile în care echipa de control a avut suspiciuni în ceea ce privește realitatea tranzacțiilor, în temeiul dispozițiilor art.127 alin. 1 lit.e) din Legea nr.207/2015 privind noul cod de procedură fiscală si a Ordinul președintelui Agenției Naționale de Administrare Fiscală nr. 467/2013 privind condițiile și modalitățile de suspendare a inspecției fiscale, (in continuare OPANAF 467/2012) art.2 lit. e, trebuia/se impunea să procedeze la suspendarea inspecției fiscale, sa sesizeze organele de cercetare penala, nicidecum sa procedeze la emiterea actelor administrativ fiscale si la stabilirea suplimentar la plată a unor sume de bani .</w:t>
      </w:r>
    </w:p>
    <w:p>
      <w:pPr>
        <w:pStyle w:val="Frspaiere1"/>
        <w:ind w:firstLine="720"/>
        <w:jc w:val="both"/>
        <w:rPr>
          <w:color w:val="auto"/>
          <w:sz w:val="24"/>
        </w:rPr>
      </w:pPr>
      <w:r>
        <w:rPr>
          <w:rStyle w:val="Fontdeparagrafimplicit1"/>
          <w:color w:val="auto"/>
          <w:sz w:val="24"/>
        </w:rPr>
        <w:t>-Faptul ca mențiunile din actele de control sunt netemeinice si au avut drept scop prejudicierea grava a societății, este dovedita de raportul de expertiza fiscala judiciara dispus de organele penale, ca urmare a plângerii penale formulate de parata, prin care s-a constatat legalitatea operațiunilor economice dispunând o soluție de clasare in dosarul penal .</w:t>
      </w:r>
    </w:p>
    <w:p>
      <w:pPr>
        <w:pStyle w:val="Frspaiere1"/>
        <w:ind w:firstLine="720"/>
        <w:jc w:val="both"/>
        <w:rPr>
          <w:color w:val="auto"/>
          <w:sz w:val="24"/>
        </w:rPr>
      </w:pPr>
      <w:r>
        <w:rPr>
          <w:rStyle w:val="Fontdeparagrafimplicit1"/>
          <w:color w:val="auto"/>
          <w:sz w:val="24"/>
        </w:rPr>
        <w:t>Expertiza judiciara dispusa in dosarul penal la care parata nu a formulat obiecțiuni, a stabilit legalitatea tuturor documentelor financiar contabile si implicit realitatea tranzacțiilor efectuate de SC A1 COM SRL</w:t>
      </w:r>
    </w:p>
    <w:p>
      <w:pPr>
        <w:pStyle w:val="Frspaiere1"/>
        <w:ind w:firstLine="720"/>
        <w:jc w:val="both"/>
        <w:rPr>
          <w:color w:val="auto"/>
          <w:sz w:val="24"/>
        </w:rPr>
      </w:pPr>
      <w:r>
        <w:rPr>
          <w:rStyle w:val="Fontdeparagrafimplicit1"/>
          <w:color w:val="auto"/>
          <w:sz w:val="24"/>
        </w:rPr>
        <w:t>2). -Nelegalitatea actului de control prin prisma argumentelor aduse de echipa de control raportate Ia dispozițiile legale in vigoare:</w:t>
      </w:r>
    </w:p>
    <w:p>
      <w:pPr>
        <w:pStyle w:val="Frspaiere1"/>
        <w:ind w:firstLine="720"/>
        <w:jc w:val="both"/>
        <w:rPr>
          <w:color w:val="auto"/>
          <w:sz w:val="24"/>
        </w:rPr>
      </w:pPr>
      <w:r>
        <w:rPr>
          <w:rStyle w:val="Fontdeparagrafimplicit1"/>
          <w:color w:val="auto"/>
          <w:sz w:val="24"/>
        </w:rPr>
        <w:t>Singurul argument al paratei, vădit nelegal, pentru care a considerat ca facturile fiscale de achiziții de la furnizorii menționați nu au calitatea de document justificativ, este comportamentul fiscal al furnizorilor sau al furnizorilor SC A1 ,deși toți furnizorii sunt societăți active, cu cod valid de TVA,si-au înregistrat in contabilitate facturile, iar SC A1 COM SRL a înregistrat si declarat la organul fiscal toate facturile, plata fiind efectuata numai prin sistemul bancar,</w:t>
      </w:r>
    </w:p>
    <w:p>
      <w:pPr>
        <w:pStyle w:val="Frspaiere1"/>
        <w:ind w:firstLine="720"/>
        <w:jc w:val="both"/>
        <w:rPr>
          <w:color w:val="auto"/>
          <w:sz w:val="24"/>
        </w:rPr>
      </w:pPr>
      <w:r>
        <w:rPr>
          <w:rStyle w:val="Fontdeparagrafimplicit1"/>
          <w:color w:val="auto"/>
          <w:sz w:val="24"/>
        </w:rPr>
        <w:t>Exemplifică:</w:t>
      </w:r>
    </w:p>
    <w:p>
      <w:pPr>
        <w:pStyle w:val="Frspaiere1"/>
        <w:ind w:firstLine="720"/>
        <w:jc w:val="both"/>
        <w:rPr>
          <w:color w:val="auto"/>
          <w:sz w:val="24"/>
        </w:rPr>
      </w:pPr>
      <w:r>
        <w:rPr>
          <w:rStyle w:val="Fontdeparagrafimplicit1"/>
          <w:color w:val="auto"/>
          <w:sz w:val="24"/>
        </w:rPr>
        <w:t>Se arată în Raportul de inspecție fiscală:</w:t>
      </w:r>
    </w:p>
    <w:p>
      <w:pPr>
        <w:pStyle w:val="Frspaiere1"/>
        <w:ind w:firstLine="720"/>
        <w:jc w:val="both"/>
        <w:rPr>
          <w:color w:val="auto"/>
          <w:sz w:val="24"/>
        </w:rPr>
      </w:pPr>
      <w:r>
        <w:rPr>
          <w:rStyle w:val="Fontdeparagrafimplicit1"/>
          <w:color w:val="auto"/>
          <w:sz w:val="24"/>
        </w:rPr>
        <w:t>• ”</w:t>
      </w:r>
      <w:r>
        <w:rPr>
          <w:rStyle w:val="Fontdeparagrafimplicit1"/>
          <w:color w:val="auto"/>
          <w:sz w:val="24"/>
        </w:rPr>
        <w:t>furnizorii înregistrați și declarați de ... nu au înregistrat și declarat livrări de bunuri" cu referire la furnizorul furnizorului SC A1 COM SRL (ex. SC A2 SRL);</w:t>
      </w:r>
    </w:p>
    <w:p>
      <w:pPr>
        <w:pStyle w:val="Frspaiere1"/>
        <w:ind w:firstLine="720"/>
        <w:jc w:val="both"/>
        <w:rPr>
          <w:color w:val="auto"/>
          <w:sz w:val="24"/>
        </w:rPr>
      </w:pPr>
      <w:r>
        <w:rPr>
          <w:rStyle w:val="Fontdeparagrafimplicit1"/>
          <w:color w:val="auto"/>
          <w:sz w:val="24"/>
        </w:rPr>
        <w:t>Referitor la această mențiune din RIF, nu există nici un temei legal pentru care SC A1 COM SRL să fie răspunzătoare pentru modul în care furnizorii furnizorului noștri și-au ținut contabilitatea, mențiunile fiind contrare art.220 alin.l din a șasea directivă și, de asemenea, așa cum corect a reținut și Curtea de Justiție a Uniunii Europene în cauza C-277/14 și în toată jurisprudența sa că o eventuală neîndeplinire de către furnizorul bunurilor a obligației de a declara nu repune în discuție dreptul de deducere a/ destinatarului bunurilor livrate în ceea ce privește TVA-u/ achitat (punct 40 cauza C-277/14</w:t>
      </w:r>
    </w:p>
    <w:p>
      <w:pPr>
        <w:pStyle w:val="Frspaiere1"/>
        <w:ind w:firstLine="720"/>
        <w:jc w:val="both"/>
        <w:rPr>
          <w:color w:val="auto"/>
          <w:sz w:val="24"/>
        </w:rPr>
      </w:pPr>
      <w:r>
        <w:rPr>
          <w:rStyle w:val="Fontdeparagrafimplicit1"/>
          <w:color w:val="auto"/>
          <w:sz w:val="24"/>
        </w:rPr>
        <w:t xml:space="preserve">-SC A1 COM SRL este o persoană impozabilă în sensul dispozițiilor legale, deține facturi fiscale ce întrunesc calitatea de document justificativ care conțin toate informațiile impuse de art.22 alin.3 lit.b) din A șasea directivă în special pe cele necesare pentru identificarea persoanei care a întocmit facturile de achiziție și a naturii respectivelor bunuri și a făcut dovada plății bunurilor livrate prin sistemul bancar, astfel încât nu poate fi refuzat dreptul de deducere pe motiv că furnizorii sau furnizorii furnizorilor nu si-au îndeplinit obligațiile (a se vedea în acest sens Hotărârea Dankowski, C-438/09, punctele 33, 36 și 38, precum și Hotărârea Tóth, c-324/11, </w:t>
      </w:r>
      <w:r>
        <w:rPr/>
        <w:drawing>
          <wp:inline distT="0" distB="0" distL="0" distR="0">
            <wp:extent cx="447675" cy="104775"/>
            <wp:effectExtent l="0" t="0" r="0" b="0"/>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
                    <pic:cNvPicPr>
                      <a:picLocks noChangeAspect="1" noChangeArrowheads="1"/>
                    </pic:cNvPicPr>
                  </pic:nvPicPr>
                  <pic:blipFill>
                    <a:blip r:embed="rId3"/>
                    <a:stretch>
                      <a:fillRect/>
                    </a:stretch>
                  </pic:blipFill>
                  <pic:spPr bwMode="auto">
                    <a:xfrm>
                      <a:off x="0" y="0"/>
                      <a:ext cx="447675" cy="104775"/>
                    </a:xfrm>
                    <a:prstGeom prst="rect">
                      <a:avLst/>
                    </a:prstGeom>
                  </pic:spPr>
                </pic:pic>
              </a:graphicData>
            </a:graphic>
          </wp:inline>
        </w:drawing>
      </w:r>
      <w:r>
        <w:rPr>
          <w:rStyle w:val="Fontdeparagrafimplicit1"/>
          <w:color w:val="auto"/>
          <w:sz w:val="24"/>
        </w:rPr>
        <w:t>punctul 32), precum și C-277/14 punct 40.)</w:t>
      </w:r>
    </w:p>
    <w:p>
      <w:pPr>
        <w:pStyle w:val="Frspaiere1"/>
        <w:ind w:firstLine="720"/>
        <w:jc w:val="both"/>
        <w:rPr>
          <w:color w:val="auto"/>
          <w:sz w:val="24"/>
        </w:rPr>
      </w:pPr>
      <w:r>
        <w:rPr>
          <w:rStyle w:val="Fontdeparagrafimplicit1"/>
          <w:color w:val="auto"/>
          <w:sz w:val="24"/>
        </w:rPr>
        <w:t>-în acest sens sunt și dispozițiile art.128 alin.6 din Codul fiscal.</w:t>
      </w:r>
    </w:p>
    <w:p>
      <w:pPr>
        <w:pStyle w:val="Frspaiere1"/>
        <w:ind w:firstLine="720"/>
        <w:jc w:val="both"/>
        <w:rPr>
          <w:color w:val="auto"/>
          <w:sz w:val="24"/>
        </w:rPr>
      </w:pPr>
      <w:r>
        <w:rPr>
          <w:rStyle w:val="Fontdeparagrafimplicit1"/>
          <w:color w:val="auto"/>
          <w:sz w:val="24"/>
        </w:rPr>
        <w:t>Modul în care și-a evidențiat în contabilitate tranzacțiile, precum și comportamentul fiscal al furnizorilor sau al furnizorilor nu poate fi imputat SC A1 COM SRL, având în vedere că fiecare tranzacție este considerată o livrare separată, conform dispozițiile art.128 alin.6 Cod fiscal:</w:t>
      </w:r>
    </w:p>
    <w:p>
      <w:pPr>
        <w:pStyle w:val="Frspaiere1"/>
        <w:ind w:firstLine="720"/>
        <w:jc w:val="both"/>
        <w:rPr>
          <w:color w:val="auto"/>
          <w:sz w:val="24"/>
        </w:rPr>
      </w:pPr>
      <w:r>
        <w:rPr>
          <w:rStyle w:val="Fontdeparagrafimplicit1"/>
          <w:color w:val="auto"/>
          <w:sz w:val="24"/>
        </w:rPr>
        <w:t>”</w:t>
      </w:r>
      <w:r>
        <w:rPr>
          <w:rStyle w:val="Fontdeparagrafimplicit1"/>
          <w:color w:val="auto"/>
          <w:sz w:val="24"/>
        </w:rPr>
        <w:t>ART. 128 Livrarea de bunuri</w:t>
      </w:r>
    </w:p>
    <w:p>
      <w:pPr>
        <w:pStyle w:val="Frspaiere1"/>
        <w:ind w:firstLine="720"/>
        <w:jc w:val="both"/>
        <w:rPr>
          <w:color w:val="auto"/>
          <w:sz w:val="24"/>
        </w:rPr>
      </w:pPr>
      <w:r>
        <w:rPr>
          <w:rStyle w:val="Fontdeparagrafimplicit1"/>
          <w:color w:val="auto"/>
          <w:sz w:val="24"/>
        </w:rPr>
        <w:t>(6) În cazul a două sau mai multe transferuri succesive ale dreptului de proprietate asupra unui bun, fiecare transfer este considerat o livrare separată a bunului, chiar dacă bunul este transportat direct beneficiarului final. "</w:t>
      </w:r>
    </w:p>
    <w:p>
      <w:pPr>
        <w:pStyle w:val="Frspaiere1"/>
        <w:ind w:firstLine="720"/>
        <w:jc w:val="both"/>
        <w:rPr>
          <w:color w:val="auto"/>
          <w:sz w:val="24"/>
        </w:rPr>
      </w:pPr>
      <w:r>
        <w:rPr>
          <w:rStyle w:val="Fontdeparagrafimplicit1"/>
          <w:color w:val="auto"/>
          <w:sz w:val="24"/>
        </w:rPr>
        <w:t>În aceste condiții, furnizorii furnizorilor SC A1 COM SRL aveau obligația să colecteze taxa pe valoarea adăugată aferentă livrărilor efectuate către furnizorii SC A1 COM SRL, care nu are legătură cu livrările efectuate de către furnizorii direcți ai SC A1 COM SRL către SC A1 COM SRL, deoarece furnizorii furnizorilor nu au efectuat livrări către SC A1 COM SRL fiind vorba de livrări separate.</w:t>
      </w:r>
    </w:p>
    <w:p>
      <w:pPr>
        <w:pStyle w:val="Frspaiere1"/>
        <w:ind w:firstLine="720"/>
        <w:jc w:val="both"/>
        <w:rPr>
          <w:color w:val="auto"/>
          <w:sz w:val="24"/>
        </w:rPr>
      </w:pPr>
      <w:r>
        <w:rPr>
          <w:rStyle w:val="Fontdeparagrafimplicit1"/>
          <w:color w:val="auto"/>
          <w:sz w:val="24"/>
        </w:rPr>
        <w:t>-Afirmația că ”achizițiile furnizorilor sunt fictive, de unde se deduce că și livrările sunt fictive” este atât nelegala cat falsa încălcând prevederile Codului fiscal, fiind în fapt de LIVRĂRI DISTINCTE:</w:t>
      </w:r>
    </w:p>
    <w:p>
      <w:pPr>
        <w:pStyle w:val="Frspaiere1"/>
        <w:ind w:firstLine="720"/>
        <w:jc w:val="both"/>
        <w:rPr>
          <w:color w:val="auto"/>
          <w:sz w:val="24"/>
        </w:rPr>
      </w:pPr>
      <w:r>
        <w:rPr>
          <w:rStyle w:val="Fontdeparagrafimplicit1"/>
          <w:color w:val="auto"/>
          <w:sz w:val="24"/>
        </w:rPr>
        <w:t>-furnizori care livrează bunuri către furnizorii SC A1 COM SRL — este o livrare distinctă care nu are legătură din punct de vedere fiscal cu SC A1 COM SRL;</w:t>
      </w:r>
    </w:p>
    <w:p>
      <w:pPr>
        <w:pStyle w:val="Frspaiere1"/>
        <w:ind w:firstLine="720"/>
        <w:jc w:val="both"/>
        <w:rPr>
          <w:color w:val="auto"/>
          <w:sz w:val="24"/>
        </w:rPr>
      </w:pPr>
      <w:r>
        <w:rPr>
          <w:rStyle w:val="Fontdeparagrafimplicit1"/>
          <w:color w:val="auto"/>
          <w:sz w:val="24"/>
        </w:rPr>
        <w:t>-furnizorii directi ai SC A1 COM SRL care livrează bunurile către SC A1 COM SRL care din punct de vedere fiscal este o livrare separată de prima livrare.</w:t>
      </w:r>
    </w:p>
    <w:p>
      <w:pPr>
        <w:pStyle w:val="Frspaiere1"/>
        <w:ind w:firstLine="720"/>
        <w:jc w:val="both"/>
        <w:rPr>
          <w:color w:val="auto"/>
          <w:sz w:val="24"/>
        </w:rPr>
      </w:pPr>
      <w:r>
        <w:rPr>
          <w:rStyle w:val="Fontdeparagrafimplicit1"/>
          <w:color w:val="auto"/>
          <w:sz w:val="24"/>
        </w:rPr>
        <w:t>ÎN CONCLUZIE:</w:t>
      </w:r>
    </w:p>
    <w:p>
      <w:pPr>
        <w:pStyle w:val="Frspaiere1"/>
        <w:ind w:firstLine="720"/>
        <w:jc w:val="both"/>
        <w:rPr>
          <w:color w:val="auto"/>
          <w:sz w:val="24"/>
        </w:rPr>
      </w:pPr>
      <w:r>
        <w:rPr>
          <w:rStyle w:val="Fontdeparagrafimplicit1"/>
          <w:color w:val="auto"/>
          <w:sz w:val="24"/>
        </w:rPr>
        <w:t>Obligarea la plata taxei pe valoarea adăugată erau furnizorii furnizorilor pentru taxa pe valoarea adăugată colectată de la furnizorii direcți ai SC A1 COM SRL, din care trebuiau să deducă taxa pe valoarea adăugată aferentă propriilor costuri de producție și/sau achiziție pentru prima livrare și furnizorii direcți ai SC A1 COM SRL pentru livrările către SC A1 COM SRL, livrări separate de primele din punct de vedere fiscal, SC A1 COM SRL îndeplinindu-și obligația de a plăti taxa pe valoarea adăugată furnizorilor săi direcți furnizori direcți care au avut obligația colectării acesteia și pe care și-au îndeplinit-o.</w:t>
      </w:r>
    </w:p>
    <w:p>
      <w:pPr>
        <w:pStyle w:val="Frspaiere1"/>
        <w:ind w:firstLine="720"/>
        <w:jc w:val="both"/>
        <w:rPr>
          <w:color w:val="auto"/>
          <w:sz w:val="24"/>
        </w:rPr>
      </w:pPr>
      <w:r>
        <w:rPr>
          <w:rStyle w:val="Fontdeparagrafimplicit1"/>
          <w:color w:val="auto"/>
          <w:sz w:val="24"/>
        </w:rPr>
        <w:t>SC A1 COM SRL nu a avut din punct de vedere fiscal nici o obligație de natură patrimonială, financiară față de furnizorii furnizorilor săi, obligația SC A1 COM SRL din punctul de vedere al legii fiscale fiind decât față de furnizorii săi direcți.</w:t>
      </w:r>
    </w:p>
    <w:p>
      <w:pPr>
        <w:pStyle w:val="Frspaiere1"/>
        <w:ind w:firstLine="720"/>
        <w:jc w:val="both"/>
        <w:rPr>
          <w:color w:val="auto"/>
          <w:sz w:val="24"/>
        </w:rPr>
      </w:pPr>
      <w:r>
        <w:rPr>
          <w:rStyle w:val="Fontdeparagrafimplicit1"/>
          <w:color w:val="auto"/>
          <w:sz w:val="24"/>
        </w:rPr>
        <w:t>CONCLUZIE: parata omite faptul că  este vorba de două livrări separate supuse legii fiscale, fiecare parte fiind responsabilă doar cu livrarea din care face în mod direct parte, așadar SC A1 COM SRL este responsabilă doar pentru tranzacțiile cu furnizorii săi direcți și nu cu furnizorii furnizorilor săi direcți așa cum în mod nelegal si abuziv rețin organele de inspecție fiscală care încalcă prevederile arț.128 alin.(6) Cod fiscal.</w:t>
      </w:r>
    </w:p>
    <w:p>
      <w:pPr>
        <w:pStyle w:val="Frspaiere1"/>
        <w:ind w:firstLine="720"/>
        <w:jc w:val="both"/>
        <w:rPr>
          <w:color w:val="auto"/>
          <w:sz w:val="24"/>
        </w:rPr>
      </w:pPr>
      <w:r>
        <w:rPr>
          <w:rStyle w:val="Fontdeparagrafimplicit1"/>
          <w:color w:val="auto"/>
          <w:sz w:val="24"/>
        </w:rPr>
        <w:t>Parata nu a arătat de ce in cazul acesteia nu sunt aplicabile dispozițiile art.128 alin.6 Cod fiscal, în condițiile în care instanțele au statuat prin hotărâri definitive și irevocabile faptul că:</w:t>
      </w:r>
    </w:p>
    <w:p>
      <w:pPr>
        <w:pStyle w:val="Frspaiere1"/>
        <w:ind w:firstLine="720"/>
        <w:jc w:val="both"/>
        <w:rPr>
          <w:color w:val="auto"/>
          <w:sz w:val="24"/>
        </w:rPr>
      </w:pPr>
      <w:r>
        <w:rPr>
          <w:rStyle w:val="Fontdeparagrafimplicit1"/>
          <w:color w:val="auto"/>
          <w:sz w:val="24"/>
        </w:rPr>
        <w:t>Tranzacțiile au fost efectuate, existând facturi de achiziții de aliaje de aluminiu, precum și de deșeuri de aluminiu. Au fost întocmite note de intrare recepție, scrisori de transport, intervenienții atașând astfel de documente la dosar".</w:t>
      </w:r>
    </w:p>
    <w:p>
      <w:pPr>
        <w:pStyle w:val="Frspaiere1"/>
        <w:ind w:firstLine="720"/>
        <w:jc w:val="both"/>
        <w:rPr>
          <w:color w:val="auto"/>
          <w:sz w:val="24"/>
        </w:rPr>
      </w:pPr>
      <w:r>
        <w:rPr>
          <w:rStyle w:val="Fontdeparagrafimplicit1"/>
          <w:color w:val="auto"/>
          <w:sz w:val="24"/>
        </w:rPr>
        <w:t>Faptul că furnizorii au ținut o contabilitate necorespunzătoare reprezintă o nerespectare a atribuțiile de către administratorii acestora care au obligația de a conduce contabilitatea societății potrivit art.10 din Legea 82/91 și aceștia răspund față de societate pentru îndeplinirea îndatoririlor prevăzute de lege, de actul constitutiv, potrivit art73 lit.e) și art.201 alin.l din Legea 31/90”</w:t>
      </w:r>
    </w:p>
    <w:p>
      <w:pPr>
        <w:pStyle w:val="Frspaiere1"/>
        <w:ind w:firstLine="720"/>
        <w:jc w:val="both"/>
        <w:rPr>
          <w:color w:val="auto"/>
          <w:sz w:val="24"/>
        </w:rPr>
      </w:pPr>
      <w:r>
        <w:rPr>
          <w:rStyle w:val="Fontdeparagrafimplicit1"/>
          <w:color w:val="auto"/>
          <w:sz w:val="24"/>
        </w:rPr>
        <w:t>-În expertiza judiciară chiar a organului fiscal, precum și a SC A1 COM SRL, validată de instanța de judecată, expertul fiscal al AJFP... numit de către instanță și alți 4 experți asistenți au concluzionat:</w:t>
      </w:r>
    </w:p>
    <w:p>
      <w:pPr>
        <w:pStyle w:val="Frspaiere1"/>
        <w:ind w:firstLine="720"/>
        <w:jc w:val="both"/>
        <w:rPr>
          <w:color w:val="auto"/>
          <w:sz w:val="24"/>
        </w:rPr>
      </w:pPr>
      <w:r>
        <w:rPr>
          <w:rStyle w:val="Fontdeparagrafimplicit1"/>
          <w:color w:val="auto"/>
          <w:sz w:val="24"/>
        </w:rPr>
        <w:t>De asemenea dreptul de deducere al TVA aferentă unor bunuri sau servicii contractate de beneficiar nu este afectat de eventualul comportament fiscal inadecvat al furnizorilor, sau a altor agenți economici care au făcut parte din circuitul economic al livrărilor/achizițiilor. " (fila 7 expertiză)</w:t>
      </w:r>
    </w:p>
    <w:p>
      <w:pPr>
        <w:pStyle w:val="Frspaiere1"/>
        <w:ind w:firstLine="720"/>
        <w:jc w:val="both"/>
        <w:rPr>
          <w:color w:val="auto"/>
          <w:sz w:val="24"/>
        </w:rPr>
      </w:pPr>
      <w:r>
        <w:rPr>
          <w:rStyle w:val="Fontdeparagrafimplicit1"/>
          <w:color w:val="auto"/>
          <w:sz w:val="24"/>
        </w:rPr>
        <w:t>Repunerea în discuție a unei situații tranșate de către instanța de judecată, in condițiile în care SC A1 COM SRL și organul fiscal au fost parte in litigiile în care s-au pronunțat hotărâri judecătorești cu putere de lucru judecat, încalcă principiul securității raporturilor juridice si prevederile art.6 paragraf 1 din Convenție.</w:t>
      </w:r>
    </w:p>
    <w:p>
      <w:pPr>
        <w:pStyle w:val="Frspaiere1"/>
        <w:ind w:firstLine="720"/>
        <w:jc w:val="both"/>
        <w:rPr>
          <w:color w:val="auto"/>
          <w:sz w:val="24"/>
        </w:rPr>
      </w:pPr>
      <w:r>
        <w:rPr>
          <w:rStyle w:val="Fontdeparagrafimplicit1"/>
          <w:color w:val="auto"/>
          <w:sz w:val="24"/>
        </w:rPr>
        <w:t>Apreciază că, cu rea credință, s-a prejudiciat SC A1 COM SRL și se impută fapte ale altor persoane juridice (furnizori sau furnizorii furnizorilor) pentru care nu suntem responsabili și pentru care nu există nici o dispoziție legală în ceea ce privește responsabilitatea SC A1 COM SRL.</w:t>
      </w:r>
    </w:p>
    <w:p>
      <w:pPr>
        <w:pStyle w:val="Frspaiere1"/>
        <w:ind w:firstLine="720"/>
        <w:jc w:val="both"/>
        <w:rPr>
          <w:color w:val="auto"/>
          <w:sz w:val="24"/>
        </w:rPr>
      </w:pPr>
      <w:r>
        <w:rPr>
          <w:rStyle w:val="Fontdeparagrafimplicit1"/>
          <w:color w:val="auto"/>
          <w:sz w:val="24"/>
        </w:rPr>
        <w:t>Echipa de control nu a justificat din punct de vedere legal în RIF această condiție nelegală pe care o impune SC A1 COM SRL, întrucât nu este în sarcina unui contribuabil ca acesta să facă investigații în ceea ce privește modul în care furnizorul și-a îndeplinit obligațiile ce-i revin față de autoritățile statului.</w:t>
      </w:r>
    </w:p>
    <w:p>
      <w:pPr>
        <w:pStyle w:val="Frspaiere1"/>
        <w:ind w:firstLine="720"/>
        <w:jc w:val="both"/>
        <w:rPr>
          <w:color w:val="auto"/>
          <w:sz w:val="24"/>
        </w:rPr>
      </w:pPr>
      <w:r>
        <w:rPr>
          <w:rStyle w:val="Fontdeparagrafimplicit1"/>
          <w:color w:val="auto"/>
          <w:sz w:val="24"/>
        </w:rPr>
        <w:t>În acest sens Curtea Europeană de Justiție s-a pronunțat în mod constant, reținând că nu se poate solicita persoanei impozabile verificări a căror sarcină nu-i revine, întrucât s-ar substitui organelor fiscale a căror sarcină le revine. (Hotărârile C-80/11 și C-42/11, C-285/11, C-63/04, C-277/ 14)</w:t>
      </w:r>
    </w:p>
    <w:p>
      <w:pPr>
        <w:pStyle w:val="Frspaiere1"/>
        <w:ind w:firstLine="720"/>
        <w:jc w:val="both"/>
        <w:rPr>
          <w:color w:val="auto"/>
          <w:sz w:val="24"/>
        </w:rPr>
      </w:pPr>
      <w:r>
        <w:rPr>
          <w:rStyle w:val="Fontdeparagrafimplicit1"/>
          <w:color w:val="auto"/>
          <w:sz w:val="24"/>
        </w:rPr>
        <w:t>Pe anumite facturi lipsește adresa sau este incorectă.</w:t>
      </w:r>
    </w:p>
    <w:p>
      <w:pPr>
        <w:pStyle w:val="Frspaiere1"/>
        <w:ind w:firstLine="720"/>
        <w:jc w:val="both"/>
        <w:rPr>
          <w:color w:val="auto"/>
          <w:sz w:val="24"/>
        </w:rPr>
      </w:pPr>
      <w:r>
        <w:rPr>
          <w:rStyle w:val="Fontdeparagrafimplicit1"/>
          <w:color w:val="auto"/>
          <w:sz w:val="24"/>
        </w:rPr>
        <w:t>În acest caz modul de întocmire al facturilor aparține emitentului, SC A1 COM SRL neputând identifica dacă adresa este scrisă corect.</w:t>
      </w:r>
    </w:p>
    <w:p>
      <w:pPr>
        <w:pStyle w:val="Frspaiere1"/>
        <w:ind w:firstLine="720"/>
        <w:jc w:val="both"/>
        <w:rPr>
          <w:color w:val="auto"/>
          <w:sz w:val="24"/>
        </w:rPr>
      </w:pPr>
      <w:r>
        <w:rPr>
          <w:rStyle w:val="Fontdeparagrafimplicit1"/>
          <w:color w:val="auto"/>
          <w:sz w:val="24"/>
        </w:rPr>
        <w:t>-La toate societățile furnizoare se menționează că, întrucât acestea nu dețin anumite înscrisuri, responsabil este SC A1 COM SRL, fiindu-i refuzat dreptul de deducere.</w:t>
      </w:r>
    </w:p>
    <w:p>
      <w:pPr>
        <w:pStyle w:val="Frspaiere1"/>
        <w:ind w:firstLine="720"/>
        <w:jc w:val="both"/>
        <w:rPr>
          <w:color w:val="auto"/>
          <w:sz w:val="24"/>
        </w:rPr>
      </w:pPr>
      <w:r>
        <w:rPr>
          <w:rStyle w:val="Fontdeparagrafimplicit1"/>
          <w:color w:val="auto"/>
          <w:sz w:val="24"/>
        </w:rPr>
        <w:t>-În conformitate cu dispozițiile art.145, art.146 Cod fiscal singurul document justificativ îl reprezintă factura fiscală care trebuie să îndeplinească condițiile prevăzute de art.155 Cod fiscal, precum și art.220 și art.226 din Directiva 2006/112/CE, societatea fiind o persoană impozabilă în sensul dispozițiilor legale.</w:t>
      </w:r>
    </w:p>
    <w:p>
      <w:pPr>
        <w:pStyle w:val="Frspaiere1"/>
        <w:ind w:firstLine="720"/>
        <w:jc w:val="both"/>
        <w:rPr>
          <w:color w:val="auto"/>
          <w:sz w:val="24"/>
        </w:rPr>
      </w:pPr>
      <w:r>
        <w:rPr>
          <w:rStyle w:val="Fontdeparagrafimplicit1"/>
          <w:color w:val="auto"/>
          <w:sz w:val="24"/>
        </w:rPr>
        <w:t>-La toate societățile furnizoare echipa de control a analizat activitatea societăților furnizoare și a relațiilor acestora cu furnizorii furnizorilor SC A1 COM SRL, cu referire la aprovizionare, modul în care își desfășoară activitatea, dotările tehnice, resursele umane, modul de evidențiere în contabilitate, achitarea obligațiilor fată de bugetul statului etc., contrar tuturor prevederilor legale, naționale si europene, contrar jurisprudenței Curții de Justiție a Uniunii Europene si, mai mult, contrar hotărârilor judecătorești si statuărilor acestora.</w:t>
      </w:r>
    </w:p>
    <w:p>
      <w:pPr>
        <w:pStyle w:val="Frspaiere1"/>
        <w:ind w:firstLine="720"/>
        <w:jc w:val="both"/>
        <w:rPr>
          <w:color w:val="auto"/>
          <w:sz w:val="24"/>
        </w:rPr>
      </w:pPr>
      <w:r>
        <w:rPr>
          <w:rStyle w:val="Fontdeparagrafimplicit1"/>
          <w:color w:val="auto"/>
          <w:sz w:val="24"/>
        </w:rPr>
        <w:t>De asemenea, în Raportul de inspecție fiscală se arată pentru aproape toți furnizorii:</w:t>
      </w:r>
    </w:p>
    <w:p>
      <w:pPr>
        <w:pStyle w:val="Frspaiere1"/>
        <w:ind w:firstLine="720"/>
        <w:jc w:val="both"/>
        <w:rPr>
          <w:color w:val="auto"/>
          <w:sz w:val="24"/>
        </w:rPr>
      </w:pPr>
      <w:r>
        <w:rPr>
          <w:rStyle w:val="Fontdeparagrafimplicit1"/>
          <w:color w:val="auto"/>
          <w:sz w:val="24"/>
        </w:rPr>
        <w:t>'SC... nu poate justifica modalitatea de achiziție cu documente de transport și expediere a mărfurilor înregistrate în evidența contabilă deoarece nu a pus la dispoziția controlului avize de însoțire a mărfii, comenzi de transport către societăți specializate în transportul de marfă, bonuri de cântar, certificate de calitate/analiză A3 SRL)</w:t>
      </w:r>
    </w:p>
    <w:p>
      <w:pPr>
        <w:pStyle w:val="Frspaiere1"/>
        <w:ind w:firstLine="720"/>
        <w:jc w:val="both"/>
        <w:rPr>
          <w:color w:val="auto"/>
          <w:sz w:val="24"/>
        </w:rPr>
      </w:pPr>
      <w:r>
        <w:rPr>
          <w:rStyle w:val="Fontdeparagrafimplicit1"/>
          <w:color w:val="auto"/>
          <w:sz w:val="24"/>
        </w:rPr>
        <w:t>”</w:t>
      </w:r>
      <w:r>
        <w:rPr>
          <w:rStyle w:val="Fontdeparagrafimplicit1"/>
          <w:color w:val="auto"/>
          <w:sz w:val="24"/>
        </w:rPr>
        <w:t>Societatea nu a avut niciodată salariat.</w:t>
      </w:r>
    </w:p>
    <w:p>
      <w:pPr>
        <w:pStyle w:val="Frspaiere1"/>
        <w:ind w:firstLine="720"/>
        <w:jc w:val="both"/>
        <w:rPr>
          <w:color w:val="auto"/>
          <w:sz w:val="24"/>
        </w:rPr>
      </w:pPr>
      <w:r>
        <w:rPr>
          <w:rStyle w:val="Fontdeparagrafimplicit1"/>
          <w:color w:val="auto"/>
          <w:sz w:val="24"/>
        </w:rPr>
        <w:t>Societatea nu a declarat în D394 livrările către SC A1 COM SRL ....</w:t>
      </w:r>
    </w:p>
    <w:p>
      <w:pPr>
        <w:pStyle w:val="Frspaiere1"/>
        <w:ind w:firstLine="720"/>
        <w:jc w:val="both"/>
        <w:rPr>
          <w:color w:val="auto"/>
          <w:sz w:val="24"/>
        </w:rPr>
      </w:pPr>
      <w:r>
        <w:rPr>
          <w:rStyle w:val="Fontdeparagrafimplicit1"/>
          <w:color w:val="auto"/>
          <w:sz w:val="24"/>
        </w:rPr>
        <w:t>Furnizorii înregistrați și declarați de .....nu au înregistrat și declarat livrările de bunuri către această societate .</w:t>
      </w:r>
      <w:r>
        <w:rPr/>
        <w:drawing>
          <wp:inline distT="0" distB="0" distL="0" distR="0">
            <wp:extent cx="161925" cy="114300"/>
            <wp:effectExtent l="0" t="0" r="0" b="0"/>
            <wp:docPr id="3"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
                    <pic:cNvPicPr>
                      <a:picLocks noChangeAspect="1" noChangeArrowheads="1"/>
                    </pic:cNvPicPr>
                  </pic:nvPicPr>
                  <pic:blipFill>
                    <a:blip r:embed="rId4"/>
                    <a:stretch>
                      <a:fillRect/>
                    </a:stretch>
                  </pic:blipFill>
                  <pic:spPr bwMode="auto">
                    <a:xfrm>
                      <a:off x="0" y="0"/>
                      <a:ext cx="161925" cy="114300"/>
                    </a:xfrm>
                    <a:prstGeom prst="rect">
                      <a:avLst/>
                    </a:prstGeom>
                  </pic:spPr>
                </pic:pic>
              </a:graphicData>
            </a:graphic>
          </wp:inline>
        </w:drawing>
      </w:r>
    </w:p>
    <w:p>
      <w:pPr>
        <w:pStyle w:val="Frspaiere1"/>
        <w:ind w:firstLine="720"/>
        <w:jc w:val="both"/>
        <w:rPr>
          <w:color w:val="auto"/>
          <w:sz w:val="24"/>
        </w:rPr>
      </w:pPr>
      <w:r>
        <w:rPr>
          <w:rStyle w:val="Fontdeparagrafimplicit1"/>
          <w:color w:val="auto"/>
          <w:sz w:val="24"/>
        </w:rPr>
        <w:t>Chiar dacă ar fi existat anumite nereguli cu privire la întocmirea facturilor fiscale de aprovizionare având certitudinea că mărfurile lingourile de aluminiu au circulat, că în urma vânzărilor s-au înregistrat venituri și s-a colectat TVA, astfel că nu agenții economici din județul... se fac răspunzători de aceste nereguli -sentinţa nr.SC2-fila 15) Astfel, mențiunile din RIF încalcă statuările din hotărârile judecătorești definitive, precum și toate dispozițiile legale în vigoare privind dreptul de deducere naționale, precum și directivele europene și jurisprudența CJUE.</w:t>
      </w:r>
    </w:p>
    <w:p>
      <w:pPr>
        <w:pStyle w:val="Frspaiere1"/>
        <w:ind w:firstLine="720"/>
        <w:jc w:val="both"/>
        <w:rPr>
          <w:color w:val="auto"/>
          <w:sz w:val="24"/>
        </w:rPr>
      </w:pPr>
      <w:r>
        <w:rPr>
          <w:rStyle w:val="Fontdeparagrafimplicit1"/>
          <w:color w:val="auto"/>
          <w:sz w:val="24"/>
        </w:rPr>
        <w:t>-Invocarea prevederilor art.11 alin.(l) Cod fiscal este făcută în mod abuziv, deoarece organele de inspecție fiscală nu au demonstrat că tranzacțiile realizate de SC A1 COM SRL nu au avut un scop economic în sensul legii fiscale sau trebuiau reîncadrate pentru a reflecta conținutul economic al tranzacției.</w:t>
      </w:r>
    </w:p>
    <w:p>
      <w:pPr>
        <w:pStyle w:val="Frspaiere1"/>
        <w:ind w:firstLine="720"/>
        <w:jc w:val="both"/>
        <w:rPr>
          <w:color w:val="auto"/>
          <w:sz w:val="24"/>
        </w:rPr>
      </w:pPr>
      <w:r>
        <w:rPr>
          <w:rStyle w:val="Fontdeparagrafimplicit1"/>
          <w:color w:val="auto"/>
          <w:sz w:val="24"/>
        </w:rPr>
        <w:t>Activitatea economică desfășurată de SC A1 COM SRL este conformă definiției date de Codul fiscal art.125A1 alin.(l) pct.4 coroborat cu prevederile art.127 alin.(2):</w:t>
      </w:r>
    </w:p>
    <w:p>
      <w:pPr>
        <w:pStyle w:val="Frspaiere1"/>
        <w:ind w:firstLine="720"/>
        <w:jc w:val="both"/>
        <w:rPr>
          <w:color w:val="auto"/>
          <w:sz w:val="24"/>
        </w:rPr>
      </w:pPr>
      <w:r>
        <w:rPr>
          <w:rStyle w:val="Fontdeparagrafimplicit1"/>
          <w:color w:val="auto"/>
          <w:sz w:val="24"/>
        </w:rPr>
        <w:t>Organele de inspecție fiscale nu au demonstrat că activitatea economică a SC A1 COM SRL nu a respectat prevederile acestor articole din Codul fiscal pentru a reîncadra operațiunile economice desfășurate de societate pentru a reflecta conținutul economic al acestora.</w:t>
      </w:r>
    </w:p>
    <w:p>
      <w:pPr>
        <w:pStyle w:val="Frspaiere1"/>
        <w:ind w:firstLine="720"/>
        <w:jc w:val="both"/>
        <w:rPr>
          <w:color w:val="auto"/>
          <w:sz w:val="24"/>
        </w:rPr>
      </w:pPr>
      <w:r>
        <w:rPr>
          <w:rStyle w:val="Fontdeparagrafimplicit1"/>
          <w:color w:val="auto"/>
          <w:sz w:val="24"/>
        </w:rPr>
        <w:t>Organele de inspecție fiscală au încălcat în mod flagrant prevederile art.126 alin.(l) Cod fiscal, nefăcând o analiză prin prisma acestui articol dacă operațiunile desfășurate de SC A1 COM SRL au fost sau nu operațiuni impozabile din punctul de vedere al taxei pe valoarea adăugată pentru a fi sau nu reîncadrate și dacă au avut sau nu un scop economic, în condițiile în care activitățile economice desfășurate de SC A1 COM SRL au fost realizate în scopul realizării propriului obiect de activitate.</w:t>
      </w:r>
    </w:p>
    <w:p>
      <w:pPr>
        <w:pStyle w:val="Frspaiere1"/>
        <w:ind w:firstLine="720"/>
        <w:jc w:val="both"/>
        <w:rPr>
          <w:color w:val="auto"/>
          <w:sz w:val="24"/>
        </w:rPr>
      </w:pPr>
      <w:r>
        <w:rPr>
          <w:rStyle w:val="Fontdeparagrafimplicit1"/>
          <w:color w:val="auto"/>
          <w:sz w:val="24"/>
        </w:rPr>
        <w:t>Referitor la dispozițiile art.11 alin.1 din Legea 57112003 invocat ca temei de</w:t>
      </w:r>
    </w:p>
    <w:p>
      <w:pPr>
        <w:pStyle w:val="Frspaiere1"/>
        <w:ind w:firstLine="720"/>
        <w:jc w:val="both"/>
        <w:rPr>
          <w:color w:val="auto"/>
          <w:sz w:val="24"/>
        </w:rPr>
      </w:pPr>
      <w:r>
        <w:rPr>
          <w:rStyle w:val="Fontdeparagrafimplicit1"/>
          <w:color w:val="auto"/>
          <w:sz w:val="24"/>
        </w:rPr>
        <w:t>Obiectul principal de activitate al SC A1 COM SRL este turnarea metalelor neferoase si obținerea de aliaje de aluminiu. Pentru realizarea produselor finite și anume lingouri din aliaje de aluminiu încadrate într-un standard de calitate, societatea folosește materii prime, materiale auxiliare, utilități, forță de muncă etc. Așadar, scopul economic al activității desfășurate este de a obține și valorifica produsele finite, respectiv lingourile din aliaje de aluminiu.</w:t>
      </w:r>
    </w:p>
    <w:p>
      <w:pPr>
        <w:pStyle w:val="Frspaiere1"/>
        <w:ind w:firstLine="720"/>
        <w:jc w:val="both"/>
        <w:rPr>
          <w:color w:val="auto"/>
          <w:sz w:val="24"/>
        </w:rPr>
      </w:pPr>
      <w:r>
        <w:rPr>
          <w:rStyle w:val="Fontdeparagrafimplicit1"/>
          <w:color w:val="auto"/>
          <w:sz w:val="24"/>
        </w:rPr>
        <w:t>-Pentru realizarea acestui scop economic cheltuiala principal este cea cu material primă, așadar dispozițiile art.11 alin.1 din Legea 571/2003 privind Codul fiscal nu pot fi invocate cu privire la tranzacțiile de achiziții materii prime, al căror scop economic este de a asigură realizarea producției si a obiectului principal al societății.</w:t>
      </w:r>
    </w:p>
    <w:p>
      <w:pPr>
        <w:pStyle w:val="Frspaiere1"/>
        <w:ind w:firstLine="720"/>
        <w:jc w:val="both"/>
        <w:rPr>
          <w:color w:val="auto"/>
          <w:sz w:val="24"/>
        </w:rPr>
      </w:pPr>
      <w:r>
        <w:rPr>
          <w:rStyle w:val="Fontdeparagrafimplicit1"/>
          <w:color w:val="auto"/>
          <w:sz w:val="24"/>
        </w:rPr>
        <w:t>-Nu se pot obține produse finite în cadrul unui proces de producție folosind doar materiale auxiliare, combustibil, energie si forță de muncă.</w:t>
      </w:r>
    </w:p>
    <w:p>
      <w:pPr>
        <w:pStyle w:val="Frspaiere1"/>
        <w:ind w:firstLine="720"/>
        <w:jc w:val="both"/>
        <w:rPr>
          <w:color w:val="auto"/>
          <w:sz w:val="24"/>
        </w:rPr>
      </w:pPr>
      <w:r>
        <w:rPr>
          <w:rStyle w:val="Fontdeparagrafimplicit1"/>
          <w:color w:val="auto"/>
          <w:sz w:val="24"/>
        </w:rPr>
        <w:t>Pentru realizarea acestui scop economic materia primă este principalul element asupra căruia se acționează în vederea obținerii produselor finite.</w:t>
      </w:r>
    </w:p>
    <w:p>
      <w:pPr>
        <w:pStyle w:val="Frspaiere1"/>
        <w:ind w:firstLine="720"/>
        <w:jc w:val="both"/>
        <w:rPr>
          <w:color w:val="auto"/>
          <w:sz w:val="24"/>
        </w:rPr>
      </w:pPr>
      <w:r>
        <w:rPr>
          <w:rStyle w:val="Fontdeparagrafimplicit1"/>
          <w:color w:val="auto"/>
          <w:sz w:val="24"/>
        </w:rPr>
        <w:t>Ori, organele de inspecție fiscală nu au demonstrat că SC A1 COM SRL nu a aprovizionat bunurile de la furnizorii săi, demonstrație care trebuia făcută prin indicarea altor furnizori de la care se presupunea de către organele fiscale că s-ar fi făcut aceste aprovizionări.</w:t>
      </w:r>
    </w:p>
    <w:p>
      <w:pPr>
        <w:pStyle w:val="Frspaiere1"/>
        <w:ind w:firstLine="720"/>
        <w:jc w:val="both"/>
        <w:rPr>
          <w:color w:val="auto"/>
          <w:sz w:val="24"/>
        </w:rPr>
      </w:pPr>
      <w:r>
        <w:rPr>
          <w:rStyle w:val="Fontdeparagrafimplicit1"/>
          <w:color w:val="auto"/>
          <w:sz w:val="24"/>
        </w:rPr>
        <w:t>Invocarea unor sesizări penale ale furnizorilor sau ale furnizorilor nu sunt o probă în sensul art.49 Cod procedură fiscală, care să poată fi administrată în susținerea constatărilor din acest RIF si din care să rezulte că SC A1 COM SRL a aprovizionat de la alte persoane lingourile de aluminiu decât cele care se regăsesc în evidența contabilă a societății.</w:t>
      </w:r>
    </w:p>
    <w:p>
      <w:pPr>
        <w:pStyle w:val="Frspaiere1"/>
        <w:ind w:firstLine="720"/>
        <w:jc w:val="both"/>
        <w:rPr>
          <w:color w:val="auto"/>
          <w:sz w:val="24"/>
        </w:rPr>
      </w:pPr>
      <w:r>
        <w:rPr>
          <w:rStyle w:val="Fontdeparagrafimplicit1"/>
          <w:color w:val="auto"/>
          <w:sz w:val="24"/>
        </w:rPr>
        <w:t>Mai mult, instanțele de judecată au statuat irevocabil, cu putere de lucru judecat, faptul că formularea de plângeri penale pentru furnizorii SC A1 COM SRL nu presupune faptul că tranzacțiile nu sunt reale, în condițiile în care au fost înregistrate în contabilitate si dețin toate actele financiar contabile care fac dovada intrării în gestiune.</w:t>
      </w:r>
    </w:p>
    <w:p>
      <w:pPr>
        <w:pStyle w:val="Frspaiere1"/>
        <w:ind w:firstLine="720"/>
        <w:jc w:val="both"/>
        <w:rPr>
          <w:color w:val="auto"/>
          <w:sz w:val="24"/>
        </w:rPr>
      </w:pPr>
      <w:r>
        <w:rPr>
          <w:rStyle w:val="Fontdeparagrafimplicit1"/>
          <w:color w:val="auto"/>
          <w:sz w:val="24"/>
        </w:rPr>
        <w:t>În acest sens, furnizorii SC A1 COM SRL au fost sancționați de către organele fiscale competente, fiind obligați la plata în solidar a taxei pe valoarea adăugată cu furnizorii lor. Prin impunerea si a SC A1 este o dubla impunere, fapt ce contravine tuturor dispozițiilor legale naționale si europene.</w:t>
      </w:r>
    </w:p>
    <w:p>
      <w:pPr>
        <w:pStyle w:val="Frspaiere1"/>
        <w:ind w:firstLine="720"/>
        <w:jc w:val="both"/>
        <w:rPr>
          <w:color w:val="auto"/>
          <w:sz w:val="24"/>
        </w:rPr>
      </w:pPr>
      <w:r>
        <w:rPr>
          <w:rStyle w:val="Fontdeparagrafimplicit1"/>
          <w:color w:val="auto"/>
          <w:sz w:val="24"/>
        </w:rPr>
        <w:t>SC A1 COM SRL nu este răspunzător pentru activitatea desfășurată de furnizor și nu poate fi obligată la plata în solidar a taxei cu furnizorii furnizorilor săi, aceasta fiind situația nelegală creată de organele de inspecție fiscală prin nerespectarea prevederilor legale mai sus menționate, fiind vorba de livrări separate, cu persoane diferite. care nu au legătură directă unele cu celelalte, respectiv SC A1 COM SRL cu furnizorii săi.</w:t>
      </w:r>
    </w:p>
    <w:p>
      <w:pPr>
        <w:pStyle w:val="Frspaiere1"/>
        <w:ind w:firstLine="720"/>
        <w:jc w:val="both"/>
        <w:rPr>
          <w:color w:val="auto"/>
          <w:sz w:val="24"/>
        </w:rPr>
      </w:pPr>
      <w:r>
        <w:rPr>
          <w:rStyle w:val="Fontdeparagrafimplicit1"/>
          <w:color w:val="auto"/>
          <w:sz w:val="24"/>
        </w:rPr>
        <w:t>De altfel furnizorii SC A1 COM SRL au fost verificați din punct de vedere fiscal de către organele fiscale competente și în cuprinsul rapoartelor de inspecție fiscală încheiate și depuse în probatoriu la instanțele de judecată, s-a reținut pentru toți acești furnizori că au colectat TVA, deci facturile de livrare către SC A1 COM SRL au calitatea de documente justificative, livrările fiind reale iar contravaloarea facturii (inclusiv a taxei TVA) fiind încasată prin virament bancar.</w:t>
      </w:r>
    </w:p>
    <w:p>
      <w:pPr>
        <w:pStyle w:val="Frspaiere1"/>
        <w:ind w:firstLine="720"/>
        <w:jc w:val="both"/>
        <w:rPr>
          <w:color w:val="auto"/>
          <w:sz w:val="24"/>
        </w:rPr>
      </w:pPr>
      <w:r>
        <w:drawing>
          <wp:anchor distT="0" distB="0" distL="114300" distR="114300" simplePos="0" relativeHeight="5" behindDoc="0" locked="0" layoutInCell="0" allowOverlap="0">
            <wp:simplePos x="0" y="0"/>
            <wp:positionH relativeFrom="page">
              <wp:posOffset>7056120</wp:posOffset>
            </wp:positionH>
            <wp:positionV relativeFrom="page">
              <wp:posOffset>9231630</wp:posOffset>
            </wp:positionV>
            <wp:extent cx="14605" cy="14605"/>
            <wp:effectExtent l="0" t="0" r="0" b="0"/>
            <wp:wrapSquare wrapText="bothSides"/>
            <wp:docPr id="4" name="Picture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descr=""/>
                    <pic:cNvPicPr>
                      <a:picLocks noChangeAspect="1" noChangeArrowheads="1"/>
                    </pic:cNvPicPr>
                  </pic:nvPicPr>
                  <pic:blipFill>
                    <a:blip r:embed="rId5"/>
                    <a:stretch>
                      <a:fillRect/>
                    </a:stretch>
                  </pic:blipFill>
                  <pic:spPr bwMode="auto">
                    <a:xfrm>
                      <a:off x="0" y="0"/>
                      <a:ext cx="14605" cy="14605"/>
                    </a:xfrm>
                    <a:prstGeom prst="rect">
                      <a:avLst/>
                    </a:prstGeom>
                  </pic:spPr>
                </pic:pic>
              </a:graphicData>
            </a:graphic>
          </wp:anchor>
        </w:drawing>
        <w:drawing>
          <wp:anchor distT="0" distB="0" distL="114300" distR="114300" simplePos="0" relativeHeight="6" behindDoc="0" locked="0" layoutInCell="0" allowOverlap="0">
            <wp:simplePos x="0" y="0"/>
            <wp:positionH relativeFrom="page">
              <wp:posOffset>7031355</wp:posOffset>
            </wp:positionH>
            <wp:positionV relativeFrom="page">
              <wp:posOffset>9237345</wp:posOffset>
            </wp:positionV>
            <wp:extent cx="14605" cy="14605"/>
            <wp:effectExtent l="0" t="0" r="0" b="0"/>
            <wp:wrapSquare wrapText="bothSides"/>
            <wp:docPr id="5" name="Picture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6" descr=""/>
                    <pic:cNvPicPr>
                      <a:picLocks noChangeAspect="1" noChangeArrowheads="1"/>
                    </pic:cNvPicPr>
                  </pic:nvPicPr>
                  <pic:blipFill>
                    <a:blip r:embed="rId6"/>
                    <a:stretch>
                      <a:fillRect/>
                    </a:stretch>
                  </pic:blipFill>
                  <pic:spPr bwMode="auto">
                    <a:xfrm>
                      <a:off x="0" y="0"/>
                      <a:ext cx="14605" cy="14605"/>
                    </a:xfrm>
                    <a:prstGeom prst="rect">
                      <a:avLst/>
                    </a:prstGeom>
                  </pic:spPr>
                </pic:pic>
              </a:graphicData>
            </a:graphic>
          </wp:anchor>
        </w:drawing>
        <w:drawing>
          <wp:anchor distT="0" distB="0" distL="114300" distR="114300" simplePos="0" relativeHeight="7" behindDoc="0" locked="0" layoutInCell="0" allowOverlap="0">
            <wp:simplePos x="0" y="0"/>
            <wp:positionH relativeFrom="page">
              <wp:posOffset>7305675</wp:posOffset>
            </wp:positionH>
            <wp:positionV relativeFrom="page">
              <wp:posOffset>3491230</wp:posOffset>
            </wp:positionV>
            <wp:extent cx="14605" cy="18415"/>
            <wp:effectExtent l="0" t="0" r="0" b="0"/>
            <wp:wrapSquare wrapText="bothSides"/>
            <wp:docPr id="6"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4" descr=""/>
                    <pic:cNvPicPr>
                      <a:picLocks noChangeAspect="1" noChangeArrowheads="1"/>
                    </pic:cNvPicPr>
                  </pic:nvPicPr>
                  <pic:blipFill>
                    <a:blip r:embed="rId7"/>
                    <a:stretch>
                      <a:fillRect/>
                    </a:stretch>
                  </pic:blipFill>
                  <pic:spPr bwMode="auto">
                    <a:xfrm>
                      <a:off x="0" y="0"/>
                      <a:ext cx="14605" cy="18415"/>
                    </a:xfrm>
                    <a:prstGeom prst="rect">
                      <a:avLst/>
                    </a:prstGeom>
                  </pic:spPr>
                </pic:pic>
              </a:graphicData>
            </a:graphic>
          </wp:anchor>
        </w:drawing>
      </w:r>
      <w:r>
        <w:rPr>
          <w:rStyle w:val="Fontdeparagrafimplicit1"/>
          <w:color w:val="auto"/>
          <w:sz w:val="24"/>
        </w:rPr>
        <w:t>Prin urmare, dacă furnizorii SC A1 Com SRL au colectat TVA-ul aferent livrărilor efectuate este evident că SC A1 Com SRL are dreptul de deducere a TVA-ului aferent acestor achiziții, iar facturile de achiziție au calitatea de documente justificative.</w:t>
      </w:r>
    </w:p>
    <w:p>
      <w:pPr>
        <w:pStyle w:val="Frspaiere1"/>
        <w:ind w:firstLine="720"/>
        <w:jc w:val="both"/>
        <w:rPr>
          <w:color w:val="auto"/>
          <w:sz w:val="24"/>
        </w:rPr>
      </w:pPr>
      <w:r>
        <w:rPr>
          <w:rStyle w:val="Fontdeparagrafimplicit1"/>
          <w:color w:val="auto"/>
          <w:sz w:val="24"/>
        </w:rPr>
        <w:t xml:space="preserve">• </w:t>
      </w:r>
      <w:r>
        <w:rPr>
          <w:rStyle w:val="Fontdeparagrafimplicit1"/>
          <w:color w:val="auto"/>
          <w:sz w:val="24"/>
        </w:rPr>
        <w:t>Referitor la situația societăților inactive sau neînregistrate din punct de vedere al WA menționate în Raportul de inspecție fiscală ca furnizori ai SC A1 COM SRL, prin care se refuză dreptul de deducere, aceasta contravine dreptului Uniunii și jurisprudenței Curții Europene de Justiție (exemplificăm SC A4 SRL), în acest sens fiind cauza C-277114 a Curții de Justiție a Uniunii Europene care a statuat la punctele 40, 41, 42, 44, 46, că nu poate fi anihilat dreptul de deducere pe acest motiv, având în vedere că în calitate de beneficiar al mărfii livrate ca persoană impozabili îndeplinea condițiile dreptului de deducere iar bunurile au fost remise în mod efectiv către SC A1 COM SRL, fiind utilizate în scopul operațiunilor sale taxabile, marfa fiind plătită efectiv pentru livrările respective.</w:t>
      </w:r>
    </w:p>
    <w:p>
      <w:pPr>
        <w:pStyle w:val="Frspaiere1"/>
        <w:ind w:firstLine="720"/>
        <w:jc w:val="both"/>
        <w:rPr>
          <w:color w:val="auto"/>
          <w:sz w:val="24"/>
        </w:rPr>
      </w:pPr>
      <w:r>
        <w:rPr>
          <w:rStyle w:val="Fontdeparagrafimplicit1"/>
          <w:color w:val="auto"/>
          <w:sz w:val="24"/>
        </w:rPr>
        <w:t>-SC A1 COM SRL nu știa și nu avea cum să știe de modul de dobândire de către furnizor a mărfii livrate către societatea noastră, iar facturile îndeplineau condițiile de formă și fond pentru nașterea și exercitarea dreptului de deducere astfel încât dreptul de deducere a fost în mod nelegal anihilat de către echipa de control.</w:t>
      </w:r>
    </w:p>
    <w:p>
      <w:pPr>
        <w:pStyle w:val="Frspaiere1"/>
        <w:ind w:firstLine="720"/>
        <w:jc w:val="both"/>
        <w:rPr>
          <w:color w:val="auto"/>
          <w:sz w:val="24"/>
        </w:rPr>
      </w:pPr>
      <w:r>
        <w:rPr>
          <w:rStyle w:val="Fontdeparagrafimplicit1"/>
          <w:color w:val="auto"/>
          <w:sz w:val="24"/>
        </w:rPr>
        <w:t>-in condițiile în care TVA este o taxă armonizată la nivelul Uniunii Europene cu prevederile Directivei 112 privind TVA și in legislația din România această armonizare are loc doar prin Titlul VI din Codul fiscal și nu prin alte articole de Ia Dispoziții Generale, interpretarea dreptului de deducere a TVA și a condițiilor de exercitare este efectuată de către CJUE.</w:t>
      </w:r>
    </w:p>
    <w:p>
      <w:pPr>
        <w:pStyle w:val="Frspaiere1"/>
        <w:ind w:firstLine="720"/>
        <w:jc w:val="both"/>
        <w:rPr>
          <w:color w:val="auto"/>
          <w:sz w:val="24"/>
        </w:rPr>
      </w:pPr>
      <w:r>
        <w:rPr>
          <w:rStyle w:val="Fontdeparagrafimplicit1"/>
          <w:color w:val="auto"/>
          <w:sz w:val="24"/>
        </w:rPr>
        <w:t>În acest sens, se identifică in jurisprudența Curții de Justiție a Uniunii Europene o speță în cauza C 438/09, unde CIUE arată că, atunci când un contribuabil nu este înregistrat în scopuri de TVA, dar facturează cu TVA, atunci dreptul de deducere al contribuabilului care primește astfel de bunuri nu poate fi anulat. iar organul fiscal este obligat să îl acorde în condițiile în care operațiunea în sine este taxabilă.</w:t>
      </w:r>
    </w:p>
    <w:p>
      <w:pPr>
        <w:pStyle w:val="Frspaiere1"/>
        <w:ind w:firstLine="720"/>
        <w:jc w:val="both"/>
        <w:rPr>
          <w:color w:val="auto"/>
          <w:sz w:val="24"/>
        </w:rPr>
      </w:pPr>
      <w:r>
        <w:rPr>
          <w:rStyle w:val="Fontdeparagrafimplicit1"/>
          <w:color w:val="auto"/>
          <w:sz w:val="24"/>
        </w:rPr>
        <w:t>In drept: art.l, art.2, art.8, Legea 554/2004; Legea 207/2015; OG 92/2003; jurisprudența CJUE; Directiva 112/2006/CE.</w:t>
      </w:r>
    </w:p>
    <w:p>
      <w:pPr>
        <w:pStyle w:val="Frspaiere1"/>
        <w:ind w:firstLine="720"/>
        <w:jc w:val="both"/>
        <w:rPr>
          <w:color w:val="auto"/>
          <w:sz w:val="24"/>
        </w:rPr>
      </w:pPr>
      <w:r>
        <w:rPr>
          <w:rStyle w:val="Fontdeparagrafimplicit1"/>
          <w:color w:val="auto"/>
          <w:sz w:val="24"/>
        </w:rPr>
        <w:t>În probatoriu: înscrisuri, expertiza fiscala și orice probă utilă și pertinentă cauzei ce va reieși din dezbateri, Cu cheltuieli de judecata.</w:t>
      </w:r>
    </w:p>
    <w:p>
      <w:pPr>
        <w:pStyle w:val="Normal"/>
        <w:jc w:val="both"/>
        <w:rPr/>
      </w:pPr>
      <w:r>
        <w:rPr/>
        <w:tab/>
      </w:r>
      <w:r>
        <w:rPr>
          <w:rStyle w:val="Fontdeparagrafimplicit1"/>
          <w:b/>
        </w:rPr>
        <w:t xml:space="preserve">Pârâta Administrația Județeană a Finanțelor PUBLICE ... a formulat ÎNTÂMPINARE, </w:t>
      </w:r>
      <w:r>
        <w:rPr/>
        <w:t>solicitând respingerea cererii de chemare în judecată formulată de SC A1 COM SRL pentru următoarele motive:</w:t>
      </w:r>
    </w:p>
    <w:p>
      <w:pPr>
        <w:pStyle w:val="Normal"/>
        <w:jc w:val="both"/>
        <w:rPr/>
      </w:pPr>
      <w:r>
        <w:rPr/>
        <w:tab/>
        <w:t>În fapt, în urma controlului efectuat la contestatoare a fost încheiat raportul de inspecție fiscală nr.  ...  ...9/14.12.2015, iar în baza acestuia a fost emisă Decizia de impunere nr.  ...  ...0/14.12.2015 privind obligațiile fiscale suplimentare stabilite de inspecția fiscală, acte prin care s-au calculat pentru perioada 01.01.2011-30.06.2015 în sarcina contestatoarei obligații fiscale în sumă totală de 8.529.912 lei.</w:t>
      </w:r>
    </w:p>
    <w:p>
      <w:pPr>
        <w:pStyle w:val="Normal"/>
        <w:jc w:val="both"/>
        <w:rPr/>
      </w:pPr>
      <w:r>
        <w:rPr/>
        <w:tab/>
        <w:t>Împotriva acestor acte de control s-a formulat contestație ce a fost respinsă ca neîntemeiată prin Decizia nr.  .../17.07.2020 emisă de ANAF. S-a reținut că organele de inspecție fiscală au stabilit corect situația de fapt şi de drept având în vedere obiectivele controlului (astfel cum sunt menționate în raportul de inspecție fiscală), realizând totodată o încadrare juridică adecvată (aplicabile fiind atât dispozițiile Legii nr. 571/2003, OG nr. 92/2003).</w:t>
      </w:r>
    </w:p>
    <w:p>
      <w:pPr>
        <w:pStyle w:val="Normal"/>
        <w:jc w:val="both"/>
        <w:rPr/>
      </w:pPr>
      <w:r>
        <w:rPr/>
        <w:tab/>
        <w:t>Astfel, nu s-a acordat societății contestatare dreptul de deducere al taxei pe valoarea adăugata in suma de 4.917.002 lei, înscrisă în facturile emise de diverși furnizori, având ca obiect achiziții de bunuri, constând in lingouri de aluminiu, pe motiv că societatea nu a prezentat documente din care să rezulte că acestea au fost destinate utilizării în folosul operațiunilor taxabile, fiind încălcate astfel prevederile art.145 alin.(2) lit.a), art. 146 alin.(1) lit.a) şi art.155 alin.(5) lit.e) din Legea nr.571/2003 privind Codul fiscal, cu modificările şi completările ulterioare.</w:t>
      </w:r>
    </w:p>
    <w:p>
      <w:pPr>
        <w:pStyle w:val="Normal"/>
        <w:jc w:val="both"/>
        <w:rPr/>
      </w:pPr>
      <w:r>
        <w:rPr/>
        <w:tab/>
        <w:t>Totodată, în ceea ce privește achizițiile de bunuri de la SC A5 SRL, întrucât societatea nu a prezentat certificatul de calitate din care să rezulte că bunurile achiziționate reprezintă produse finite şi nu deșeuri, aceasta avea obligația aplicării măsurilor de simplificare în conformitate cu prevederile art.160 alin.(2) lit.a) din Legea nr. 571/2003 privind Codul fiscal, cu modificările si completările ulterioare, fapt pentru care s-a calculat o diferență de taxă pe valoarea adăugată în sumă de 90.821 lei.</w:t>
      </w:r>
    </w:p>
    <w:p>
      <w:pPr>
        <w:pStyle w:val="Normal"/>
        <w:jc w:val="both"/>
        <w:rPr/>
      </w:pPr>
      <w:r>
        <w:rPr/>
        <w:tab/>
        <w:t>Soluția adoptată de organul de inspecție si cel de soluționare a contestației este întemeiată şi legală, având în vedere dispozițiile legale aplicabile, menționate mai sus.</w:t>
      </w:r>
    </w:p>
    <w:p>
      <w:pPr>
        <w:pStyle w:val="Normal"/>
        <w:jc w:val="both"/>
        <w:rPr/>
      </w:pPr>
      <w:r>
        <w:rPr/>
        <w:tab/>
        <w:t>Astfel, vechiul cod fiscal, aplicabil în perioada desfășurării operațiunilor verificate de către societatea contestatoare, prevede la art. 145 alin. (2) lit. a:</w:t>
      </w:r>
    </w:p>
    <w:p>
      <w:pPr>
        <w:pStyle w:val="Normal"/>
        <w:jc w:val="both"/>
        <w:rPr/>
      </w:pPr>
      <w:r>
        <w:rPr/>
        <w:t>"Orice persoană impozabilă are dreptul să deducă taxa aferentă achizițiilor, dacă acestea sunt destinate utilizării în folosul următoarelor operațiuni:</w:t>
      </w:r>
    </w:p>
    <w:p>
      <w:pPr>
        <w:pStyle w:val="Normal"/>
        <w:jc w:val="both"/>
        <w:rPr/>
      </w:pPr>
      <w:r>
        <w:rPr/>
        <w:t>a) operațiuni taxabile;"</w:t>
      </w:r>
    </w:p>
    <w:p>
      <w:pPr>
        <w:pStyle w:val="Normal"/>
        <w:jc w:val="both"/>
        <w:rPr/>
      </w:pPr>
      <w:r>
        <w:rPr/>
        <w:tab/>
        <w:t>De asemenea, in ceea ce privește taxa pe valoarea adăugata, art, 146 alin. (1) Kt a) din Legea nr. 571/2003, prevede că "pentru taxa datorată sau achitată, aferentă bunurilor care i-au fost ori urmează să-i fie livrate sau serviciilor care i-au fost ori urmează să-i fie prestate în beneficiul sau, să dețină o factură care să cuprindă informațiile prevăzute la art. 155, alin. 5", respectiv;</w:t>
      </w:r>
    </w:p>
    <w:p>
      <w:pPr>
        <w:pStyle w:val="Normal"/>
        <w:jc w:val="both"/>
        <w:rPr/>
      </w:pPr>
      <w:r>
        <w:rPr/>
        <w:tab/>
        <w:t>"Factura cuprinde în mod obligatoriu următoarele informații: a)numărul de ordine, în baza uneia sau mai multor serii, care identifică factura în mod unic;</w:t>
      </w:r>
    </w:p>
    <w:p>
      <w:pPr>
        <w:pStyle w:val="Normal"/>
        <w:jc w:val="both"/>
        <w:rPr/>
      </w:pPr>
      <w:r>
        <w:rPr/>
        <w:tab/>
        <w:t>b)data emiterii facturii;</w:t>
      </w:r>
    </w:p>
    <w:p>
      <w:pPr>
        <w:pStyle w:val="Normal"/>
        <w:jc w:val="both"/>
        <w:rPr/>
      </w:pPr>
      <w:r>
        <w:rPr/>
        <w:tab/>
        <w:t>c)data la care au fost livrate bunurile/prestate serviciile sau data încasării unui avans, în măsura în care această dată diferă de data emiterii facturii;</w:t>
      </w:r>
    </w:p>
    <w:p>
      <w:pPr>
        <w:pStyle w:val="Normal"/>
        <w:jc w:val="both"/>
        <w:rPr/>
      </w:pPr>
      <w:r>
        <w:rPr/>
        <w:tab/>
        <w:t>d)denumirea/numele, adresa şi codul de înregistrare în scopuri de TVA sau, după caz, codul de identificare fiscală, ale persoanei impozabile care emite factura;</w:t>
      </w:r>
    </w:p>
    <w:p>
      <w:pPr>
        <w:pStyle w:val="Normal"/>
        <w:jc w:val="both"/>
        <w:rPr/>
      </w:pPr>
      <w:r>
        <w:rPr/>
        <w:tab/>
        <w:t>e)denumirea/numele furnizorului/prestatorului care nu este stabilit în România şi care şi-a desemnat un reprezentant fiscal, precum şi denumirea/numele, adresa şi codul de înregistrare în scopuri de TVA, conform art. 153 ale reprezentantului fiscal;</w:t>
      </w:r>
    </w:p>
    <w:p>
      <w:pPr>
        <w:pStyle w:val="Normal"/>
        <w:jc w:val="both"/>
        <w:rPr/>
      </w:pPr>
      <w:r>
        <w:rPr/>
        <w:tab/>
        <w:t>f)denumirea/numele si adresa beneficiarului bunurilor sau serviciilor, precum şi codul de înregistrare în scopuri de TVA sau codul de identificare fiscală ale beneficiarului, dacă acesta este o persoană impozabilă sau o persoană juridică neimpozabilă;"</w:t>
      </w:r>
    </w:p>
    <w:p>
      <w:pPr>
        <w:pStyle w:val="Normal"/>
        <w:jc w:val="both"/>
        <w:rPr/>
      </w:pPr>
      <w:r>
        <w:rPr/>
        <w:tab/>
        <w:t>Având în vedere prevederile legale menționate mai sus, rezultă că orice persoană impozabilă are dreptul să deducă TVA aferentă bunurilor aprovizionate dacă acestea sunt destinate a fi folosite la realizarea altor operațiuni taxabile şi dacă prezintă exemplarul original al facturii, care sa cuprindă informațiile obligatorii cerute de lege.</w:t>
      </w:r>
    </w:p>
    <w:p>
      <w:pPr>
        <w:pStyle w:val="Normal"/>
        <w:jc w:val="both"/>
        <w:rPr/>
      </w:pPr>
      <w:r>
        <w:rPr/>
        <w:tab/>
        <w:t>Așadar, simpla deținere a unei facturi nu este suficienta pentru a beneficia de dreptul de deducere, trebuind îndeplinită şi condiția cumulativa, de fond, ca bunurile să fie destinate operațiunilor taxabile.</w:t>
      </w:r>
    </w:p>
    <w:p>
      <w:pPr>
        <w:pStyle w:val="Normal"/>
        <w:jc w:val="both"/>
        <w:rPr/>
      </w:pPr>
      <w:r>
        <w:rPr/>
        <w:tab/>
        <w:t>În acest sens, şi jurisprudența CJUE recunoaște statelor membre dreptul de a solicita dovezi pentru demonstrarea dreptului de deducere a T.V.A., stabilind (cauza Rompelman) ca este obligația persoanei care solicita deducerea TVA să demonstreze ca sunt îndeplinite toate condițiile legate pentru acordarea deducerii.</w:t>
      </w:r>
    </w:p>
    <w:p>
      <w:pPr>
        <w:pStyle w:val="Normal"/>
        <w:jc w:val="both"/>
        <w:rPr/>
      </w:pPr>
      <w:r>
        <w:rPr/>
        <w:tab/>
        <w:t>In cauza de față, controalele încrucișate desfășurate atât la furnizorii societății contestatoare cât şi la furnizorii acestora, au arătat faptul că achizițiile au fost efectuate de la societăți care se încadrează în tipologia societăților „fantomă", create pentru a furniza documente de proveniență a mărfurilor, care ulterior erau tranzacționate doar la nivel scriptic, cu scopul de a diminua obligațiile fiscale ale beneficiarilor finali, aşa cum exemplifică mai jos:</w:t>
      </w:r>
    </w:p>
    <w:p>
      <w:pPr>
        <w:pStyle w:val="Normal"/>
        <w:jc w:val="both"/>
        <w:rPr/>
      </w:pPr>
      <w:r>
        <w:rPr/>
        <w:tab/>
        <w:t>SC A2 SRL - societate radiată din data de. 22.02.2013, inactivă din 11.06.2012 şi neplătitoare de TVA/scoatere din evidență ca plătitor din data de 11.06.2012.</w:t>
      </w:r>
    </w:p>
    <w:p>
      <w:pPr>
        <w:pStyle w:val="Normal"/>
        <w:jc w:val="both"/>
        <w:rPr/>
      </w:pPr>
      <w:r>
        <w:rPr/>
        <w:tab/>
        <w:t>Urmare controlului încrucișat efectuat, s-a constatat că furnizorii înregistrați şi declarați de SC A2 SRL nu au înregistrat şi declarat livrările de bunuri către această societate întrucât erau declarați inactivi la data înscrisă pe facturi, nu au recunoscut tranzacțiile întrucât activitatea desfășurată de aceștia este total diferită faţă de datele înscrise în facturi, aveau activitatea suspendată la data înscrisă pe facturi sau nu erau plătitori de TVA la data înscrisă pe facturi.</w:t>
      </w:r>
    </w:p>
    <w:p>
      <w:pPr>
        <w:pStyle w:val="Normal"/>
        <w:jc w:val="both"/>
        <w:rPr/>
      </w:pPr>
      <w:r>
        <w:rPr/>
        <w:tab/>
        <w:t>Organele de inspecție fiscală au constatat că SC A1 COM SRL a înregistrat in evidenta contabila, respectiv în jurnalul de cumpărări, decontul de TVA si Declarația 394, aprovizionări de lingouri si aliaje aluminiu de la A2 SRL in suma de 1.334.625 lei pentru care a înregistrat TVA deductibila in suma de 320.310 lei, dar facturile care au înscris acest furnizor nu îndeplinesc calitatea de document justificativ întrucât nu au toate datele înscrise, respectiv adresa beneficiarului (strada si numărul).</w:t>
      </w:r>
    </w:p>
    <w:p>
      <w:pPr>
        <w:pStyle w:val="Normal"/>
        <w:jc w:val="both"/>
        <w:rPr/>
      </w:pPr>
      <w:r>
        <w:rPr/>
        <w:t>SC A6 SRL - societate radiată din data de 07.03.2014, scoasă din evidență ca plătitor de TVA cu data de 01.08.2012, nu a avut niciodată salariați şi nu a declarat în Declarația 394 livrări către SC A1 COM SRL ....</w:t>
      </w:r>
    </w:p>
    <w:p>
      <w:pPr>
        <w:pStyle w:val="Normal"/>
        <w:jc w:val="both"/>
        <w:rPr/>
      </w:pPr>
      <w:r>
        <w:rPr/>
        <w:tab/>
        <w:t>Urmare controlului încrucișat efectuat, s-a constatat că furnizorii înregistrați şi declarați de SC A6 SRL nu au înregistrat şi declarat livrările de bunuri către această societate întrucât erau radiați, erau în inactivitate temporară, erau neplătitori de TVA sau au prezentat facturi de achiziție de aluminiu pe care nu sunt înscrise toate datele de identificare sau informațiile nu au concordanță cu cele înscrise în bazele de date ale organelor fiscale teritoriale.</w:t>
      </w:r>
    </w:p>
    <w:p>
      <w:pPr>
        <w:pStyle w:val="Normal"/>
        <w:jc w:val="both"/>
        <w:rPr/>
      </w:pPr>
      <w:r>
        <w:rPr/>
        <w:tab/>
        <w:t>Totodată, s-a constatat că A6 SRL nu a realizat operațiuni în condiții de autorizare legală, nu deține spații de depozitare, nu deține mijloace de transport autorizate, mijloace de încărcare - descărcare impuse de normele legale, nu are autorizație de mediu, astfel încât s-a concluzionat că nu se poate justifica modalitatea de achiziționare a aluminiului cu documente de transport, însoţire, expediere a bunurilor.</w:t>
      </w:r>
    </w:p>
    <w:p>
      <w:pPr>
        <w:pStyle w:val="Normal"/>
        <w:jc w:val="both"/>
        <w:rPr/>
      </w:pPr>
      <w:r>
        <w:rPr/>
        <w:tab/>
        <w:t>SC A3 SRL - este inactivă din data de 21.05.2012, urmare a neîndeplinirii obligațiilor declarative si neplătitor de TVA de la data de 21.05.2012, iar din 07.06.2013 este radiată.</w:t>
      </w:r>
    </w:p>
    <w:p>
      <w:pPr>
        <w:pStyle w:val="Normal"/>
        <w:jc w:val="both"/>
        <w:rPr/>
      </w:pPr>
      <w:r>
        <w:rPr/>
        <w:tab/>
        <w:t>In anul 2011, A1 SRL a înregistrat in evidenta contabila facturi de achiziții reprezentând lingouri aluminiu de la A3 SRL, in suma totala de 1.791.798 tei si TVA deductibilă în suma de 430.032 lei, iar din analiza facturilor înregistrate reiese ca la adresa cumpărătorului, este trecuta numai localitatea -..., fara strada si număr.</w:t>
      </w:r>
    </w:p>
    <w:p>
      <w:pPr>
        <w:pStyle w:val="Normal"/>
        <w:jc w:val="both"/>
        <w:rPr/>
      </w:pPr>
      <w:r>
        <w:rPr/>
        <w:tab/>
        <w:t>De asemenea, se reține că urmare controlului încrucișat A3 SRL nu poate justifica modalitatea de achiziție cu documente de transport si expediere a mărfurilor înregistrate in evidenta contabila, deoarece nu a pus la dispoziția controlului avize de însoțire a mărfii, comenzi de transport, către societăți specializate in transportul de marfa, bonuri de cântar, certificate de analiza/calitate, nu deține mijloace de transport proprii si nici nu a încheiat contracte de închiriere sau comodat cu deținători de mijloace de transport specializate si autorizate pentru transportul deșeurilor, nu avea autorizație de mediu si nici autorizație de colectare deșeuri.</w:t>
      </w:r>
    </w:p>
    <w:p>
      <w:pPr>
        <w:pStyle w:val="Normal"/>
        <w:jc w:val="both"/>
        <w:rPr/>
      </w:pPr>
      <w:r>
        <w:rPr/>
        <w:tab/>
        <w:t>Organele de inspecție fiscală au constatat că SC A1 COM SRL nu a prezentat la control bonuri de cântar, certificate de calitate si analiza, certificarea conformității lingourilor emise de producătorii de lingouri, documente justificative legale privind transportul lingourilor de aluminiu, astfel ca nu a putut dovedi cu certitudine proveniența acestora, în acest caz fiind incidente dispozițiile prevăzute de art. 1 lit. d) şi art. 51 din H.G. nr. 1373/2008 privind reglementarea furnizării şi transportului rutier de bunuri divizibile pe drumurile publice din România.</w:t>
      </w:r>
    </w:p>
    <w:p>
      <w:pPr>
        <w:pStyle w:val="Normal"/>
        <w:jc w:val="both"/>
        <w:rPr/>
      </w:pPr>
      <w:r>
        <w:rPr/>
        <w:tab/>
        <w:t>Întrucât refuzul dreptului de deducere constituie o excepție de la aplicarea principiului fundamental pe care îl reprezintă acest drept, Curtea a arătat ca revine autorităților fiscale competente sarcina sa stabilească, corespunzător cu cerințele legale, elementele obiective care permit sa se concluzioneze ca persoana impozabila știa sau ar fi trebuit sa știe ca operațiunea invocata pentru a justifica dreptul de deducere era implicata într-o frauda săvârșită de furnizor sau de un alt operator care a intervenit in amonte sau in aval in lanțul de livrări.</w:t>
      </w:r>
    </w:p>
    <w:p>
      <w:pPr>
        <w:pStyle w:val="Normal"/>
        <w:jc w:val="both"/>
        <w:rPr/>
      </w:pPr>
      <w:r>
        <w:rPr/>
        <w:tab/>
        <w:t>Față de motivele de mai sus, solicită respingerea acțiunii formulata de S.C. A1 COM S.R.L. ca fiind neîntemeiată şi menținerea actelor administrativ - fiscale întocmite de A.N.A.F. si A.J.F.P. Olt ca fiind legale şi temeinice.</w:t>
      </w:r>
    </w:p>
    <w:p>
      <w:pPr>
        <w:pStyle w:val="Normal"/>
        <w:jc w:val="both"/>
        <w:rPr/>
      </w:pPr>
      <w:r>
        <w:rPr/>
        <w:tab/>
      </w:r>
      <w:r>
        <w:rPr>
          <w:rStyle w:val="Fontdeparagrafimplicit1"/>
          <w:b/>
        </w:rPr>
        <w:t>Direcția Generală de Administrare a Marilor Contribuabili a depus ÎNTÂMPINARE</w:t>
      </w:r>
      <w:r>
        <w:rPr/>
        <w:t xml:space="preserve"> la cererea de chemare în judecată formulată de reclamanta A1 COM SRL, prin care solicită respingerea contestației, pe cale de excepție, pentru următoarele motive:</w:t>
      </w:r>
    </w:p>
    <w:p>
      <w:pPr>
        <w:pStyle w:val="Normal"/>
        <w:jc w:val="both"/>
        <w:rPr/>
      </w:pPr>
      <w:r>
        <w:rPr/>
        <w:tab/>
        <w:t>Fata de aspectele mai sus învederate, raportat la petitele cererii de chemare in judecata, având în vedere, faptul ca Direcția Generala de Administrare a Marilor Contribuabili nu este emitentul nici unuia dintre actele contestate, solicită  admiterea excepției lipsei calității procesuale pasive a Direcției Generate de Administrare a Marilor Contribuabili si  respingerea cererii ca fiind formulată in contradictoriu cu o persoană fara calitate procesuala pasiva.</w:t>
      </w:r>
    </w:p>
    <w:p>
      <w:pPr>
        <w:pStyle w:val="Normal"/>
        <w:ind w:firstLine="708"/>
        <w:jc w:val="both"/>
        <w:rPr>
          <w:b/>
        </w:rPr>
      </w:pPr>
      <w:r>
        <w:rPr>
          <w:rStyle w:val="Fontdeparagrafimplicit1"/>
          <w:b/>
        </w:rPr>
        <w:tab/>
        <w:t>CURTEA, in baza dispozițiilor art. 425 din codul de procedura civilă, constată:</w:t>
      </w:r>
    </w:p>
    <w:p>
      <w:pPr>
        <w:pStyle w:val="Frspaiere1"/>
        <w:ind w:firstLine="708"/>
        <w:jc w:val="both"/>
        <w:rPr>
          <w:color w:val="auto"/>
          <w:sz w:val="24"/>
        </w:rPr>
      </w:pPr>
      <w:r>
        <w:rPr>
          <w:rStyle w:val="Fontdeparagrafimplicit1"/>
          <w:color w:val="auto"/>
          <w:sz w:val="24"/>
        </w:rPr>
        <w:t>Prin Decizia nr. .../18.02.2016, s-a dispus suspendarea soluționării contestației formulată împotriva Decizia de impunere nr.  ...  ...0/14.12.2015, emisă in baza Raportului de inspecție fiscală nr. ... ...9/14.12.2015, întocmite de organele de  inspecție fiscală din cadrul Administrației Județene a Finanțelor PUBLICE ..., privind obligațiile fiscale suplimentare stabilite de inspecția fiscală pentru persoane juridice.</w:t>
      </w:r>
    </w:p>
    <w:p>
      <w:pPr>
        <w:pStyle w:val="Frspaiere1"/>
        <w:ind w:firstLine="720"/>
        <w:jc w:val="both"/>
        <w:rPr>
          <w:color w:val="auto"/>
          <w:sz w:val="24"/>
        </w:rPr>
      </w:pPr>
      <w:r>
        <w:rPr>
          <w:rStyle w:val="Fontdeparagrafimplicit1"/>
          <w:color w:val="auto"/>
          <w:sz w:val="24"/>
        </w:rPr>
        <w:t>Prin  Decizia nr.... a Înaltei Curți de Casație si Justiție , intimata a fost obligata la soluționarea pe fond a contestației.</w:t>
      </w:r>
    </w:p>
    <w:p>
      <w:pPr>
        <w:pStyle w:val="Frspaiere1"/>
        <w:ind w:firstLine="720"/>
        <w:jc w:val="both"/>
        <w:rPr>
          <w:color w:val="auto"/>
          <w:sz w:val="24"/>
        </w:rPr>
      </w:pPr>
      <w:r>
        <w:rPr>
          <w:rStyle w:val="Fontdeparagrafimplicit1"/>
          <w:color w:val="auto"/>
          <w:sz w:val="24"/>
        </w:rPr>
        <w:t>Prin Decizia  .../17.07.2020 a fost soluționată pe fond contestația si s-a dispus respingerea ca neîntemeiată a contestației formulate împotriva Decizia de impunere nr. ...  ...0/14.12.2015 emisă în baza Raportului de Inspecție Fiscală nr. ...  ...9/14.12.2015.</w:t>
      </w:r>
    </w:p>
    <w:p>
      <w:pPr>
        <w:pStyle w:val="Frspaiere1"/>
        <w:ind w:firstLine="720"/>
        <w:jc w:val="both"/>
        <w:rPr>
          <w:color w:val="auto"/>
          <w:sz w:val="24"/>
        </w:rPr>
      </w:pPr>
      <w:r>
        <w:rPr>
          <w:rStyle w:val="Fontdeparagrafimplicit1"/>
          <w:color w:val="auto"/>
          <w:sz w:val="24"/>
        </w:rPr>
        <w:t>Reclamantă arată că , în cauză constatările echipei de control nu corespund stării de fapt fiscale reale, încălcând toate prevederile legale, atât naționale cât și europene precum si hotărâri judecătorești definitive cu efect pozitiv al puterii de lucru judecat ale subscrisei si ale paratei.</w:t>
      </w:r>
    </w:p>
    <w:p>
      <w:pPr>
        <w:pStyle w:val="Frspaiere1"/>
        <w:ind w:firstLine="720"/>
        <w:jc w:val="both"/>
        <w:rPr>
          <w:color w:val="auto"/>
          <w:sz w:val="24"/>
        </w:rPr>
      </w:pPr>
      <w:r>
        <w:rPr>
          <w:rStyle w:val="Fontdeparagrafimplicit1"/>
          <w:color w:val="auto"/>
          <w:sz w:val="24"/>
        </w:rPr>
        <w:t>Susţine că raportul de Inspecție Fiscală a fost încheiat, atât cu încălcarea procedurilor legale privind efectuarea inspecției fiscale, cât și cu nerespectarea și neaplicarea legii și a hotărârilor judecătorești definitive și irevocabile, a directivelor europene și a jurisprudenței Curții de Justiție a Uniunii Europene, din următoarele considerente:</w:t>
      </w:r>
    </w:p>
    <w:p>
      <w:pPr>
        <w:pStyle w:val="Frspaiere1"/>
        <w:ind w:firstLine="709"/>
        <w:jc w:val="both"/>
        <w:rPr>
          <w:color w:val="auto"/>
          <w:sz w:val="24"/>
        </w:rPr>
      </w:pPr>
      <w:r>
        <w:rPr>
          <w:rStyle w:val="Fontdeparagrafimplicit1"/>
          <w:color w:val="auto"/>
          <w:sz w:val="24"/>
        </w:rPr>
        <w:t xml:space="preserve">Prin Decizia de impunere s-a stabilit suplimentar la plată TVA în sumă de 8.529.912 lei, întrucât parata a apreciat că achizițiile subscrisei nu ar fi reale, deși există hotărâri judecătorești rămase definitive in contencios administrativ, care </w:t>
      </w:r>
      <w:r>
        <w:rPr>
          <w:rStyle w:val="Fontdeparagrafimplicit1"/>
          <w:color w:val="auto"/>
          <w:sz w:val="24"/>
          <w:u w:val="none"/>
        </w:rPr>
        <w:t xml:space="preserve">au stabilit realitatea si legalitatea tranzacțiilor efectuate, </w:t>
      </w:r>
      <w:r>
        <w:rPr>
          <w:rStyle w:val="Fontdeparagrafimplicit1"/>
          <w:color w:val="auto"/>
          <w:sz w:val="24"/>
        </w:rPr>
        <w:t>respectiv Sentința nr.SC2 pronunțată de Tribunalul... în Dosar nr.D2, rămasă definitivă prin Decizia Curții de Apel ... nr.DC2.</w:t>
      </w:r>
    </w:p>
    <w:p>
      <w:pPr>
        <w:pStyle w:val="Frspaiere1"/>
        <w:ind w:firstLine="720"/>
        <w:jc w:val="both"/>
        <w:rPr>
          <w:color w:val="auto"/>
          <w:sz w:val="24"/>
        </w:rPr>
      </w:pPr>
      <w:r>
        <w:rPr>
          <w:rStyle w:val="Fontdeparagrafimplicit1"/>
          <w:color w:val="auto"/>
          <w:sz w:val="24"/>
        </w:rPr>
        <w:t xml:space="preserve">Mai susţine că deşi  avea facturi ce îndeplinesc calitatea de document justificativ de la toate societățile de la care am achiziționat marfă, organul fiscal a considerat în mod greșit că, deși </w:t>
      </w:r>
      <w:r>
        <w:rPr>
          <w:rStyle w:val="Fontdeparagrafimplicit1"/>
          <w:color w:val="auto"/>
          <w:sz w:val="24"/>
          <w:u w:val="single" w:color="000000"/>
        </w:rPr>
        <w:t xml:space="preserve">aceste facturi erau înregistrate în contabilitatea furnizorului cât si în contabilitatea  </w:t>
      </w:r>
      <w:r>
        <w:rPr>
          <w:rStyle w:val="Fontdeparagrafimplicit1"/>
          <w:color w:val="auto"/>
          <w:sz w:val="24"/>
        </w:rPr>
        <w:t>acestea nu ar avea calitatea de document justificativ și prin urmare nu se face dovada efectuării operațiunii sau intrării în gestiune, deoarece acești furnizori au avut nereguli în contabilitate cu privire la achizițiile și furnizorii lor, furnizori cu care subscrisa nu a avut nici direct nici indirect vreo legătură de natură comercială.</w:t>
      </w:r>
    </w:p>
    <w:p>
      <w:pPr>
        <w:pStyle w:val="Normal"/>
        <w:ind w:firstLine="709"/>
        <w:jc w:val="both"/>
        <w:rPr/>
      </w:pPr>
      <w:r>
        <w:rPr/>
        <w:t xml:space="preserve">În ordinea excepţiilor invocate şi unite cu fondul precum şi  a apărărilor de fond grupate, pornind de la obligaţia de a respecta dreptul părţii la un proces echitabil, drept consacrat de art. 6 paragraful 1 din Convenţia Europeană a Drepturilor  şi de la obligaţia pe care o impune art. 6 paragraful 1 din Convenţie instanţelor naţionale de   a-şi motiva deciziile şi care nu presupune existenţa unui răspuns detaliat la fiecare argument (Hotărârea Perez, paragraful 81; Hotărârea Van der Hurk, paragraful 61; Hotărârea Ruiz Torija, paragraful 29; Decizia Jahnke şi Lenoble împotriva Franţei, Cererea nr. 40.490/98) ci examinarea problemelor esenţiale care i-au fost supuse, şi fără a cere un răspuns detaliat fiecărui argument al reclamantului (CEDO, Cauza Albina contra România, hotărârea din 28.04.2005, Cauza Vlasia Grigore Vasilescu contra România, hotărârea din 8 iunie 2006) Curtea constată: </w:t>
      </w:r>
    </w:p>
    <w:p>
      <w:pPr>
        <w:pStyle w:val="Frspaiere1"/>
        <w:ind w:firstLine="720"/>
        <w:jc w:val="both"/>
        <w:rPr>
          <w:color w:val="auto"/>
          <w:sz w:val="24"/>
        </w:rPr>
      </w:pPr>
      <w:r>
        <w:rPr>
          <w:rStyle w:val="Fontdeparagrafimplicit1"/>
          <w:i/>
          <w:color w:val="auto"/>
          <w:sz w:val="24"/>
          <w:u w:val="single"/>
        </w:rPr>
        <w:t xml:space="preserve">Cu privire la  </w:t>
      </w:r>
      <w:r>
        <w:rPr>
          <w:rStyle w:val="Fontdeparagrafimplicit1"/>
          <w:i/>
          <w:color w:val="auto"/>
          <w:sz w:val="24"/>
          <w:u w:val="single" w:color="000000"/>
        </w:rPr>
        <w:t>excepţia efectului pozitiv al puterii de lucru judecat</w:t>
      </w:r>
      <w:r>
        <w:rPr>
          <w:rStyle w:val="Fontdeparagrafimplicit1"/>
          <w:color w:val="auto"/>
          <w:sz w:val="24"/>
          <w:u w:val="none"/>
        </w:rPr>
        <w:t xml:space="preserve"> pentru perioada fiscala a anului 2011</w:t>
      </w:r>
      <w:r>
        <w:rPr>
          <w:rStyle w:val="Fontdeparagrafimplicit1"/>
          <w:color w:val="auto"/>
          <w:sz w:val="24"/>
        </w:rPr>
        <w:t xml:space="preserve"> principiul securității si certitudinii juridice si principiul aplicării unitare a fiscale pentru perioada verificată, având in vedere si disp.art.5 alin.1 din OG 92/2003, prin </w:t>
      </w:r>
      <w:r>
        <w:rPr>
          <w:rStyle w:val="Fontdeparagrafimplicit1"/>
          <w:color w:val="auto"/>
          <w:sz w:val="24"/>
          <w:u w:val="none"/>
        </w:rPr>
        <w:t>nerespectarea hotărârilor judecătorești invocate cu efect pozitiv al puterii de lucru judecat</w:t>
      </w:r>
      <w:r>
        <w:rPr>
          <w:rStyle w:val="Fontdeparagrafimplicit1"/>
          <w:color w:val="auto"/>
          <w:sz w:val="24"/>
        </w:rPr>
        <w:t>, reclamanta arată că dezlegarea în această problemă privind legalitatea documentelor financiar contabile si dreptul de deducere pentru anul 2011 (perioada fiscala de unde provine suma contestata, întrucât din anul 2012 facturile au fost fără TVA, deci taxare inversa), de la furnizorii menționați in actele de control, a format obiectul analizei Tribunalului..., care prin - Sentința nr.SC2 pronunțată de Tribunalului... în Dosar nr.D2, rămasă definitivă și irevocabilă prin Decizia nr.DC2 a Curții de Apel ..., a admis acțiunile DGFP... (actuala AJFP...) in calitate de reclamant în contradictoriu cu Curtea de Conturi a României iar subscrisa am avut calitatea de intervenient accesoriu in susținerea DGRFP ... si a constatat legalitatea operațiunilor economice si ale A1 COM precum si dreptul de deducere.</w:t>
      </w:r>
    </w:p>
    <w:p>
      <w:pPr>
        <w:pStyle w:val="Frspaiere1"/>
        <w:ind w:firstLine="720"/>
        <w:jc w:val="both"/>
        <w:rPr>
          <w:color w:val="auto"/>
          <w:sz w:val="24"/>
        </w:rPr>
      </w:pPr>
      <w:r>
        <w:rPr>
          <w:rStyle w:val="Fontdeparagrafimplicit1"/>
          <w:color w:val="auto"/>
          <w:sz w:val="24"/>
        </w:rPr>
        <w:t>Curtea observă că cele statuate prin deciziile amintite nu sunt contrazise de actele fiscale contestate.</w:t>
      </w:r>
    </w:p>
    <w:p>
      <w:pPr>
        <w:pStyle w:val="Frspaiere1"/>
        <w:ind w:firstLine="720"/>
        <w:jc w:val="both"/>
        <w:rPr>
          <w:color w:val="auto"/>
          <w:sz w:val="24"/>
        </w:rPr>
      </w:pPr>
      <w:r>
        <w:rPr>
          <w:rStyle w:val="Fontdeparagrafimplicit1"/>
          <w:b/>
          <w:color w:val="auto"/>
          <w:sz w:val="24"/>
        </w:rPr>
        <w:t>Astfel , prin DEC.NR. .... Curtii de Apel ...  se arată că d</w:t>
      </w:r>
      <w:r>
        <w:rPr>
          <w:rStyle w:val="Fontdeparagrafimplicit1"/>
          <w:color w:val="auto"/>
          <w:sz w:val="24"/>
        </w:rPr>
        <w:t>in probele administrate, instanţa de fond a reţinut şi faptul că reprezentanţii Camerei de Conturi nu au făcut dovada că, anterior raportului de control ce a constituit temei pentru emiterea deciziei contestate, au avut o interpretare diferită a normei juridice privind aplicarea măsurilor de simplificare în materia taxei pe valoare adăugată, faţă de aceea a inspectorilor fiscali din cadrul DGFP..., deşi agenţii economici au aplicat art.160 în acelaşi fel.</w:t>
      </w:r>
    </w:p>
    <w:p>
      <w:pPr>
        <w:pStyle w:val="Frspaiere1"/>
        <w:ind w:firstLine="720"/>
        <w:jc w:val="both"/>
        <w:rPr>
          <w:color w:val="auto"/>
          <w:sz w:val="24"/>
        </w:rPr>
      </w:pPr>
      <w:r>
        <w:rPr>
          <w:rStyle w:val="Fontdeparagrafimplicit1"/>
          <w:color w:val="auto"/>
          <w:sz w:val="24"/>
        </w:rPr>
        <w:t>Acelaşi aspect este reiterat şi prin decizia DC2/2015 a Curţii care statuează că în ceea ce priveşte măsura prevăzuta la lit. A pct. 11 din aceeaşi decizie, prin care s-a dispus verificarea provenienţei lingourilor de aluminiu de la producător până la beneficiarul final, a realităţii şi legalităţii tranzacţiilor înregistrate cu astfel de bunuri, în sensul producerii şi comercializării acestora, cu respectarea prevederilor legale de către agenţii economici, care nu au aplicat măsurile de simplificare privind TVA, prevăzute de art. 160 alin. 2 din Codul fiscal, instanţa de fond a reţinut în mod corect că măsura este nejustificată, deoarece agenţii economici de pe raza judeţului Olt care produc şi comercializează lingouri de aluminiu, atât pe teritoriul României cât şi în spaţiul Uniunii Europene, au fost verificaţi de Direcţia Generala a Finanţelor PUBLICE ..., încheindu-se acte de inspecţie fiscală în perioada 2005-2011, fără a fi constatate abateri grave de la legislaţia fiscală.</w:t>
      </w:r>
    </w:p>
    <w:p>
      <w:pPr>
        <w:pStyle w:val="Frspaiere1"/>
        <w:ind w:firstLine="720"/>
        <w:jc w:val="both"/>
        <w:rPr>
          <w:color w:val="auto"/>
          <w:sz w:val="24"/>
        </w:rPr>
      </w:pPr>
      <w:r>
        <w:rPr>
          <w:rStyle w:val="Fontdeparagrafimplicit1"/>
          <w:color w:val="auto"/>
          <w:sz w:val="24"/>
        </w:rPr>
        <w:t>PE FOND, reclamanta arată că inspecția fiscala s-a desfășurat cu nerespectarea tuturor procedurilor legate (pe care le-a contestat in procedura administrativa si la care parata nu a răspuns) si a dispozițiilor legale ce reglementează dreptul de deducere.</w:t>
      </w:r>
    </w:p>
    <w:p>
      <w:pPr>
        <w:pStyle w:val="Normal"/>
        <w:ind w:firstLine="709"/>
        <w:jc w:val="both"/>
        <w:rPr/>
      </w:pPr>
      <w:r>
        <w:rPr/>
        <w:t>Reclamanta SC A1 COM SRL solicita  anularea actului administrativ Decizie nr. .../17.07.2020, emisă de ANAF-Direcția Generală de Soluționare a Contestațiilor în soluționarea procedurii prealabile și a actelor subsecvente ce au stat Ia baza emiterii deciziei: Decizia de impunere nr. ...  ...0/14.12.2015 emisă în baza Raportului de Inspecție Fiscali nr. ... ...9/14.12.2015 întocmite de organele de inspecție fiscală din cadrul Administrației Județene a Finanțelor PUBLICE ... prin care s-au stabilit diferențe suplimentare de plată pentru WA în sumă de 8.529.912 lei reprezentând :  5.007.823 lei TVA;2.770.916 lei accesorii aferente TVA (dobânzi); -751.173 lei penalități de întârziere.</w:t>
      </w:r>
    </w:p>
    <w:p>
      <w:pPr>
        <w:pStyle w:val="Normal"/>
        <w:ind w:firstLine="709"/>
        <w:jc w:val="both"/>
        <w:rPr/>
      </w:pPr>
      <w:r>
        <w:rPr/>
        <w:t>Prin Decizia  .../17.07.2020 a fost soluționată pe fond contestația si s-a dispus respingerea ca neîntemeiată a contestației formulate împotriva Decizia de impunere nr. ...  ...0/14.12.2015 emisă în baza Raportului de Inspecție Fiscală nr. ...  ...9/14.12.2015.</w:t>
      </w:r>
    </w:p>
    <w:p>
      <w:pPr>
        <w:pStyle w:val="Normal"/>
        <w:ind w:firstLine="709"/>
        <w:jc w:val="both"/>
        <w:rPr/>
      </w:pPr>
      <w:r>
        <w:rPr/>
        <w:t>Reclamanta arata ca deși controlul viza perioada 2011-2015, echipa de control a făcut referire numai la perioada 2011, începutul 2012.</w:t>
      </w:r>
    </w:p>
    <w:p>
      <w:pPr>
        <w:pStyle w:val="Normal"/>
        <w:ind w:firstLine="709"/>
        <w:jc w:val="both"/>
        <w:rPr/>
      </w:pPr>
      <w:r>
        <w:rPr/>
        <w:t>Sustinerile reclamantei privesc constatările echipei de control care potrivit acesteia  nu corespund stării de fapt fiscale reale, încălcând toate prevederile legale, atât naționale cât și europene precum si hotărâri judecătorești definitive cu efect pozitiv al puterii de lucru judecat şi faptul că raportul de Inspecție Fiscală a fost încheiat, atât cu încălcarea procedurilor legale privind efectuarea inspecției fiscale, cât și cu nerespectarea și neaplicarea legii și a hotărârilor judecătorești definitive și irevocabile, a directivelor europene și a jurisprudenței Curții de Justiție a Uniunii Europene, din următoarele considerente:</w:t>
      </w:r>
    </w:p>
    <w:p>
      <w:pPr>
        <w:pStyle w:val="Normal"/>
        <w:ind w:firstLine="709"/>
        <w:jc w:val="both"/>
        <w:rPr/>
      </w:pPr>
      <w:r>
        <w:rPr/>
        <w:t xml:space="preserve"> </w:t>
      </w:r>
      <w:r>
        <w:rPr/>
        <w:t xml:space="preserve">Decizia de impunere a stabilit suplimentar la plată WA în sumă de 8.529.912 lei, întrucât parata a apreciat că achizițiile nu ar fi reale, deși există hotărâri judecătorești rămase definitive in contencios administrativ, care </w:t>
      </w:r>
      <w:r>
        <w:rPr>
          <w:rStyle w:val="Fontdeparagrafimplicit1"/>
          <w:u w:val="single" w:color="000000"/>
        </w:rPr>
        <w:t xml:space="preserve">au stabilit realitatea si legalitatea tranzacțiilor efectuate, </w:t>
      </w:r>
      <w:r>
        <w:rPr/>
        <w:t>respectiv Sentința nr.SC2 pronunțată de Tribunalul... în Dosar nr.D2, rămasă definitivă prin Decizia Curții de Apel .... nr.DC2.</w:t>
      </w:r>
    </w:p>
    <w:p>
      <w:pPr>
        <w:pStyle w:val="Normal"/>
        <w:ind w:firstLine="709"/>
        <w:jc w:val="both"/>
        <w:rPr/>
      </w:pPr>
      <w:r>
        <w:rPr/>
        <w:t>Aceste aspecte au fost deja lămurite cu titlu preliminar.</w:t>
      </w:r>
    </w:p>
    <w:p>
      <w:pPr>
        <w:pStyle w:val="Normal"/>
        <w:ind w:firstLine="709"/>
        <w:jc w:val="both"/>
        <w:rPr/>
      </w:pPr>
      <w:r>
        <w:rPr/>
        <w:t>Reclamanta arata că avea facturi ce îndeplinesc calitatea de document justificativ de la toate societățile de la care a achiziționat marfă.</w:t>
      </w:r>
    </w:p>
    <w:p>
      <w:pPr>
        <w:pStyle w:val="Normal"/>
        <w:ind w:firstLine="709"/>
        <w:jc w:val="both"/>
        <w:rPr/>
      </w:pPr>
      <w:r>
        <w:rPr>
          <w:rStyle w:val="Fontdeparagrafimplicit1"/>
          <w:b/>
        </w:rPr>
        <w:t>În CAUZA C-624/11 STROY TRANS</w:t>
      </w:r>
      <w:r>
        <w:rPr>
          <w:rStyle w:val="Fontdeparagrafimplicit1"/>
          <w:vertAlign w:val="superscript"/>
        </w:rPr>
        <w:t xml:space="preserve"> </w:t>
      </w:r>
      <w:r>
        <w:rPr/>
        <w:t>CJUE a precizat faptul că obligația prevăzută la art. 203 din Directiva</w:t>
      </w:r>
      <w:r>
        <w:rPr>
          <w:rStyle w:val="Fontdeparagrafimplicit1"/>
          <w:vertAlign w:val="superscript"/>
        </w:rPr>
        <w:t>14</w:t>
      </w:r>
      <w:r>
        <w:rPr/>
        <w:t xml:space="preserve"> TVA urmărește eliminarea riscului de pierdere a unor venituri fiscale care poate fi generat de dreptul de deducere și că, având în vedere acest obiectiv, obligația în discuție este limitată de posibilitatea de corectare pe care trebuie să o prevadă statele membre în ordinea lor juridică internă, a oricărei taxe facturate fără a fi datorată, cu condiția ca emitentul facturii să demonstreze buna sa credință sau atunci când acesta a eliminat complet, în timp util, riscul de pierdere a unor venituri.</w:t>
      </w:r>
    </w:p>
    <w:p>
      <w:pPr>
        <w:pStyle w:val="Normal"/>
        <w:ind w:firstLine="709"/>
        <w:jc w:val="both"/>
        <w:rPr/>
      </w:pPr>
      <w:r>
        <w:rPr/>
        <w:t>Curtea a adăugat totodată precizarea că dreptul UE nu exclude însă posibilitatea ca administrația competentă să controleze existența operațiunilor facturate de o persoană impozabilă și să rectifice, dacă este cazul, datoria fiscală rezultând din declarațiile efectuate de persoana impozabilă</w:t>
      </w:r>
    </w:p>
    <w:p>
      <w:pPr>
        <w:pStyle w:val="Normal"/>
        <w:ind w:firstLine="709"/>
        <w:jc w:val="both"/>
        <w:rPr/>
      </w:pPr>
      <w:r>
        <w:rPr/>
        <w:t xml:space="preserve"> </w:t>
      </w:r>
      <w:r>
        <w:rPr/>
        <w:t>Rezultatul unui astfel de control constituie, precum declarația și plata, de către emitentul facturii, a TVA facturate, un element care trebuie luat în considerare de instanța națională la aprecierea existenței unei operațiuni impozabile care dă naștere unui drept de deducere destinatarului unei facturi într-o situație dată.</w:t>
      </w:r>
    </w:p>
    <w:p>
      <w:pPr>
        <w:pStyle w:val="Normal"/>
        <w:ind w:firstLine="709"/>
        <w:jc w:val="both"/>
        <w:rPr/>
      </w:pPr>
      <w:r>
        <w:rPr/>
        <w:t>Răspunzând la prima întrebare, Curtea a statuat astfel o chestiunea extrem de importantă şi anume aceea că  „art. 203 din Directiva TVA trebuie interpretat în sensul că</w:t>
      </w:r>
      <w:r>
        <w:rPr>
          <w:rStyle w:val="Fontdeparagrafimplicit1"/>
          <w:b/>
        </w:rPr>
        <w:t>:  TVA menționată pe o factură de o persoană este datorată de aceasta independent de existența efectivă a unei operațiuni impozabile;</w:t>
      </w:r>
    </w:p>
    <w:p>
      <w:pPr>
        <w:pStyle w:val="Normal"/>
        <w:ind w:firstLine="709"/>
        <w:jc w:val="both"/>
        <w:rPr/>
      </w:pPr>
      <w:r>
        <w:rPr>
          <w:rStyle w:val="Fontdeparagrafimplicit1"/>
          <w:b/>
        </w:rPr>
        <w:t xml:space="preserve"> </w:t>
      </w:r>
      <w:r>
        <w:rPr>
          <w:rStyle w:val="Fontdeparagrafimplicit1"/>
          <w:b/>
        </w:rPr>
        <w:t>Din simplul fapt că administrația fiscală nu a corectat, într-o decizie de impunere rectificativă adresată emitentului acestei facturi, TVA declarată de acesta, nu se poate deduce că această administrație a recunoscut că factura respectivă corespundea unei operațiuni impozabile efective”.</w:t>
      </w:r>
    </w:p>
    <w:p>
      <w:pPr>
        <w:pStyle w:val="Normal"/>
        <w:ind w:firstLine="709"/>
        <w:jc w:val="both"/>
        <w:rPr/>
      </w:pPr>
      <w:r>
        <w:rPr/>
        <w:t>Potrivit unei jurisprudențe consacrate, dreptul de deducere este un principiu fundamental al sistemului comun al TVA care, în principiu, nu poate fi limitat și care se exercită imediat pentru totalitatea taxelor aplicate operațiunilor efectuate în amonte</w:t>
      </w:r>
      <w:r>
        <w:rPr>
          <w:rStyle w:val="Fontdeparagrafimplicit1"/>
          <w:vertAlign w:val="superscript"/>
        </w:rPr>
        <w:t>11</w:t>
      </w:r>
      <w:r>
        <w:rPr/>
        <w:t>.</w:t>
      </w:r>
    </w:p>
    <w:p>
      <w:pPr>
        <w:pStyle w:val="Normal"/>
        <w:ind w:firstLine="709"/>
        <w:jc w:val="both"/>
        <w:rPr/>
      </w:pPr>
      <w:r>
        <w:rPr/>
        <w:t xml:space="preserve">În ceea ce privește </w:t>
      </w:r>
      <w:r>
        <w:rPr>
          <w:rStyle w:val="Fontdeparagrafimplicit1"/>
          <w:b/>
        </w:rPr>
        <w:t>condițiile de fond</w:t>
      </w:r>
      <w:r>
        <w:rPr/>
        <w:t xml:space="preserve"> necesare pentru nașterea dreptului de deducere, pentru a putea beneficia de acest drept, pe de o parte, trebuie ca persoana interesată </w:t>
      </w:r>
      <w:r>
        <w:rPr>
          <w:rStyle w:val="Fontdeparagrafimplicit1"/>
          <w:b/>
        </w:rPr>
        <w:t>să fie o persoană impozabilă</w:t>
      </w:r>
      <w:r>
        <w:rPr/>
        <w:t xml:space="preserve"> și, pe de altă parte, ca </w:t>
      </w:r>
      <w:r>
        <w:rPr>
          <w:rStyle w:val="Fontdeparagrafimplicit1"/>
          <w:b/>
        </w:rPr>
        <w:t xml:space="preserve">bunurile și serviciile invocate pentru a justifica dreptul menționat să fie utilizate în aval de către persoana impozabilă în scopul operațiunilor taxabile ale acesteia </w:t>
      </w:r>
      <w:r>
        <w:rPr/>
        <w:t>și ca, în amonte, aceste bunuri să fie livrate sau aceste servicii să fie prestate de către o altă persoană impozabilă.</w:t>
      </w:r>
    </w:p>
    <w:p>
      <w:pPr>
        <w:pStyle w:val="Normal"/>
        <w:ind w:firstLine="709"/>
        <w:jc w:val="both"/>
        <w:rPr/>
      </w:pPr>
      <w:r>
        <w:rPr/>
        <w:t xml:space="preserve">În scopul deducerii taxei pe valoarea adăugată, cu privire </w:t>
      </w:r>
      <w:r>
        <w:rPr>
          <w:rStyle w:val="Fontdeparagrafimplicit1"/>
          <w:b/>
        </w:rPr>
        <w:t>la condițiile de formă</w:t>
      </w:r>
      <w:r>
        <w:rPr/>
        <w:t>, este necesar ca persoanele interesate să facă, potrivit prevederilor legale, dovada faptului că au acest drept</w:t>
      </w:r>
      <w:r>
        <w:rPr>
          <w:rStyle w:val="Fontdeparagrafimplicit1"/>
          <w:vertAlign w:val="superscript"/>
        </w:rPr>
        <w:t>12</w:t>
      </w:r>
      <w:r>
        <w:rPr/>
        <w:t xml:space="preserve">. Ca atare, persoana impozabilă va face dovada dreptului de deducere a taxei cu factura. </w:t>
      </w:r>
    </w:p>
    <w:p>
      <w:pPr>
        <w:pStyle w:val="Normal"/>
        <w:ind w:firstLine="709"/>
        <w:jc w:val="both"/>
        <w:rPr/>
      </w:pPr>
      <w:r>
        <w:rPr/>
        <w:t>Din această perspectivă, Curtea de apel apreciază că proba cu expertiză nu este concludentă în cauză, criticile reclamantei nevizând cuantumul ci aspecte care ţin de interpretarea şi aplicarea legii.</w:t>
      </w:r>
    </w:p>
    <w:p>
      <w:pPr>
        <w:pStyle w:val="Normal"/>
        <w:jc w:val="both"/>
        <w:rPr/>
      </w:pPr>
      <w:r>
        <w:rPr/>
        <w:tab/>
        <w:t>În esenţă , nu s-a acordat societății contestatare sc A1 Com SRL dreptul de deducere al taxei pe valoarea adăugata in suma de 4.917.002 lei, înscrisă în facturile emise de diverși furnizori, având ca obiect achiziții de bunuri, constând in lingouri de aluminiu, intrucat  societatea nu a prezentat documente din care să rezulte că acestea au fost destinate utilizării în folosul operațiunilor taxabile, fiind încălcate astfel prevederile art.145 alin.(2) lit.a), art. 146 alin.(1) lit.a) şi art.155 alin.(5) lit.e) din Legea nr.571/2003 privind Codul fiscal, cu modificările şi completările ulterioare.</w:t>
      </w:r>
    </w:p>
    <w:p>
      <w:pPr>
        <w:pStyle w:val="Normal"/>
        <w:jc w:val="both"/>
        <w:rPr/>
      </w:pPr>
      <w:r>
        <w:rPr/>
        <w:tab/>
        <w:t>In ceea ce privește achizițiile de bunuri de la SC A5 SRL, reclamanta societate nu a prezentat certificatul de calitate din care să rezulte că bunurile achiziționate reprezintă produse finite şi nu deșeuri, aceasta avea obligația aplicării măsurilor de simplificare în conformitate cu prevederile art.160 alin.(2) lit.a) din Legea nr. 571/2003 privind Codul fiscal, cu modificările si completările ulterioare, fapt pentru care s-a calculat o diferență de taxă pe valoarea adăugată în sumă de 90.821 lei.</w:t>
      </w:r>
    </w:p>
    <w:p>
      <w:pPr>
        <w:pStyle w:val="Normal"/>
        <w:jc w:val="both"/>
        <w:rPr/>
      </w:pPr>
      <w:r>
        <w:rPr/>
        <w:tab/>
        <w:t>Legea 571/2003 , aplicabilă în perioada desfășurării operațiunilor verificate de către societatea contestatoare, prevede la art. 145 alin. (2) lit. a că : "Orice persoană impozabilă are dreptul să deducă taxa aferentă achizițiilor, dacă acestea sunt destinate utilizării în folosul următoarelor operațiuni:a) operațiuni taxabile;"</w:t>
      </w:r>
    </w:p>
    <w:p>
      <w:pPr>
        <w:pStyle w:val="Normal"/>
        <w:jc w:val="both"/>
        <w:rPr/>
      </w:pPr>
      <w:r>
        <w:rPr/>
        <w:tab/>
        <w:t>O factură care să cuprindă informațiile prevăzute la art. 155, alin. 5", respectiv;</w:t>
      </w:r>
    </w:p>
    <w:p>
      <w:pPr>
        <w:pStyle w:val="Normal"/>
        <w:jc w:val="both"/>
        <w:rPr/>
      </w:pPr>
      <w:r>
        <w:rPr/>
        <w:tab/>
        <w:t>"Factura cuprinde în mod obligatoriu următoarele informații: a)numărul de ordine, în baza uneia sau mai multor serii, care identifică factura în mod unic;</w:t>
      </w:r>
    </w:p>
    <w:p>
      <w:pPr>
        <w:pStyle w:val="Normal"/>
        <w:jc w:val="both"/>
        <w:rPr/>
      </w:pPr>
      <w:r>
        <w:rPr/>
        <w:tab/>
        <w:t>b)data emiterii facturii;</w:t>
      </w:r>
    </w:p>
    <w:p>
      <w:pPr>
        <w:pStyle w:val="Normal"/>
        <w:jc w:val="both"/>
        <w:rPr/>
      </w:pPr>
      <w:r>
        <w:rPr/>
        <w:tab/>
        <w:t>c)data la care au fost livrate bunurile/prestate serviciile sau data încasării unui avans, în măsura în care această dată diferă de data emiterii facturii;</w:t>
      </w:r>
    </w:p>
    <w:p>
      <w:pPr>
        <w:pStyle w:val="Normal"/>
        <w:jc w:val="both"/>
        <w:rPr/>
      </w:pPr>
      <w:r>
        <w:rPr/>
        <w:tab/>
        <w:t>d)denumirea/numele, adresa şi codul de înregistrare în scopuri de TVA sau, după caz, codul de identificare fiscală, ale persoanei impozabile care emite factura;</w:t>
      </w:r>
    </w:p>
    <w:p>
      <w:pPr>
        <w:pStyle w:val="Normal"/>
        <w:jc w:val="both"/>
        <w:rPr/>
      </w:pPr>
      <w:r>
        <w:rPr/>
        <w:tab/>
        <w:t>e)denumirea/numele furnizorului/prestatorului care nu este stabilit în România şi care şi-a desemnat un reprezentant fiscal, precum şi denumirea/numele, adresa şi codul de înregistrare în scopuri de TVA, conform art. 153 ale reprezentantului fiscal;</w:t>
      </w:r>
    </w:p>
    <w:p>
      <w:pPr>
        <w:pStyle w:val="Normal"/>
        <w:jc w:val="both"/>
        <w:rPr/>
      </w:pPr>
      <w:r>
        <w:rPr/>
        <w:tab/>
        <w:t>f)denumirea/numele si adresa beneficiarului bunurilor sau serviciilor, precum şi codul de înregistrare în scopuri de TVA sau codul de identificare fiscală ale beneficiarului, dacă acesta este o persoană impozabilă sau o persoană juridică neimpozabilă;"</w:t>
      </w:r>
    </w:p>
    <w:p>
      <w:pPr>
        <w:pStyle w:val="Normal"/>
        <w:jc w:val="both"/>
        <w:rPr/>
      </w:pPr>
      <w:r>
        <w:rPr/>
        <w:tab/>
        <w:t xml:space="preserve">Având în vedere prevederile legale menționate mai sus, rezultă că orice persoană impozabilă are dreptul să deducă TVA aferentă </w:t>
      </w:r>
      <w:bookmarkStart w:name="_Hlk91780063" w:id="3"/>
      <w:r>
        <w:rPr/>
        <w:t>bunurilor aprovizionate dacă acestea sunt destinate a fi folosite la realizarea altor operațiuni taxabile şi dacă prezintă exemplarul original al facturii, care sa cuprindă informațiile obligatorii cerute de lege</w:t>
      </w:r>
      <w:bookmarkEnd w:id="3"/>
      <w:r>
        <w:rPr/>
        <w:t>.</w:t>
      </w:r>
    </w:p>
    <w:p>
      <w:pPr>
        <w:pStyle w:val="Normal"/>
        <w:jc w:val="both"/>
        <w:rPr/>
      </w:pPr>
      <w:r>
        <w:rPr/>
        <w:tab/>
        <w:t xml:space="preserve">În </w:t>
      </w:r>
      <w:r>
        <w:rPr>
          <w:rStyle w:val="Fontdeparagrafimplicit1"/>
          <w:b/>
        </w:rPr>
        <w:t>CAUZA C-277/14 PPUH</w:t>
      </w:r>
      <w:r>
        <w:rPr>
          <w:rStyle w:val="Fontdeparagrafimplicit1"/>
          <w:b/>
          <w:vertAlign w:val="superscript"/>
        </w:rPr>
        <w:t>15</w:t>
      </w:r>
      <w:r>
        <w:rPr/>
        <w:t xml:space="preserve"> Curtea a decis, în fapt, că autoritățile fiscale nu pot refuza dreptul de deducere pentru motivul că (...)</w:t>
      </w:r>
      <w:r>
        <w:rPr>
          <w:rStyle w:val="Fontdeparagrafimplicit1"/>
          <w:b/>
        </w:rPr>
        <w:t xml:space="preserve"> atunci când această factură cuprinde toate informațiile prevăzute.</w:t>
      </w:r>
    </w:p>
    <w:p>
      <w:pPr>
        <w:pStyle w:val="Normal"/>
        <w:ind w:firstLine="709"/>
        <w:jc w:val="both"/>
        <w:rPr/>
      </w:pPr>
      <w:r>
        <w:rPr/>
        <w:t xml:space="preserve">În </w:t>
      </w:r>
      <w:r>
        <w:rPr>
          <w:rStyle w:val="Fontdeparagrafimplicit1"/>
          <w:b/>
        </w:rPr>
        <w:t>CAUZA C-81/17 ZABRUS SIRET</w:t>
      </w:r>
      <w:r>
        <w:rPr>
          <w:rStyle w:val="Fontdeparagrafimplicit1"/>
          <w:b/>
          <w:vertAlign w:val="superscript"/>
        </w:rPr>
        <w:t xml:space="preserve">18 </w:t>
      </w:r>
      <w:r>
        <w:rPr/>
        <w:t>Principiul neutralității TVA impune, potrivit unei jurisprudențe constante, ca deducerea acestei taxe în amonte să fie acordată dacă cerințele de fond sunt îndeplinite, chiar dacă anumite cerințe de formă au fost omise de către persoanele impozabile</w:t>
      </w:r>
      <w:r>
        <w:rPr>
          <w:rStyle w:val="Fontdeparagrafimplicit1"/>
          <w:vertAlign w:val="superscript"/>
        </w:rPr>
        <w:t>20</w:t>
      </w:r>
      <w:r>
        <w:rPr/>
        <w:t>.</w:t>
      </w:r>
    </w:p>
    <w:p>
      <w:pPr>
        <w:pStyle w:val="Normal"/>
        <w:ind w:firstLine="709"/>
        <w:jc w:val="both"/>
        <w:rPr/>
      </w:pPr>
      <w:r>
        <w:rPr/>
        <w:t>Deşi reclamanta a arătat constant inclusiv prin concluziile scrise ca toţi funizorii sunt activi, aceste aspect este contrazis de datele de la ORC, dar nu prezintă relevanţă din punctul de vedere al analizei instanţe, având în vedere că la data când se susţine desfăşurarea operaţiunilor taxabile , aceştia erau activi.</w:t>
      </w:r>
    </w:p>
    <w:p>
      <w:pPr>
        <w:pStyle w:val="Normal"/>
        <w:ind w:firstLine="709"/>
        <w:jc w:val="both"/>
        <w:rPr/>
      </w:pPr>
      <w:r>
        <w:rPr/>
        <w:t>Pe de altă parte Curtea de apel va respinge ca nerelevante raportările intimatei la faptul că furnizorii au devenit inactivi.</w:t>
      </w:r>
    </w:p>
    <w:p>
      <w:pPr>
        <w:pStyle w:val="Normal"/>
        <w:ind w:firstLine="709"/>
        <w:jc w:val="both"/>
        <w:rPr/>
      </w:pPr>
      <w:r>
        <w:rPr/>
        <w:t>Mai mult îm Cauza C 101/2016 Paper Consult, CJUE a statuat că Directiva 2006/112 trebuie să fie interpretată în sensul că se opune unei reglementări naționale precum cea în discuție în cauza principală, în temeiul căreia dreptul de deducere a TVA</w:t>
        <w:noBreakHyphen/>
        <w:t>ului este refuzat unei persoane impozabile pentru motivul că operatorul care i</w:t>
        <w:noBreakHyphen/>
        <w:t>a furnizat o prestare de servicii în schimbul unei facturi pe care figurează separat prețul și TVA</w:t>
        <w:noBreakHyphen/>
        <w:t>ul a fost declarat inactiv de administrația fiscală a unui stat membru, această declarare a inactivității fiind publică și accesibilă pe internet oricărei persoane impozabile în acest stat, atunci când acest refuz al dreptului de deducere este sistematic și definitiv, nepermițând să se facă dovada absenței unei fraude sau a unei pierderi de venituri fiscale.</w:t>
      </w:r>
    </w:p>
    <w:p>
      <w:pPr>
        <w:pStyle w:val="Normal"/>
        <w:jc w:val="both"/>
        <w:rPr/>
      </w:pPr>
      <w:r>
        <w:rPr/>
        <w:tab/>
        <w:t>Astfel cu privire la furnizorii reclamantei , prin prisma  bunurilor aprovizionate, destinate a fi folosite la realizarea altor operațiuni taxabile şi dacă exemplarul original al facturii cuprinde informațiile obligatorii cerute de lege , Curtea de apel constată:</w:t>
      </w:r>
    </w:p>
    <w:p>
      <w:pPr>
        <w:pStyle w:val="Normal"/>
        <w:ind w:firstLine="709"/>
        <w:jc w:val="both"/>
        <w:rPr/>
      </w:pPr>
      <w:r>
        <w:rPr/>
        <w:t>SC A2 SRL nu au înregistrat şi declarat livrările de bunuri , pe de altă parte  SC A1 COM SRL a înregistrat in evidenta contabila, respectiv în jurnalul de cumpărări, decontul de TVA si Declarația 394, aprovizionări de lingouri si aliaje aluminiu de la A2 SRL in suma de 1.334.625 lei pentru care a înregistrat TVA deductibila in suma de 320.310 lei, dar facturile care au înscris acest furnizor nu îndeplinesc calitatea de document justificativ întrucât nu au toate datele înscrise, respectiv adresa beneficiarului (strada si numărul).</w:t>
      </w:r>
    </w:p>
    <w:p>
      <w:pPr>
        <w:pStyle w:val="Normal"/>
        <w:ind w:firstLine="709"/>
        <w:jc w:val="both"/>
        <w:rPr/>
      </w:pPr>
      <w:r>
        <w:rPr/>
        <w:t>În cauza C18/13,</w:t>
      </w:r>
      <w:r>
        <w:rPr>
          <w:rStyle w:val="Fontdeparagrafimplicit1"/>
          <w:b/>
        </w:rPr>
        <w:t xml:space="preserve">Maks Pen EOOD </w:t>
      </w:r>
      <w:r>
        <w:rPr/>
        <w:t xml:space="preserve"> CJUE a statuat că Directiva 2006/112 trebuie interpretată în sensul că se opune ca o persoană impozabilă să deducă TVAul care figurează pe facturile emise de un furnizor atunci când, deși serviciul a fost prestat, se dovedește că acesta nu a fost prestat efectiv de respectivul furnizor sau de subcontractantul său, în special pentru că aceștia din urmă nu dispuneau de personalul, de mijloacele fixe și de activele necesare, că costurile pentru prestarea serviciului nu au fost înscrise în registrele lor contabile sau că identitatea persoanelor care au semnat anumite documente în calitate de furnizori sa dovedit inexactă, cu condiția dublă ca astfel de fapte să constituie un comportament fraudulos și să se dovedească, având în vedere elementele obiective furnizate de autoritățile fiscale, că persoana impozabilă știa sau ar fi trebuit să știe că operațiunea invocată ca temei pentru dreptul de deducere era implicată în această fraudă, ceea ce revine instanței de trimitere să verifice.</w:t>
      </w:r>
    </w:p>
    <w:p>
      <w:pPr>
        <w:pStyle w:val="Normal"/>
        <w:ind w:firstLine="709"/>
        <w:jc w:val="both"/>
        <w:rPr/>
      </w:pPr>
      <w:r>
        <w:rPr/>
        <w:t>În acord cu această hotărâre , Curtea de apel constată că în mod legal intimata a reţinut că SC A6 SRL nu au înregistrat şi declarat livrările de bunuri către această societate , au prezentat facturi de achiziție de aluminiu pe care nu sunt înscrise toate datele de identificare sau informațiile nu au concordanță cu cele înscrise în bazele de date ale organelor fiscale teritoriale, nu a realizat operațiuni în condiții de autorizare legală, nu deține spații de depozitare, nu deține mijloace de transport autorizate, mijloace de încărcare - descărcare impuse de normele legale, nu are autorizație de mediu, astfel încât s-a concluzionat că nu se poate justifica modalitatea de achiziționare a aluminiului cu documente de transport, însoţire, expediere a bunurilor.</w:t>
      </w:r>
    </w:p>
    <w:p>
      <w:pPr>
        <w:pStyle w:val="Normal"/>
        <w:jc w:val="both"/>
        <w:rPr/>
      </w:pPr>
      <w:r>
        <w:rPr/>
        <w:tab/>
        <w:t>In anul 2011, A1 SRL a înregistrat in evidenta contabila facturi de achiziții reprezentând lingouri aluminiu de la A3 SRL, in suma totala de 1.791.798 tei si TVA deductibilă în suma de 430.032 lei, iar din facturi reiese ca la adresa cumpărătorului, este trecuta numai localitatea -..., fara strada si număr.</w:t>
      </w:r>
    </w:p>
    <w:p>
      <w:pPr>
        <w:pStyle w:val="Normal"/>
        <w:ind w:firstLine="709"/>
        <w:jc w:val="both"/>
        <w:rPr/>
      </w:pPr>
      <w:r>
        <w:rPr/>
        <w:t xml:space="preserve">În cauza C8/17 </w:t>
      </w:r>
      <w:r>
        <w:rPr>
          <w:rStyle w:val="Fontdeparagrafimplicit1"/>
          <w:b/>
        </w:rPr>
        <w:t xml:space="preserve">Biosafe – Indústria de Reciclagens SA </w:t>
      </w:r>
      <w:r>
        <w:rPr/>
        <w:t xml:space="preserve">împotriva </w:t>
      </w:r>
      <w:r>
        <w:rPr>
          <w:rStyle w:val="Fontdeparagrafimplicit1"/>
          <w:b/>
        </w:rPr>
        <w:t xml:space="preserve">Flexipiso – Pavimentos SA, </w:t>
      </w:r>
      <w:r>
        <w:rPr/>
        <w:t>dreptul de deducere a TVAului trebuie să respecte cerințe sau condiții atât de fond, cât și de formă (Hotărârea din 21 martie 2018, Volkswagen, C533/16, EU:C:2018:204, punctul 40 și jurisprudența citată).</w:t>
      </w:r>
    </w:p>
    <w:p>
      <w:pPr>
        <w:pStyle w:val="Normal"/>
        <w:ind w:firstLine="709"/>
        <w:jc w:val="both"/>
        <w:rPr/>
      </w:pPr>
      <w:r>
        <w:rPr/>
        <w:t>  </w:t>
      </w:r>
      <w:r>
        <w:rPr/>
        <w:t>În ceea ce privește cerințele sau condițiile de fond, reiese din articolul 168 litera (a) din Directiva TVA că, pentru a putea beneficia de dreptul amintit, trebuie, pe de o parte, ca persoana interesată să fie o „persoană impozabilă” în sensul respectivei directive și, pe de altă parte, ca bunurile sau serviciile invocate pentru a justifica dreptul de deducere a TVAului să fie utilizate în aval de persoana impozabilă în scopul operațiunilor taxabile ale acesteia și ca, în amonte, aceste bunuri sau servicii să fie furnizate de o altă persoană impozabilă (Hotărârea din 21 martie 2018, Volkswagen, C533/16, EU:C:2018:204, punctul 41 și jurisprudența citată).</w:t>
      </w:r>
    </w:p>
    <w:p>
      <w:pPr>
        <w:pStyle w:val="Normal"/>
        <w:ind w:firstLine="709"/>
        <w:jc w:val="both"/>
        <w:rPr/>
      </w:pPr>
      <w:r>
        <w:rPr/>
        <w:t>  </w:t>
      </w:r>
      <w:r>
        <w:rPr/>
        <w:t>În ceea ce privește modalitățile de exercitare a dreptului de deducere a TVAului, care corespund unor cerințe sau condiții de formă, articolul 178 litera (a) din Directiva TVA prevede că persoana impozabilă are obligația de a deține o factură emisă în conformitate cu articolele 220-236 și cu articolele 238-240 din aceasta (Hotărârea din 21 martie 2018, Volkswagen, C533/16, EU:C:2018:204, punctul 42 și jurisprudența citată).</w:t>
      </w:r>
    </w:p>
    <w:p>
      <w:pPr>
        <w:pStyle w:val="Normal"/>
        <w:ind w:firstLine="709"/>
        <w:jc w:val="both"/>
        <w:rPr/>
      </w:pPr>
      <w:r>
        <w:rPr/>
        <w:t> </w:t>
      </w:r>
      <w:r>
        <w:rPr/>
        <w:t>Din considerațiile de mai sus rezultă că, deși, în temeiul articolului 167 din Directiva TVA, dreptul de deducere a TVAului ia naștere la data la care taxa devine exigibilă, exercitarea dreptului menționat nu este în principiu posibilă, conform articolului 178 din această directivă, decât din momentul în care persoana impozabilă este în posesia unei facturi (Hotărârea din 21 martie 2018, Volkswagen, C533/16, EU:C:2018:204, punctul 43 și jurisprudența citată).</w:t>
      </w:r>
    </w:p>
    <w:p>
      <w:pPr>
        <w:pStyle w:val="Normal"/>
        <w:jc w:val="both"/>
        <w:rPr/>
      </w:pPr>
      <w:r>
        <w:rPr/>
        <w:tab/>
        <w:t>A3 SRL nu poate justifica modalitatea de achiziție cu documente de transport si expediere a mărfurilor înregistrate in evidenta contabila, deoarece nu a pus la dispoziția controlului avize de însoțire a mărfii, comenzi de transport, către societăți specializate in transportul de marfa, bonuri de cântar, certificate de analiza/calitate, nu deține mijloace de transport proprii si nici nu a încheiat contracte de închiriere sau comodat cu deținători de mijloace de transport specializate si autorizate pentru transportul deșeurilor, nu avea autorizație de mediu si nici autorizație de colectare deșeuri.</w:t>
      </w:r>
    </w:p>
    <w:p>
      <w:pPr>
        <w:pStyle w:val="Normal"/>
        <w:jc w:val="both"/>
        <w:rPr/>
      </w:pPr>
      <w:r>
        <w:rPr/>
        <w:tab/>
        <w:t>Organele de inspecție fiscală au constatat că SC A1 COM SRL nu a prezentat la control bonuri de cântar, certificate de calitate si analiza, certificarea conformității lingourilor emise de producătorii de lingouri, documente justificative legale privind transportul lingourilor de aluminiu, astfel ca nu a putut dovedi cu certitudine proveniența acestora, în acest caz fiind incidente dispozițiile prevăzute de art. 1 lit. d) şi art. 51 din H.G. nr. 1373/2008 privind reglementarea furnizării şi transportului rutier de bunuri divizibile pe drumurile publice din România.</w:t>
      </w:r>
    </w:p>
    <w:p>
      <w:pPr>
        <w:pStyle w:val="Normal"/>
        <w:ind w:firstLine="709"/>
        <w:jc w:val="both"/>
        <w:rPr/>
      </w:pPr>
      <w:r>
        <w:rPr/>
        <w:t>Directiva 2006/112  impune în special, potrivit articolului 242 din aceasta, oricărei persoane impozabile să țină o contabilitate suficient de detaliată pentru a permite aplicarea TVAului și controlarea aplicării TVAului de către autoritățile fiscale si trebuie interpretată în sensul că nu se opune ca statul membru în cauză, în limitele prevăzute la articolul 273 din această directivă, să impună oricărei persoane impozabile să respecte în această privință ansamblul normelor naționale de contabilitate conforme standardelor internaționale de contabilitate, cu condiția ca măsurile adoptate în acest sens să nu depășească ceea ce este necesar pentru atingerea obiectivelor privind asigurarea colectării în mod corect a taxei și prevenirea evaziunii. În această privință, Directiva 2006/112 se opune unei dispoziții naționale conform căreia serviciul se consideră prestat atunci când sunt îndeplinite condițiile pentru recunoașterea veniturilor obținute din prestarea respectivă.</w:t>
      </w:r>
    </w:p>
    <w:p>
      <w:pPr>
        <w:pStyle w:val="Normal"/>
        <w:jc w:val="both"/>
        <w:rPr/>
      </w:pPr>
      <w:r>
        <w:rPr/>
        <w:tab/>
        <w:t>In decizia 1312/2014 ICCJ  retine ca ”multe din operațiunile derulate de contribuabil, supuse analizei din perspectiva îndeplinirii condițiilor procedurale și de fond pentru recunoașterea dreptului de deducere a TVA, au fost considerate nereale, chiar dacă formal erau constatate printr-o factură, înregistrată în evidența contabilă. Bunurile respective nu au putut fi identificate, în absența unor minime repere.</w:t>
      </w:r>
    </w:p>
    <w:p>
      <w:pPr>
        <w:pStyle w:val="Normal"/>
        <w:ind w:firstLine="709"/>
        <w:jc w:val="both"/>
        <w:rPr/>
      </w:pPr>
      <w:r>
        <w:rPr/>
        <w:t>De asemenea, în privința operațiunilor comerciale (achiziții de mărfuri, respectiv vânzări) derulate cu partenerii , concluziile intimatei (fiscul)  sunt la adăpost de orice critică, în contextul în care facturile sunt incomplete (</w:t>
      </w:r>
      <w:r>
        <w:rPr>
          <w:rStyle w:val="Fontdeparagrafimplicit1"/>
          <w:i/>
          <w:u w:val="single"/>
        </w:rPr>
        <w:t>lipsesc datele emiterii facturii și date privind expediția</w:t>
      </w:r>
      <w:r>
        <w:rPr/>
        <w:t>) .</w:t>
      </w:r>
    </w:p>
    <w:p>
      <w:pPr>
        <w:pStyle w:val="Normal"/>
        <w:ind w:firstLine="709"/>
        <w:jc w:val="both"/>
        <w:rPr/>
      </w:pPr>
      <w:r>
        <w:rPr/>
        <w:t>În Hotărârea CJUE în cauza C-430/19, C.F. sistemul comun al TVA garantează perfecta neutralitate în ceea ce privește sarcina fiscală corespunzătoare tuturor activităților economice, indiferent de finalitatea/rezultatele lor, cu condiția ca activitățile menționate să fie, în principiu, ele însele supuse TVA.</w:t>
      </w:r>
    </w:p>
    <w:p>
      <w:pPr>
        <w:pStyle w:val="Normal"/>
        <w:ind w:firstLine="709"/>
        <w:jc w:val="both"/>
        <w:rPr/>
      </w:pPr>
      <w:r>
        <w:rPr/>
        <w:t xml:space="preserve">Cu toate acestea, combaterea fraudei, a evaziunii fiscale și a eventualelor abuzuri este un obiectiv recunoscut și încurajat de Directiva TVA, iar justițiabilii nu se pot prevala în mod fraudulos sau abuziv de normele dreptului Uniunii. </w:t>
      </w:r>
    </w:p>
    <w:p>
      <w:pPr>
        <w:pStyle w:val="Normal"/>
        <w:ind w:firstLine="709"/>
        <w:jc w:val="both"/>
        <w:rPr/>
      </w:pPr>
      <w:r>
        <w:rPr/>
        <w:t xml:space="preserve">Reţine CJUE că incumbă administrației fiscale naționale sarcina să stabilească, pe baza elementelor obiective și fără a solicita destinatarului facturii verificări a căror sarcină nu îi revine, că acesta știa sau ar fi trebuit să știe că operațiunea invocată pentru a justifica dreptul de deducere era implicată într-o fraudă privind TVA - aspect a cărui verificare este de competența instanței de trimitere. </w:t>
      </w:r>
    </w:p>
    <w:p>
      <w:pPr>
        <w:pStyle w:val="Normal"/>
        <w:ind w:firstLine="709"/>
        <w:jc w:val="both"/>
        <w:rPr/>
      </w:pPr>
      <w:r>
        <w:rPr/>
        <w:t>Determinarea măsurilor ce pot fi pretinse în mod rezonabil din partea unei persoane impozabile care dorește să exercite dreptul de deducere a TVA pentru a se asigura că operațiunile sale nu sunt implicate într‐o fraudă săvârșită de un operator în amonte depinde, în mod esențial, de circumstanțele respectivei cauze.</w:t>
      </w:r>
    </w:p>
    <w:p>
      <w:pPr>
        <w:pStyle w:val="Normal"/>
        <w:ind w:firstLine="709"/>
        <w:jc w:val="both"/>
        <w:rPr/>
      </w:pPr>
      <w:r>
        <w:rPr/>
        <w:t>O astfel de persoană impozabilă poate fi obligată, dacă dispune de indicii care permit să se bănuiască existența unor nereguli sau fraude, să se informeze cu privire la operatorul de la care intenționează să achiziționeze bunuri sau servicii.</w:t>
      </w:r>
    </w:p>
    <w:p>
      <w:pPr>
        <w:pStyle w:val="Normal"/>
        <w:ind w:firstLine="709"/>
        <w:jc w:val="both"/>
        <w:rPr/>
      </w:pPr>
      <w:r>
        <w:rPr/>
        <w:t xml:space="preserve">Prin urmare, Curtea a statuat că principiile care guvernează aplicarea de către statele membre a regimului comun al TVA, în special cel al neutralității fiscale și cel al securității juridice, trebuie interpretate în sensul că se opun ca, în prezența unor simple bănuieli nesusținute cu dovezi ale administrației fiscale naționale cu privire la realizarea efectivă a operațiunilor economice care au stat la baza emiterii unei facturi fiscale, persoanei impozabile destinatare a acestei facturi să i se refuze dreptul de deducere a TVA, dacă nu este în măsură să furnizeze, în afara facturii menționate, alte elemente care să probeze realitatea operațiunilor economice realizate. </w:t>
      </w:r>
    </w:p>
    <w:p>
      <w:pPr>
        <w:pStyle w:val="Normal"/>
        <w:ind w:firstLine="709"/>
        <w:jc w:val="both"/>
        <w:rPr/>
      </w:pPr>
      <w:r>
        <w:rPr/>
        <w:t>  </w:t>
      </w:r>
      <w:r>
        <w:rPr/>
        <w:t>Întrucât refuzul dreptului de deducere constituie o excepție de la aplicarea principiului fundamental pe care îl reprezintă acest drept, revine autorităților fiscale competente sarcina să stabilească corespunzător cerințelor legale că elementele obiective la care se face referire la punctul anterior din prezenta hotărâre sunt întrunite. Revine în continuare instanțelor naționale sarcina de a verifica dacă autoritățile fiscale implicate au stabilit existența unor astfel de elemente obiective (a se vedea în acest sens Hotărârea Bonik, citată anterior, punctele 43 și 44).</w:t>
      </w:r>
    </w:p>
    <w:p>
      <w:pPr>
        <w:pStyle w:val="Normal"/>
        <w:ind w:firstLine="709"/>
        <w:jc w:val="both"/>
        <w:rPr/>
      </w:pPr>
      <w:r>
        <w:rPr/>
        <w:t>Curtea reaminteste că, în cadrul sistemului comun de TVA, statele membre sunt obligate să asigure respectarea obligațiilor care incumbă persoanelor impozabile și beneficiază în această privință de o anumită latitudine, în special în legătură cu modul de utilizare a mijloacelor de care dispun. Printre aceste obligații, articolul 242 din Directiva 2006/112 prevede, în special, că fiecare persoană impozabilă ține o contabilitate suficient de detaliată pentru a permite aplicarea TVAului și controlarea aplicării TVAului de către autoritățile fiscale (a se vedea în acest sens Hotărârea din 29 iulie 2010, Profaktor Kulesza, Frankowski, Jóźwiak, Orłowski, C188/09, Rep., p. I7639, punctele 22 și 23).</w:t>
      </w:r>
    </w:p>
    <w:p>
      <w:pPr>
        <w:pStyle w:val="Normal"/>
        <w:ind w:firstLine="709"/>
        <w:jc w:val="both"/>
        <w:rPr/>
      </w:pPr>
      <w:r>
        <w:rPr/>
        <w:t> </w:t>
      </w:r>
      <w:r>
        <w:rPr/>
        <w:t>Pe de altă parte, în temeiul articolului 273 primul paragraf din Directiva 2006/112, statele membre pot impune alte obligații pe care le consideră necesare pentru a asigura colectarea în mod corect a TVAului și pentru a preveni evaziunea. Nici această opțiune, care poate fi exercitată numai sub rezerva de a nu afecta comerțul între statele membre, nu poate, astfel cum stabilește al doilea paragraf al aceluiași articol, să fie considerată ca bază de plecare pentru a impune obligații suplimentare față de cele stabilite în directiva menționată.</w:t>
      </w:r>
    </w:p>
    <w:p>
      <w:pPr>
        <w:pStyle w:val="Normal"/>
        <w:ind w:firstLine="709"/>
        <w:jc w:val="both"/>
        <w:rPr/>
      </w:pPr>
      <w:r>
        <w:rPr/>
        <w:t>În ceea ce privește achiziția de la SC A5 SRL, societatea a dedus taxa pe valoarea adăugată în sumă de 90.821 lei, dar nu a prezentat echipei de inspecție fiscală documente justificative, respectiv nu a prezentat certificatul de calitate din care să rezulte că bunurile achiziționate reprezintă produse finite şi nu deșeuri, fapt pentru care avea obligația aplicării măsurilor de simplificare în conformitate cu prevederile art. 160 alin.(2) lit.a) din Legea nr. 571/2003 privind Codul fiscal.</w:t>
      </w:r>
    </w:p>
    <w:p>
      <w:pPr>
        <w:pStyle w:val="Normal"/>
        <w:ind w:firstLine="709"/>
        <w:jc w:val="both"/>
        <w:rPr/>
      </w:pPr>
      <w:r>
        <w:rPr/>
        <w:t>Faţă de motivele expuse, decizia nr. .../17.07.2020, emisă de ANAF-Direcția Generală de Soluționare a Contestațiilor în soluționarea procedurii prealabile și actele subsecvente ce au stat Ia baza emiterii deciziei: Decizia de impunere nr. ...  ...0/14.12.2015 emisă în baza Raportului de Inspecție Fiscali nr. ... ...9/14.12..2015 sunt legale, motiv pentru care  se va respinge contestaţia.</w:t>
      </w:r>
    </w:p>
    <w:p>
      <w:pPr>
        <w:pStyle w:val="Normal"/>
        <w:rPr/>
      </w:pPr>
      <w:r>
        <w:rPr/>
      </w:r>
    </w:p>
    <w:p>
      <w:pPr>
        <w:pStyle w:val="Normal"/>
        <w:rPr/>
      </w:pPr>
      <w:r>
        <w:rPr/>
      </w:r>
    </w:p>
    <w:p>
      <w:pPr>
        <w:pStyle w:val="Normal"/>
        <w:jc w:val="center"/>
        <w:rPr/>
      </w:pPr>
      <w:r>
        <w:rPr/>
        <w:t>PENTRU ACESTE MOTIVE,</w:t>
        <w:br/>
        <w:t>ÎN NUMELE LEGII</w:t>
      </w:r>
    </w:p>
    <w:p>
      <w:pPr>
        <w:pStyle w:val="Normal"/>
        <w:jc w:val="center"/>
        <w:rPr/>
      </w:pPr>
      <w:bookmarkStart w:name="ce_face_curtea" w:id="4"/>
      <w:r>
        <w:rPr/>
        <w:t>HOTĂRĂŞTE</w:t>
      </w:r>
      <w:bookmarkEnd w:id="4"/>
      <w:r>
        <w:rPr/>
        <w:t>:</w:t>
      </w:r>
    </w:p>
    <w:p>
      <w:pPr>
        <w:pStyle w:val="Normal"/>
        <w:jc w:val="center"/>
        <w:rPr/>
      </w:pPr>
      <w:r>
        <w:rPr/>
      </w:r>
    </w:p>
    <w:p>
      <w:pPr>
        <w:pStyle w:val="Normal"/>
        <w:jc w:val="center"/>
        <w:rPr/>
      </w:pPr>
      <w:r>
        <w:rPr/>
      </w:r>
    </w:p>
    <w:p>
      <w:pPr>
        <w:pStyle w:val="Normal"/>
        <w:jc w:val="both"/>
        <w:rPr/>
      </w:pPr>
      <w:r>
        <w:rPr/>
        <w:tab/>
        <w:t>Respinge contestaţia formulată de reclamanta SC A1 COM SRL-PRIN LICHIDATOR JUDICIAR B1, sediul în ..., cu  împotriva pârâtelor DIRECŢIA GENERALĂ REGIONALĂ A FINANŢELOR PUBLICE ...-ADMINISTRAŢIA JUDEŢEANĂ A FINANŢELOR PUBLICE ... cu sediul în ..., strada ... şi ANAF-DIRECŢIA GENERALĂ DE SOLUŢIONARE A CONTESTAŢIILOR, cu sediul în ..., având ca obiect contestaţie act administrativ fiscal.</w:t>
      </w:r>
    </w:p>
    <w:p>
      <w:pPr>
        <w:pStyle w:val="Normal"/>
        <w:jc w:val="both"/>
        <w:rPr/>
      </w:pPr>
      <w:r>
        <w:rPr/>
        <w:tab/>
        <w:t xml:space="preserve">Cu drept de a exercita recurs în termen de 15 zile de la comunicare, recurs ce se va depune la sediul Curţii de Apel .... </w:t>
      </w:r>
    </w:p>
    <w:p>
      <w:pPr>
        <w:pStyle w:val="Normal"/>
        <w:jc w:val="both"/>
        <w:rPr/>
      </w:pPr>
      <w:r>
        <w:rPr/>
        <w:tab/>
        <w:t>Pronunţată la 2..., prin punerea soluţiei la dispoziţia părţilor de către grefa instanţei, conform art.402 CPC.</w:t>
      </w:r>
    </w:p>
    <w:p>
      <w:pPr>
        <w:pStyle w:val="Normal"/>
        <w:jc w:val="both"/>
        <w:rPr/>
      </w:pPr>
      <w:r>
        <w:rPr/>
      </w:r>
    </w:p>
    <w:p>
      <w:pPr>
        <w:pStyle w:val="Normal"/>
        <w:rPr/>
      </w:pPr>
      <w:r>
        <w:rPr/>
      </w:r>
    </w:p>
    <w:p>
      <w:pPr>
        <w:pStyle w:val="Normal"/>
        <w:jc w:val="center"/>
        <w:rPr/>
      </w:pPr>
      <w:r>
        <w:rPr/>
      </w:r>
      <w:bookmarkStart w:name="completul_1" w:id="5"/>
      <w:bookmarkStart w:name="completul_1" w:id="6"/>
      <w:bookmarkEnd w:id="6"/>
    </w:p>
    <w:tbl>
      <w:tblPr>
        <w:tblW w:w="9286" w:type="dxa"/>
        <w:jc w:val="center"/>
        <w:tblInd w:w="0" w:type="dxa"/>
        <w:tblLayout w:type="fixed"/>
        <w:tblCellMar>
          <w:top w:w="284" w:type="dxa"/>
          <w:left w:w="108" w:type="dxa"/>
          <w:bottom w:w="284" w:type="dxa"/>
          <w:right w:w="108" w:type="dxa"/>
        </w:tblCellMar>
      </w:tblPr>
      <w:tblGrid>
        <w:gridCol w:w="3095"/>
        <w:gridCol w:w="3095"/>
        <w:gridCol w:w="3096"/>
      </w:tblGrid>
      <w:tr>
        <w:trPr/>
        <w:tc>
          <w:tcPr>
            <w:tcW w:w="3095" w:type="dxa"/>
            <w:tcBorders>
              <w:top w:val="single" w:color="FFFFFF" w:sz="4" w:space="0"/>
              <w:left w:val="single" w:color="FFFFFF" w:sz="4" w:space="0"/>
              <w:bottom w:val="single" w:color="FFFFFF" w:sz="4" w:space="0"/>
              <w:right w:val="single" w:color="FFFFFF" w:sz="4" w:space="0"/>
            </w:tcBorders>
          </w:tcPr>
          <w:p>
            <w:pPr>
              <w:pStyle w:val="Normal"/>
              <w:jc w:val="center"/>
              <w:rPr/>
            </w:pPr>
            <w:r>
              <w:rPr/>
            </w:r>
          </w:p>
        </w:tc>
        <w:tc>
          <w:tcPr>
            <w:tcW w:w="3095" w:type="dxa"/>
            <w:tcBorders>
              <w:top w:val="single" w:color="FFFFFF" w:sz="4" w:space="0"/>
              <w:left w:val="single" w:color="FFFFFF" w:sz="4" w:space="0"/>
              <w:bottom w:val="single" w:color="FFFFFF" w:sz="4" w:space="0"/>
              <w:right w:val="single" w:color="FFFFFF" w:sz="4" w:space="0"/>
            </w:tcBorders>
          </w:tcPr>
          <w:p>
            <w:pPr>
              <w:pStyle w:val="Normal"/>
              <w:jc w:val="center"/>
              <w:rPr/>
            </w:pPr>
            <w:r>
              <w:rPr/>
              <w:t>Preşedinte,</w:t>
            </w:r>
          </w:p>
          <w:p>
            <w:pPr>
              <w:pStyle w:val="Normal"/>
              <w:jc w:val="center"/>
              <w:rPr/>
            </w:pPr>
            <w:r>
              <w:rPr/>
              <w:t>A0006</w:t>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pPr>
            <w:r>
              <w:rPr/>
            </w:r>
          </w:p>
        </w:tc>
      </w:tr>
      <w:tr>
        <w:trPr/>
        <w:tc>
          <w:tcPr>
            <w:tcW w:w="3095" w:type="dxa"/>
            <w:tcBorders>
              <w:top w:val="single" w:color="FFFFFF" w:sz="4" w:space="0"/>
              <w:left w:val="single" w:color="FFFFFF" w:sz="4" w:space="0"/>
              <w:bottom w:val="single" w:color="FFFFFF" w:sz="4" w:space="0"/>
              <w:right w:val="single" w:color="FFFFFF" w:sz="4" w:space="0"/>
            </w:tcBorders>
          </w:tcPr>
          <w:p>
            <w:pPr>
              <w:pStyle w:val="Normal"/>
              <w:jc w:val="center"/>
              <w:rPr/>
            </w:pPr>
            <w:r>
              <w:rPr/>
            </w:r>
          </w:p>
        </w:tc>
        <w:tc>
          <w:tcPr>
            <w:tcW w:w="3095" w:type="dxa"/>
            <w:tcBorders>
              <w:top w:val="single" w:color="FFFFFF" w:sz="4" w:space="0"/>
              <w:left w:val="single" w:color="FFFFFF" w:sz="4" w:space="0"/>
              <w:bottom w:val="single" w:color="FFFFFF" w:sz="4" w:space="0"/>
              <w:right w:val="single" w:color="FFFFFF" w:sz="4" w:space="0"/>
            </w:tcBorders>
          </w:tcPr>
          <w:p>
            <w:pPr>
              <w:pStyle w:val="Normal"/>
              <w:jc w:val="center"/>
              <w:rPr/>
            </w:pPr>
            <w:r>
              <w:rPr/>
              <w:t>Grefier,</w:t>
            </w:r>
          </w:p>
          <w:p>
            <w:pPr>
              <w:pStyle w:val="Normal"/>
              <w:jc w:val="center"/>
              <w:rPr/>
            </w:pPr>
            <w:r>
              <w:rPr/>
              <w:t>...</w:t>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pPr>
            <w:r>
              <w:rPr/>
            </w:r>
          </w:p>
        </w:tc>
      </w:tr>
    </w:tbl>
    <w:p>
      <w:pPr>
        <w:pStyle w:val="Normal"/>
        <w:jc w:val="center"/>
        <w:rPr/>
      </w:pPr>
      <w:r>
        <w:rPr/>
      </w:r>
      <w:bookmarkStart w:name="completul_1" w:id="7"/>
      <w:bookmarkStart w:name="completul_1" w:id="8"/>
      <w:bookmarkEnd w:id="8"/>
    </w:p>
    <w:p>
      <w:pPr>
        <w:pStyle w:val="Normal"/>
        <w:jc w:val="center"/>
        <w:rPr/>
      </w:pPr>
      <w:r>
        <w:rPr/>
      </w:r>
    </w:p>
    <w:p>
      <w:pPr>
        <w:pStyle w:val="Normal"/>
        <w:rPr/>
      </w:pPr>
      <w:r>
        <w:rPr/>
        <w:t>Red A0006 ...</w:t>
      </w:r>
    </w:p>
    <w:sectPr>
      <w:footerReference w:type="default" r:id="rId8"/>
      <w:type w:val="nextPage"/>
      <w:pgSz w:w="11906" w:h="16838"/>
      <w:pgMar w:top="851" w:right="851" w:bottom="851" w:left="1985" w:header="0" w:footer="72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ubsol1"/>
      <w:jc w:val="center"/>
      <w:rPr/>
    </w:pPr>
    <w:r>
      <w:rPr/>
      <w:fldChar w:fldCharType="begin"/>
    </w:r>
    <w:r>
      <w:rPr/>
      <w:instrText xml:space="preserve"> PAGE </w:instrText>
    </w:r>
    <w:r>
      <w:rPr/>
      <w:fldChar w:fldCharType="separate"/>
    </w:r>
    <w:r>
      <w:rPr/>
      <w:t>20</w:t>
    </w:r>
    <w:r>
      <w:rPr/>
      <w:fldChar w:fldCharType="end"/>
    </w:r>
  </w:p>
  <w:p>
    <w:pPr>
      <w:pStyle w:val="Subsol1"/>
      <w:rPr/>
    </w:pPr>
    <w:r>
      <w:rPr/>
    </w:r>
  </w:p>
</w:ftr>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docVars>
    <w:docVar w:name="url" w:val="http://server3:80/ecris_cdms/document_upload.aspx?id_document=5400000001511946&amp;id_departament=5&amp;id_sesiune=2154062&amp;id_user=364&amp;id_institutie=54&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lang w:val="en-GB" w:eastAsia="en-GB" w:bidi="ar-SA"/>
      </w:rPr>
    </w:rPrDefault>
    <w:pPrDefault>
      <w:pPr>
        <w:suppressAutoHyphens w:val="true"/>
      </w:pPr>
    </w:pPrDefault>
  </w:docDefaults>
  <w:style w:type="paragraph" w:styleId="Normal">
    <w:name w:val="Normal"/>
    <w:qFormat/>
    <w:pPr>
      <w:widowControl/>
      <w:kinsoku w:val="true"/>
      <w:overflowPunct w:val="true"/>
      <w:autoSpaceDE w:val="true"/>
      <w:bidi w:val="0"/>
      <w:spacing w:before="0" w:after="0"/>
      <w:jc w:val="left"/>
    </w:pPr>
    <w:rPr>
      <w:rFonts w:ascii="Times New Roman" w:hAnsi="Times New Roman" w:eastAsia="Times New Roman" w:cs="Times New Roman"/>
      <w:color w:val="auto"/>
      <w:kern w:val="0"/>
      <w:sz w:val="24"/>
      <w:szCs w:val="20"/>
      <w:lang w:val="ro-RO" w:eastAsia="en-GB" w:bidi="ar-SA"/>
    </w:rPr>
  </w:style>
  <w:style w:type="character" w:styleId="DefaultParagraphFont">
    <w:name w:val="Default Paragraph Font"/>
    <w:qFormat/>
    <w:rPr/>
  </w:style>
  <w:style w:type="character" w:styleId="LineNumber">
    <w:name w:val="Line Number"/>
    <w:basedOn w:val="DefaultParagraphFont"/>
    <w:rPr/>
  </w:style>
  <w:style w:type="character" w:styleId="Hyperlink">
    <w:name w:val="Hyperlink"/>
    <w:rPr>
      <w:color w:val="0000FF"/>
      <w:u w:val="single"/>
    </w:rPr>
  </w:style>
  <w:style w:type="character" w:styleId="Fontdeparagrafimplicit1">
    <w:name w:val="Font de paragraf implicit1"/>
    <w:qFormat/>
    <w:rPr/>
  </w:style>
  <w:style w:type="character" w:styleId="Titlu1Caracter">
    <w:name w:val="Titlu 1 Caracter"/>
    <w:link w:val="Titlu11"/>
    <w:qFormat/>
    <w:rPr>
      <w:b/>
      <w:sz w:val="28"/>
      <w:lang w:val="en-US"/>
    </w:rPr>
  </w:style>
  <w:style w:type="character" w:styleId="Titlu2Caracter">
    <w:name w:val="Titlu 2 Caracter"/>
    <w:link w:val="Titlu21"/>
    <w:qFormat/>
    <w:rPr>
      <w:color w:val="000000"/>
      <w:sz w:val="30"/>
      <w:u w:val="single" w:color="000000"/>
      <w:lang w:val="ro-RO"/>
    </w:rPr>
  </w:style>
  <w:style w:type="character" w:styleId="AntetCaracter">
    <w:name w:val="Antet Caracter"/>
    <w:link w:val="Antet1"/>
    <w:qFormat/>
    <w:rPr>
      <w:color w:val="000000"/>
      <w:sz w:val="22"/>
    </w:rPr>
  </w:style>
  <w:style w:type="character" w:styleId="SubsolCaracter">
    <w:name w:val="Subsol Caracter"/>
    <w:link w:val="Subsol1"/>
    <w:qFormat/>
    <w:rPr>
      <w:color w:val="000000"/>
      <w:sz w:val="22"/>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Titlu21">
    <w:name w:val="Titlu 21"/>
    <w:next w:val="Normal"/>
    <w:link w:val="Titlu2Caracter"/>
    <w:qFormat/>
    <w:pPr>
      <w:keepNext w:val="true"/>
      <w:keepLines/>
      <w:widowControl/>
      <w:numPr>
        <w:ilvl w:val="0"/>
        <w:numId w:val="0"/>
      </w:numPr>
      <w:kinsoku w:val="true"/>
      <w:overflowPunct w:val="true"/>
      <w:autoSpaceDE w:val="true"/>
      <w:bidi w:val="0"/>
      <w:spacing w:lineRule="auto" w:line="252" w:before="0" w:after="0"/>
      <w:ind w:left="106"/>
      <w:jc w:val="left"/>
      <w:outlineLvl w:val="1"/>
    </w:pPr>
    <w:rPr>
      <w:rFonts w:ascii="Times New Roman" w:hAnsi="Times New Roman" w:eastAsia="Times New Roman" w:cs="Times New Roman"/>
      <w:color w:val="000000"/>
      <w:kern w:val="0"/>
      <w:sz w:val="30"/>
      <w:szCs w:val="20"/>
      <w:u w:val="single" w:color="000000"/>
      <w:lang w:val="ro-RO" w:eastAsia="en-GB" w:bidi="ar-SA"/>
    </w:rPr>
  </w:style>
  <w:style w:type="paragraph" w:styleId="Frspaiere1">
    <w:name w:val="Fără spațiere1"/>
    <w:qFormat/>
    <w:pPr>
      <w:widowControl/>
      <w:kinsoku w:val="true"/>
      <w:overflowPunct w:val="true"/>
      <w:autoSpaceDE w:val="true"/>
      <w:bidi w:val="0"/>
      <w:spacing w:before="0" w:after="0"/>
      <w:jc w:val="left"/>
    </w:pPr>
    <w:rPr>
      <w:rFonts w:ascii="Times New Roman" w:hAnsi="Times New Roman" w:eastAsia="Times New Roman" w:cs="Times New Roman"/>
      <w:color w:val="000000"/>
      <w:kern w:val="0"/>
      <w:sz w:val="22"/>
      <w:szCs w:val="20"/>
      <w:lang w:val="ro-RO" w:eastAsia="en-GB" w:bidi="ar-SA"/>
    </w:rPr>
  </w:style>
  <w:style w:type="paragraph" w:styleId="Titlu11">
    <w:name w:val="Titlu 11"/>
    <w:basedOn w:val="Normal"/>
    <w:next w:val="Normal"/>
    <w:link w:val="Titlu1Caracter"/>
    <w:qFormat/>
    <w:pPr>
      <w:keepNext w:val="true"/>
      <w:numPr>
        <w:ilvl w:val="0"/>
        <w:numId w:val="0"/>
      </w:numPr>
      <w:jc w:val="center"/>
      <w:outlineLvl w:val="0"/>
    </w:pPr>
    <w:rPr>
      <w:b/>
      <w:sz w:val="28"/>
      <w:lang w:val="en-US"/>
    </w:rPr>
  </w:style>
  <w:style w:type="paragraph" w:styleId="NormalWeb">
    <w:name w:val="Normal (Web)"/>
    <w:basedOn w:val="Normal"/>
    <w:qFormat/>
    <w:pPr>
      <w:spacing w:before="280" w:after="280"/>
    </w:pPr>
    <w:rPr/>
  </w:style>
  <w:style w:type="paragraph" w:styleId="msonormal">
    <w:name w:val="msonormal"/>
    <w:basedOn w:val="Normal"/>
    <w:qFormat/>
    <w:pPr>
      <w:spacing w:before="280" w:after="280"/>
    </w:pPr>
    <w:rPr/>
  </w:style>
  <w:style w:type="paragraph" w:styleId="Antet1">
    <w:name w:val="Antet1"/>
    <w:basedOn w:val="Normal"/>
    <w:link w:val="AntetCaracter"/>
    <w:qFormat/>
    <w:pPr>
      <w:tabs>
        <w:tab w:val="clear" w:pos="720"/>
        <w:tab w:val="center" w:pos="4536" w:leader="none"/>
        <w:tab w:val="right" w:pos="9072" w:leader="none"/>
      </w:tabs>
    </w:pPr>
    <w:rPr>
      <w:color w:val="000000"/>
      <w:sz w:val="22"/>
    </w:rPr>
  </w:style>
  <w:style w:type="paragraph" w:styleId="Subsol1">
    <w:name w:val="Subsol1"/>
    <w:basedOn w:val="Normal"/>
    <w:link w:val="SubsolCaracter"/>
    <w:qFormat/>
    <w:pPr>
      <w:tabs>
        <w:tab w:val="clear" w:pos="720"/>
        <w:tab w:val="center" w:pos="4536" w:leader="none"/>
        <w:tab w:val="right" w:pos="9072" w:leader="none"/>
      </w:tabs>
    </w:pPr>
    <w:rPr>
      <w:color w:val="000000"/>
      <w:sz w:val="22"/>
    </w:rPr>
  </w:style>
  <w:style w:type="paragraph" w:styleId="HeaderandFooter">
    <w:name w:val="Header and Footer"/>
    <w:basedOn w:val="Normal"/>
    <w:qFormat/>
    <w:pPr/>
    <w:rPr/>
  </w:style>
  <w:style w:type="paragraph" w:styleId="Footer">
    <w:name w:val="Footer"/>
    <w:basedOn w:val="HeaderandFooter"/>
    <w:pPr/>
    <w:rPr/>
  </w:style>
  <w:style w:type="paragraph" w:styleId="TableContents">
    <w:name w:val="Table Contents"/>
    <w:basedOn w:val="Normal"/>
    <w:qFormat/>
    <w:pPr>
      <w:widowControl w:val="false"/>
      <w:suppressLineNumbers/>
    </w:pPr>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jpeg"/><Relationship Id="rId4" Type="http://schemas.openxmlformats.org/officeDocument/2006/relationships/image" Target="media/image3.jpeg"/><Relationship Id="rId5" Type="http://schemas.openxmlformats.org/officeDocument/2006/relationships/image" Target="media/image4.jpeg"/><Relationship Id="rId6" Type="http://schemas.openxmlformats.org/officeDocument/2006/relationships/image" Target="media/image5.jpeg"/><Relationship Id="rId7" Type="http://schemas.openxmlformats.org/officeDocument/2006/relationships/image" Target="media/image6.jpeg"/><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76</ap:TotalTime>
  <ap:Application>LibreOffice/24.2.7.2$Linux_X86_64 LibreOffice_project/420$Build-2</ap:Application>
  <ap:AppVersion>15.0000</ap:AppVersion>
  <ap:Pages>13</ap:Pages>
  <ap:Words>11840</ap:Words>
  <ap:Characters>68539</ap:Characters>
  <ap:CharactersWithSpaces>80256</ap:CharactersWithSpaces>
  <ap:Paragraphs>257</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dc:language/>
  <lastModifiedBy/>
  <lastPrinted>2021-12-30T16:31:00.0000000Z</lastPrinted>
  <revision/>
  <dc:subject/>
  <dc:title/>
  <keywords/>
  <category/>
  <contentStatus/>
  <dc:identifier/>
  <version/>
</coreProperties>
</file>