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Pr="00643179" w:rsidR="000654FD">
      <w:pPr>
        <w:rPr>
          <w:color w:val="BFBFBF"/>
        </w:rPr>
      </w:pPr>
      <w:r w:rsidR="00C5013F">
        <w:rPr>
          <w:color w:val="BFBFBF"/>
        </w:rPr>
        <w:t>Acesta nu este document finalizat</w:t>
      </w:r>
    </w:p>
    <w:p w:rsidRPr="00E45559" w:rsidR="000654FD">
      <w:pPr>
        <w:rPr>
          <w:b/>
        </w:rPr>
      </w:pPr>
      <w:r w:rsidRPr="00E45559" w:rsidR="00236F8B">
        <w:rPr>
          <w:b/>
        </w:rPr>
        <w:t xml:space="preserve">Cod ECLI    </w:t>
      </w:r>
      <w:r w:rsidRPr="00E45559" w:rsidR="00C5013F">
        <w:rPr>
          <w:b/>
        </w:rPr>
        <w:t>ECLI:RO:</w:t>
      </w:r>
      <w:r w:rsidR="00DE32AB">
        <w:rPr>
          <w:b/>
        </w:rPr>
        <w:t>.................................                                          Hotărârea 25</w:t>
      </w:r>
    </w:p>
    <w:p w:rsidRPr="00E45559" w:rsidR="00090D1C">
      <w:pPr>
        <w:rPr>
          <w:b/>
        </w:rPr>
      </w:pPr>
      <w:r w:rsidRPr="00E45559">
        <w:rPr>
          <w:b/>
        </w:rPr>
        <w:t xml:space="preserve">Dosar nr. </w:t>
      </w:r>
      <w:r w:rsidR="00295D5F">
        <w:rPr>
          <w:b/>
        </w:rPr>
        <w:t>.../..../2021</w:t>
      </w:r>
    </w:p>
    <w:p w:rsidRPr="00E45559" w:rsidR="00090D1C">
      <w:pPr>
        <w:jc w:val="center"/>
        <w:rPr>
          <w:b/>
        </w:rPr>
      </w:pPr>
      <w:r w:rsidRPr="00E45559">
        <w:rPr>
          <w:b/>
        </w:rPr>
        <w:t>R O M Â N I A</w:t>
      </w:r>
    </w:p>
    <w:p w:rsidRPr="00E45559" w:rsidR="00090D1C">
      <w:pPr>
        <w:jc w:val="center"/>
        <w:rPr>
          <w:b/>
        </w:rPr>
      </w:pPr>
    </w:p>
    <w:p w:rsidRPr="00E45559" w:rsidR="00090D1C">
      <w:pPr>
        <w:jc w:val="center"/>
        <w:rPr>
          <w:b/>
        </w:rPr>
      </w:pPr>
      <w:r w:rsidRPr="00E45559" w:rsidR="00C5013F">
        <w:rPr>
          <w:b/>
        </w:rPr>
        <w:t xml:space="preserve">CURTEA DE APEL </w:t>
      </w:r>
      <w:r w:rsidR="00737345">
        <w:rPr>
          <w:b/>
        </w:rPr>
        <w:t>...X...</w:t>
      </w:r>
    </w:p>
    <w:p w:rsidRPr="00E45559" w:rsidR="00090D1C">
      <w:pPr>
        <w:jc w:val="center"/>
        <w:rPr>
          <w:b/>
          <w:lang w:val="en-US"/>
        </w:rPr>
      </w:pPr>
      <w:r w:rsidRPr="00E45559" w:rsidR="00C5013F">
        <w:rPr>
          <w:b/>
        </w:rPr>
        <w:t>SECŢIA CONTENCIOS ADMINISTRATIV SI FISCAL</w:t>
      </w:r>
    </w:p>
    <w:p w:rsidRPr="00E45559" w:rsidR="00090D1C">
      <w:pPr>
        <w:rPr>
          <w:b/>
        </w:rPr>
      </w:pPr>
    </w:p>
    <w:p w:rsidRPr="00E45559" w:rsidR="00090D1C">
      <w:pPr>
        <w:jc w:val="center"/>
        <w:rPr>
          <w:b/>
          <w:u w:val="single"/>
        </w:rPr>
      </w:pPr>
      <w:r w:rsidRPr="00E45559">
        <w:rPr>
          <w:b/>
          <w:u w:val="single"/>
        </w:rPr>
      </w:r>
      <w:bookmarkStart w:name="tip_incheiere" w:id="0"/>
      <w:r w:rsidRPr="00E45559">
        <w:rPr>
          <w:b/>
          <w:u w:val="single"/>
        </w:rPr>
      </w:r>
      <w:r w:rsidRPr="00E45559">
        <w:rPr>
          <w:b/>
          <w:u w:val="single"/>
        </w:rPr>
      </w:r>
      <w:r w:rsidRPr="00E45559">
        <w:rPr>
          <w:b/>
          <w:u w:val="single"/>
        </w:rPr>
      </w:r>
      <w:r w:rsidRPr="00E45559" w:rsidR="00C5013F">
        <w:rPr>
          <w:b/>
          <w:u w:val="single"/>
        </w:rPr>
        <w:t>DECIZIE</w:t>
      </w:r>
      <w:r w:rsidRPr="00E45559">
        <w:rPr>
          <w:b/>
          <w:u w:val="single"/>
        </w:rPr>
      </w:r>
      <w:bookmarkEnd w:id="0"/>
      <w:r w:rsidRPr="00E45559">
        <w:rPr>
          <w:b/>
          <w:u w:val="single"/>
        </w:rPr>
        <w:t xml:space="preserve"> Nr. </w:t>
      </w:r>
      <w:r w:rsidR="00737345">
        <w:rPr>
          <w:b/>
          <w:u w:val="single"/>
        </w:rPr>
        <w:t>.....</w:t>
      </w:r>
      <w:r w:rsidRPr="00E45559" w:rsidR="00C5013F">
        <w:rPr>
          <w:b/>
          <w:u w:val="single"/>
        </w:rPr>
        <w:t>/</w:t>
      </w:r>
      <w:r w:rsidR="00737345">
        <w:rPr>
          <w:b/>
          <w:u w:val="single"/>
        </w:rPr>
        <w:t>......</w:t>
      </w:r>
    </w:p>
    <w:p w:rsidRPr="00E45559" w:rsidR="00090D1C">
      <w:pPr>
        <w:jc w:val="center"/>
        <w:rPr>
          <w:b/>
        </w:rPr>
      </w:pPr>
      <w:r w:rsidRPr="00E45559">
        <w:rPr>
          <w:b/>
        </w:rPr>
        <w:t>Şedinţa </w:t>
      </w:r>
      <w:r w:rsidRPr="00E45559">
        <w:rPr>
          <w:b/>
        </w:rPr>
      </w:r>
      <w:bookmarkStart w:name="tip_sedinta" w:id="1"/>
      <w:r w:rsidRPr="00E45559">
        <w:rPr>
          <w:b/>
        </w:rPr>
      </w:r>
      <w:r w:rsidRPr="00E45559">
        <w:rPr>
          <w:b/>
        </w:rPr>
      </w:r>
      <w:r w:rsidRPr="00E45559" w:rsidR="00C5013F">
        <w:rPr>
          <w:b/>
        </w:rPr>
        <w:t>publică</w:t>
      </w:r>
      <w:r w:rsidRPr="00E45559">
        <w:rPr>
          <w:b/>
        </w:rPr>
      </w:r>
      <w:bookmarkEnd w:id="1"/>
      <w:r w:rsidRPr="00E45559">
        <w:rPr>
          <w:b/>
        </w:rPr>
        <w:t xml:space="preserve"> de la </w:t>
      </w:r>
      <w:r w:rsidR="00737345">
        <w:rPr>
          <w:b/>
        </w:rPr>
        <w:t>..............</w:t>
      </w:r>
      <w:r w:rsidRPr="00E45559">
        <w:rPr>
          <w:b/>
        </w:rPr>
        <w:t xml:space="preserve"> </w:t>
      </w:r>
    </w:p>
    <w:p w:rsidRPr="00E45559" w:rsidR="00090D1C">
      <w:pPr>
        <w:jc w:val="center"/>
        <w:rPr>
          <w:b/>
        </w:rPr>
      </w:pPr>
      <w:r w:rsidRPr="00E45559">
        <w:rPr>
          <w:b/>
        </w:rPr>
        <w:t>Completul compus din:</w:t>
      </w:r>
    </w:p>
    <w:p w:rsidRPr="00E45559" w:rsidR="00090D1C">
      <w:pPr>
        <w:jc w:val="center"/>
        <w:rPr>
          <w:b/>
        </w:rPr>
      </w:pPr>
      <w:r w:rsidRPr="00E45559">
        <w:rPr>
          <w:b/>
        </w:rPr>
        <w:t xml:space="preserve">PREŞEDINTE </w:t>
      </w:r>
      <w:r w:rsidR="00737345">
        <w:rPr>
          <w:b/>
        </w:rPr>
        <w:t>..............</w:t>
      </w:r>
    </w:p>
    <w:p w:rsidRPr="00E45559" w:rsidR="00C5013F">
      <w:pPr>
        <w:jc w:val="center"/>
        <w:rPr>
          <w:b/>
        </w:rPr>
      </w:pPr>
      <w:r w:rsidRPr="00E45559">
        <w:rPr>
          <w:b/>
        </w:rPr>
        <w:t xml:space="preserve">Judecător </w:t>
      </w:r>
      <w:r w:rsidR="00737345">
        <w:rPr>
          <w:b/>
        </w:rPr>
        <w:t>A0001</w:t>
      </w:r>
    </w:p>
    <w:p w:rsidRPr="00E45559" w:rsidR="00C5013F">
      <w:pPr>
        <w:jc w:val="center"/>
        <w:rPr>
          <w:b/>
        </w:rPr>
      </w:pPr>
      <w:r w:rsidRPr="00E45559">
        <w:rPr>
          <w:b/>
        </w:rPr>
        <w:t xml:space="preserve">Judecător </w:t>
      </w:r>
      <w:r w:rsidR="00737345">
        <w:rPr>
          <w:b/>
        </w:rPr>
        <w:t>..............</w:t>
      </w:r>
    </w:p>
    <w:p w:rsidRPr="00163C79" w:rsidR="00E45559" w:rsidP="00E45559">
      <w:pPr>
        <w:jc w:val="center"/>
        <w:rPr>
          <w:b/>
        </w:rPr>
      </w:pPr>
      <w:r w:rsidRPr="00E45559" w:rsidR="00C5013F">
        <w:rPr>
          <w:b/>
        </w:rPr>
        <w:t xml:space="preserve">Grefier </w:t>
      </w:r>
      <w:r w:rsidR="00737345">
        <w:rPr>
          <w:b/>
        </w:rPr>
        <w:t>..............</w:t>
      </w:r>
    </w:p>
    <w:p w:rsidRPr="00163C79" w:rsidR="00E45559" w:rsidP="00E45559">
      <w:pPr>
        <w:jc w:val="center"/>
        <w:rPr>
          <w:b/>
        </w:rPr>
      </w:pPr>
      <w:r w:rsidRPr="00163C79">
        <w:rPr>
          <w:b/>
        </w:rPr>
      </w:r>
      <w:r w:rsidRPr="00163C79">
        <w:rPr>
          <w:b/>
        </w:rPr>
      </w:r>
      <w:r w:rsidRPr="00163C79">
        <w:rPr>
          <w:b/>
        </w:rPr>
      </w:r>
      <w:r w:rsidRPr="00163C79">
        <w:rPr>
          <w:b/>
          <w:noProof/>
        </w:rPr>
        <w:t> </w:t>
      </w:r>
      <w:r w:rsidRPr="00163C79">
        <w:rPr>
          <w:b/>
          <w:noProof/>
        </w:rPr>
        <w:t> </w:t>
      </w:r>
      <w:r w:rsidRPr="00163C79">
        <w:rPr>
          <w:b/>
          <w:noProof/>
        </w:rPr>
        <w:t> </w:t>
      </w:r>
      <w:r w:rsidRPr="00163C79">
        <w:rPr>
          <w:b/>
          <w:noProof/>
        </w:rPr>
        <w:t> </w:t>
      </w:r>
      <w:r w:rsidRPr="00163C79">
        <w:rPr>
          <w:b/>
          <w:noProof/>
        </w:rPr>
        <w:t> </w:t>
      </w:r>
      <w:r w:rsidRPr="00163C79">
        <w:rPr>
          <w:b/>
        </w:rPr>
      </w:r>
    </w:p>
    <w:p w:rsidR="00E45559" w:rsidP="00E45559">
      <w:pPr>
        <w:ind w:firstLine="709"/>
        <w:jc w:val="both"/>
      </w:pPr>
      <w:bookmarkStart w:name="_Hlk62561462" w:id="2"/>
      <w:r>
        <w:t xml:space="preserve">Pe rol se află soluționarea recursului formulat de </w:t>
      </w:r>
      <w:r w:rsidRPr="00163C79">
        <w:rPr>
          <w:b/>
        </w:rPr>
        <w:t xml:space="preserve">recurentul reclamant SINDICATUL </w:t>
      </w:r>
      <w:r w:rsidRPr="00EC28CB">
        <w:rPr>
          <w:b/>
        </w:rPr>
        <w:t xml:space="preserve">NAȚIONAL VAMAL </w:t>
      </w:r>
      <w:r w:rsidRPr="00EC28CB" w:rsidR="00EC28CB">
        <w:rPr>
          <w:b/>
        </w:rPr>
        <w:t>...W...</w:t>
      </w:r>
      <w:r w:rsidRPr="00EC28CB">
        <w:rPr>
          <w:b/>
        </w:rPr>
        <w:t xml:space="preserve"> PENTRU</w:t>
      </w:r>
      <w:r>
        <w:rPr>
          <w:b/>
        </w:rPr>
        <w:t xml:space="preserve"> MEMBRUL DE SINDICAT</w:t>
      </w:r>
      <w:r w:rsidRPr="00163C79">
        <w:rPr>
          <w:b/>
        </w:rPr>
        <w:t xml:space="preserve"> </w:t>
      </w:r>
      <w:bookmarkStart w:name="_Hlk236656214" w:id="3"/>
      <w:r w:rsidR="00737345">
        <w:rPr>
          <w:b/>
        </w:rPr>
        <w:t>...Q...</w:t>
      </w:r>
      <w:r>
        <w:rPr>
          <w:b/>
        </w:rPr>
        <w:t xml:space="preserve"> </w:t>
      </w:r>
      <w:bookmarkEnd w:id="3"/>
      <w:r>
        <w:t>împotriva sentinței civile nr.</w:t>
      </w:r>
      <w:r w:rsidR="00737345">
        <w:t>..../.............</w:t>
      </w:r>
      <w:r>
        <w:t xml:space="preserve"> pronunțată de Tribunalul </w:t>
      </w:r>
      <w:r w:rsidR="00737345">
        <w:t>...A...</w:t>
      </w:r>
      <w:r>
        <w:t xml:space="preserve"> - Secția </w:t>
      </w:r>
      <w:r w:rsidR="008819C7">
        <w:t>....</w:t>
      </w:r>
      <w:r>
        <w:t xml:space="preserve"> de Contencios Administrativ și Fiscal în dosarul nr. </w:t>
      </w:r>
      <w:r w:rsidR="00295D5F">
        <w:t>.../....</w:t>
      </w:r>
      <w:r w:rsidR="00295D5F">
        <w:t>/2021</w:t>
      </w:r>
      <w:r>
        <w:t xml:space="preserve">, în contradictoriu cu </w:t>
      </w:r>
      <w:r w:rsidRPr="00163C79">
        <w:rPr>
          <w:b/>
        </w:rPr>
        <w:t xml:space="preserve">intimata pârâta DIRECȚIA GENERALĂ REGIONALĂ A FINANȚELOR PUBLICE </w:t>
      </w:r>
      <w:r w:rsidR="00737345">
        <w:rPr>
          <w:b/>
        </w:rPr>
        <w:t>...X...</w:t>
      </w:r>
      <w:r>
        <w:t xml:space="preserve">, având ca obiect </w:t>
      </w:r>
      <w:r>
        <w:rPr>
          <w:i/>
        </w:rPr>
        <w:t xml:space="preserve">drepturi bănești, sporul pentru condiții periculoase și vătămătoare de muncă în valoare de 15 %, începând cu data de 01.01.2018 și până la 01.09.2019, plata dobânzii legale, etc – </w:t>
      </w:r>
      <w:bookmarkStart w:name="_Hlk236656316" w:id="4"/>
      <w:r>
        <w:rPr>
          <w:i/>
        </w:rPr>
        <w:t xml:space="preserve">disjuns din dosarul nr. </w:t>
      </w:r>
      <w:r w:rsidR="00737345">
        <w:rPr>
          <w:i/>
        </w:rPr>
        <w:t>..x..</w:t>
      </w:r>
      <w:r>
        <w:rPr>
          <w:i/>
        </w:rPr>
        <w:t>/</w:t>
      </w:r>
      <w:r w:rsidR="00737345">
        <w:rPr>
          <w:i/>
        </w:rPr>
        <w:t>...</w:t>
      </w:r>
      <w:r>
        <w:rPr>
          <w:i/>
        </w:rPr>
        <w:t>/2020</w:t>
      </w:r>
      <w:bookmarkEnd w:id="4"/>
      <w:r>
        <w:rPr>
          <w:i/>
        </w:rPr>
        <w:t>.</w:t>
      </w:r>
    </w:p>
    <w:p w:rsidR="00E45559" w:rsidP="00E45559">
      <w:pPr>
        <w:ind w:firstLine="709"/>
        <w:jc w:val="both"/>
      </w:pPr>
      <w:r>
        <w:t>La apelul nominal făcut în ședința publică, în ordinea listei, au lipsit părțile.</w:t>
      </w:r>
    </w:p>
    <w:p w:rsidRPr="00163C79" w:rsidR="00E45559" w:rsidP="00E45559">
      <w:pPr>
        <w:ind w:firstLine="709"/>
        <w:jc w:val="both"/>
        <w:rPr>
          <w:b/>
          <w:i/>
        </w:rPr>
      </w:pPr>
      <w:r w:rsidRPr="00163C79">
        <w:rPr>
          <w:b/>
          <w:i/>
        </w:rPr>
        <w:t xml:space="preserve">Procedura de citare este legal îndeplinită.  </w:t>
      </w:r>
    </w:p>
    <w:p w:rsidR="00E45559" w:rsidP="00E45559">
      <w:pPr>
        <w:ind w:firstLine="709"/>
        <w:jc w:val="both"/>
      </w:pPr>
      <w:r>
        <w:t>S-a făcut referatul cauzei de către grefierul de ședință, care învederează modalitatea de îndeplinire a procedurii de citare, faptul că recursul a fost declarat cu respectarea termenului prev. de lege, precum și faptul că s-a solicitat judecarea cauzei și în lipsă, după care:</w:t>
      </w:r>
    </w:p>
    <w:p w:rsidR="00E45559" w:rsidP="00E45559">
      <w:pPr>
        <w:ind w:firstLine="709"/>
        <w:jc w:val="both"/>
      </w:pPr>
      <w:r>
        <w:t>Constatând ca nu mai sunt</w:t>
      </w:r>
      <w:r>
        <w:t xml:space="preserve"> alte cereri din partea părților si ca s-a solicitat judecarea cauzei în lipsa, apreciind îndeplinite dispozițiile art. 394(1) Noul Cod de procedura civila, retine cauza spre soluționare. </w:t>
      </w:r>
    </w:p>
    <w:p w:rsidR="00E45559" w:rsidP="00E45559">
      <w:pPr>
        <w:ind w:firstLine="709"/>
        <w:jc w:val="both"/>
      </w:pPr>
    </w:p>
    <w:p w:rsidR="00E45559" w:rsidP="00E45559">
      <w:pPr>
        <w:ind w:firstLine="709"/>
        <w:jc w:val="center"/>
        <w:rPr>
          <w:b/>
        </w:rPr>
      </w:pPr>
      <w:r>
        <w:rPr>
          <w:b/>
        </w:rPr>
        <w:t xml:space="preserve">CURTEA, </w:t>
      </w:r>
    </w:p>
    <w:p w:rsidRPr="00490296" w:rsidR="00E45559" w:rsidP="00E45559">
      <w:pPr>
        <w:ind w:firstLine="709"/>
        <w:jc w:val="center"/>
        <w:rPr>
          <w:b/>
          <w:i/>
        </w:rPr>
      </w:pPr>
    </w:p>
    <w:p w:rsidRPr="00490296" w:rsidR="00E45559" w:rsidP="00E45559">
      <w:pPr>
        <w:ind w:firstLine="709"/>
        <w:jc w:val="both"/>
        <w:rPr>
          <w:b/>
          <w:i/>
          <w:szCs w:val="26"/>
        </w:rPr>
      </w:pPr>
      <w:r w:rsidR="00052B7D">
        <w:rPr>
          <w:b/>
          <w:i/>
          <w:szCs w:val="26"/>
        </w:rPr>
        <w:t xml:space="preserve">   </w:t>
      </w:r>
      <w:r w:rsidRPr="00490296">
        <w:rPr>
          <w:b/>
          <w:i/>
          <w:szCs w:val="26"/>
        </w:rPr>
        <w:t>Deliberând asupra cauzei de față  constată următoarele:</w:t>
      </w:r>
    </w:p>
    <w:p w:rsidR="00E45559" w:rsidP="00E45559">
      <w:pPr>
        <w:ind w:firstLine="851"/>
        <w:jc w:val="both"/>
      </w:pPr>
      <w:r w:rsidRPr="000C5B56">
        <w:rPr>
          <w:rFonts w:eastAsia="Calibri"/>
          <w:b/>
          <w:i/>
          <w:lang w:eastAsia="en-US"/>
        </w:rPr>
        <w:t xml:space="preserve">Prin sentința nr. </w:t>
      </w:r>
      <w:r w:rsidR="00737345">
        <w:rPr>
          <w:b/>
          <w:i/>
        </w:rPr>
        <w:t>..../.............</w:t>
      </w:r>
      <w:r>
        <w:t xml:space="preserve"> pronunțată de Tribunalul </w:t>
      </w:r>
      <w:r w:rsidR="00737345">
        <w:t>...A...</w:t>
      </w:r>
      <w:r>
        <w:t xml:space="preserve"> - Secția </w:t>
      </w:r>
      <w:r w:rsidR="008819C7">
        <w:t>....</w:t>
      </w:r>
      <w:r>
        <w:t xml:space="preserve"> de Contencios Administrativ și Fiscal în dosarul nr. </w:t>
      </w:r>
      <w:r w:rsidR="00295D5F">
        <w:t>.../..../2021</w:t>
      </w:r>
      <w:r>
        <w:t xml:space="preserve"> instanța a respins excepția inadmisibilității invocată de pârâtă prin întâmpinare. </w:t>
      </w:r>
    </w:p>
    <w:p w:rsidRPr="00EC28CB" w:rsidR="00E45559" w:rsidP="00E45559">
      <w:pPr>
        <w:ind w:firstLine="851"/>
        <w:jc w:val="both"/>
      </w:pPr>
      <w:r>
        <w:t xml:space="preserve">A respins acțiunea formulată de </w:t>
      </w:r>
      <w:r w:rsidRPr="00D760A0">
        <w:t>reclamant</w:t>
      </w:r>
      <w:r>
        <w:t xml:space="preserve">ul </w:t>
      </w:r>
      <w:r w:rsidR="00737345">
        <w:t>...Q...</w:t>
      </w:r>
      <w:r>
        <w:t xml:space="preserve"> </w:t>
      </w:r>
      <w:r w:rsidRPr="00EC28CB">
        <w:t xml:space="preserve">prin Sindicatul Național Vamal </w:t>
      </w:r>
      <w:r w:rsidRPr="00EC28CB" w:rsidR="00EC28CB">
        <w:t>...W...</w:t>
      </w:r>
      <w:r w:rsidRPr="00EC28CB">
        <w:t xml:space="preserve">, în contradictoriu cu pârâta Direcția Generală Regională a Finanțelor Publice </w:t>
      </w:r>
      <w:r w:rsidRPr="00EC28CB" w:rsidR="00737345">
        <w:t>...X...</w:t>
      </w:r>
      <w:r w:rsidRPr="00EC28CB">
        <w:t xml:space="preserve"> .</w:t>
      </w:r>
    </w:p>
    <w:p w:rsidR="00E45559" w:rsidP="00E45559">
      <w:pPr>
        <w:ind w:firstLine="851"/>
        <w:jc w:val="both"/>
      </w:pPr>
      <w:r w:rsidRPr="00EC28CB">
        <w:rPr>
          <w:b/>
          <w:i/>
        </w:rPr>
        <w:t xml:space="preserve">Împotriva acestei sentințe a declarat recurs reclamanta Sindicatul Național Vamal </w:t>
      </w:r>
      <w:r w:rsidRPr="00EC28CB" w:rsidR="00EC28CB">
        <w:rPr>
          <w:b/>
          <w:i/>
        </w:rPr>
        <w:t>...W...</w:t>
      </w:r>
      <w:r w:rsidRPr="00EC28CB">
        <w:rPr>
          <w:b/>
          <w:i/>
        </w:rPr>
        <w:t xml:space="preserve"> pentr</w:t>
      </w:r>
      <w:r w:rsidRPr="00EC28CB">
        <w:rPr>
          <w:b/>
          <w:i/>
        </w:rPr>
        <w:t xml:space="preserve">u membrul de sindicat </w:t>
      </w:r>
      <w:r w:rsidRPr="00EC28CB" w:rsidR="00737345">
        <w:rPr>
          <w:b/>
          <w:i/>
        </w:rPr>
        <w:t>...Q...</w:t>
      </w:r>
      <w:r w:rsidRPr="00EC28CB">
        <w:t>, solicitând admiterea recursului, casarea în parte a sentinței mai sus menționate și, în  rejudecare, admiterea acțiunii și obligarea pârâtei</w:t>
      </w:r>
      <w:r>
        <w:t xml:space="preserve"> la recunoașterea și plata diferențelor de drepturi salariale ce i s-ar fi cuvenit și drepturile salariale efectiv încasate, prin acordarea sporului pentru condiții vătămătoare de muncă de la data de 01.01.2018 și până la data de 01.09.2019; acordarea respectivelor drepturi și pentru perioada concediilor de munca pentru perioada 01.01.2019 - 30.03.2020 și recunoașterea dreptului la concediu suplimentar de 5 zile și compensarea acestuia în bani având în vedere condițiile periculoase și vătămătoare de munca, de la data de 01.01.2018 si pana la data acordării efective a respectivului concediu și acordarea pe viitor a unui concediu suplimentar de 5 zile lucrătoare într-un an de activitate. </w:t>
      </w:r>
    </w:p>
    <w:p w:rsidR="00E45559" w:rsidP="00E45559">
      <w:pPr>
        <w:ind w:firstLine="709"/>
        <w:jc w:val="both"/>
      </w:pPr>
      <w:r>
        <w:t xml:space="preserve">Prin sentința civilă pronunțată de Tribunalul </w:t>
      </w:r>
      <w:r w:rsidR="00737345">
        <w:t>...A...</w:t>
      </w:r>
      <w:r>
        <w:t xml:space="preserve"> se argumentează respingerea acțiunii privind solicitările aferente perioadei anului 2018, instanța menționând faptul că majorarea salariului de bază cu 15% pentru condiții vătămătoare de muncă nu poate fi acordată de la momentul intrării în vigoare a legii (HG 917/2017), 1 ianuarie 2018, pentru că s-ar încalcă prevederile art. 38, alin 2 din Legea Cadru nr. 153/2017 pentru menținerea in plata a drepturilor salariale in anul 2017, la nivelul celor din luna iunie 2017, precum si prevederile art. 38, alin 3 din același act normativ, care determina majorarea in anul 2018 a drepturilor salariale avute in luna dec</w:t>
      </w:r>
      <w:r>
        <w:t>embrie 2017 cu un procent de 25%.</w:t>
      </w:r>
    </w:p>
    <w:p w:rsidR="00E45559" w:rsidP="00E45559">
      <w:pPr>
        <w:ind w:firstLine="709"/>
        <w:jc w:val="both"/>
      </w:pPr>
      <w:r>
        <w:t>Dar, de asemenea, instanța, astfel cum a concluzionat și Înalta Curte de Casație și Justiție prin Decizia nr. 82/2018, argumentează faptul că „reclamanții pot beneficia de sporul în litigiu în anul 2018 exclusiv în ipoteza în care salariul de bază pentru anul 2018, astfel cum a fost majorat conform art. 38, alin. 3, lit. a) din lege, cu 25% față de luna decembrie 2017, depășește salariul de bază care li s-ar cuveni pentru anul 2022.</w:t>
      </w:r>
    </w:p>
    <w:p w:rsidR="00E45559" w:rsidP="00E45559">
      <w:pPr>
        <w:ind w:firstLine="709"/>
        <w:jc w:val="both"/>
      </w:pPr>
      <w:r>
        <w:t>Relevante pentru prezenta cauza sunt următoarele considerente „83. Interpretarea sistematica, logica si gramaticala a dispozițiilor art. 38 alin. (3), (4) si (6) privind aplicarea etapizata a legii, mai sus prezentate, impun concluzia ca majorarea salariului de baza prevăzută de dispozițiile Notei din anexa nr. VIII Ia Legea cadru nr. 153/2017, pentru funcționarii publici din ..., nu poate fi acordata de la momentul intrării în vigoare a legii, 1 iulie 2017 până la sfârșitul anului 2017 sau pentru anul 2018, pentru că s-ar încălca prevederile art. 38 alin. (2) din Legea-cadru nr. 153/2017 privind menținerea în plată a drepturilor salariale în anul 2017, la nivelul celor din luna iunie 2017, precum si prevederile are: 38 alin. (3) din același act normativ, care determina majorarea în anul 2018 a drepturilor salariale avute in luna decembrie 2017 cu un procent de 25%. Aceasta majorare va deveni aplicabilă si va fi acordată in momentul in care salariile de baza vor fi determinate utilizând salariile de baza prevăzute in anexa nr. VIII Ia Legea cadru nr. 153/2017, anexa prin care se instituie majorarea de 15%, începând cu anul 2019, în condițiile detaliate prin art. 38 alin. (4) din actul normativ menționat.”</w:t>
      </w:r>
    </w:p>
    <w:p w:rsidR="00E45559" w:rsidP="00E45559">
      <w:pPr>
        <w:ind w:firstLine="709"/>
        <w:jc w:val="both"/>
      </w:pPr>
      <w:r>
        <w:t xml:space="preserve">  In conformitate cu cele statuate prin decizia mai sus menționată, regula pentru anul 2018 este a majorării cu 25%, începând cu luna ianuarie 2018, a cuantumului brut al salariilor de baza acordate in luna decembrie 2017, dar fără a se depăși limita prevăzută de art. 25 din Legea - cadru nr. 153/2017.</w:t>
      </w:r>
    </w:p>
    <w:p w:rsidR="00E45559" w:rsidP="00E45559">
      <w:pPr>
        <w:ind w:firstLine="709"/>
        <w:jc w:val="both"/>
      </w:pPr>
      <w:r>
        <w:t>Aceasta interpretare este valabila si pentru acordarea sporului pentru condiții de munca, spor care este reglementat in anexa nr, VIII a Legii cadru nr. 153/2017 si de care pot beneficia acele persoanele care sunt salarizate conform acestei anexe, respectiv acelea care se afla in ipoteza prevăzuta de 38 alin. 6 din Legea cadru nr. 153/2017.</w:t>
      </w:r>
    </w:p>
    <w:p w:rsidR="00E45559" w:rsidP="00E45559">
      <w:pPr>
        <w:ind w:firstLine="709"/>
        <w:jc w:val="both"/>
      </w:pPr>
      <w:r>
        <w:t>Ca urmare, reclamanții pot beneficia de sporul in litigiu in anul 2018, exclusiv in ipoteza in care salariul de baza pentru anul 2018, astfel cum a fost majorat conform art. 38 alin. 3 lit. a) din lege, cu 25% fata de luna decembrie 2017, depășește salariul de baza care li s-ar cuveni pentru anul 2022.</w:t>
      </w:r>
    </w:p>
    <w:p w:rsidR="00E45559" w:rsidP="00E45559">
      <w:pPr>
        <w:ind w:firstLine="709"/>
        <w:jc w:val="both"/>
      </w:pPr>
      <w:r>
        <w:t>Mai mult decât atât„ instanța de judecata respinge cererea de chemare in judecata invocând faptul ca reclamanții nu au făcut dovada ca locurile de munca au fost expertizate si îndeplineau condițiile impuse de lege, neținând cont de faptul ca, deși calitatea de funcționari publici a reclamanților atrage competenta instanțelor de contencios administrativ, natura litigiului izvorăște din raporturi de serviciu. astfel ca normele din dreptul administrativ se completează cu cele de dreptul muncii, mai ales in ceea ce privește sarcina probei, nefiind nicio deosebire intre litigiile de munca si prezentul litigiu.</w:t>
      </w:r>
    </w:p>
    <w:p w:rsidR="00E45559" w:rsidP="00E45559">
      <w:pPr>
        <w:ind w:firstLine="709"/>
        <w:jc w:val="both"/>
      </w:pPr>
      <w:r w:rsidRPr="009249E9">
        <w:t>Astfel, conform art. 272 Codul Muncii, sarcina probei in conflictele de munca revine angajatorului, acesta fiind obligat sa depună dovezile pe care le dețin</w:t>
      </w:r>
      <w:r>
        <w:t>e</w:t>
      </w:r>
      <w:r w:rsidRPr="009249E9">
        <w:t xml:space="preserve"> in legătura cu cauza.</w:t>
      </w:r>
    </w:p>
    <w:p w:rsidR="00E45559" w:rsidP="00E45559">
      <w:pPr>
        <w:ind w:firstLine="709"/>
        <w:jc w:val="both"/>
      </w:pPr>
      <w:r>
        <w:t>Într-adevăr, sporul se poate acorda numai in baza buletinelor de desertizare a locurilor de munca, dar faptul ca locurile de munca nu a fost expertizate pana in septembrie 2019 este culpa angajatoarei DCRFP, care au stat in pasivitate timp de 21 de luni, de la 01.01.2018, pana la 01.09.2019, si nu au efectuat demersurile necesare expertizării locurilor de munca ale reclamanților, in vederea constatării constatării factorilor de risc si, pe cale de consecință, acordării sporului de 15%, pentru munca în condiții vătămătoare sau periculoase, in condițiile in care HG 917/2017, care prevedea obligativitatea acordării respectivului spor, a intrat in vigo</w:t>
      </w:r>
      <w:r>
        <w:t>are in data de 01.01.2018.</w:t>
      </w:r>
    </w:p>
    <w:p w:rsidR="00E45559" w:rsidP="00E45559">
      <w:pPr>
        <w:ind w:firstLine="709"/>
        <w:jc w:val="both"/>
      </w:pPr>
      <w:r>
        <w:t>Pasivitatea angajatorului nu poate constitui sancțiune pentru angajați, cum s-a întâmplat in cazul de fata, reclamanții fiind privați de un drept salarial si de concediu de odihna suplimentar, ambele drepturi prevăzute de lege, din cauza neîndeplinirii de către angajator a demersurilor necesare si prealabile emiterii deciziei prin care urmau a fi acordate respectivelor sporuri.</w:t>
      </w:r>
    </w:p>
    <w:p w:rsidR="00E45559" w:rsidP="00E45559">
      <w:pPr>
        <w:ind w:firstLine="709"/>
        <w:jc w:val="both"/>
      </w:pPr>
      <w:r>
        <w:t>Sporurile au început sa fie acordate din luna septembrie 2019, ceea ce înseamnă ca, pe de o parte, au fost identificați factori de risc la locurile de munca ale reclamanților, iar pe de alta parte, paratele au recunoscut aceste drepturi salariale ale reclamanților. In plus, locurile dc munca ocupate de reclamanți au presupus aceleași condiții din luna ianuarie 2018, pana in prezent, astfel ca, daca in septembrie 2019, când după emiterea buletinelor de expertizare, s-au constatat factorii de risc in cadrul locurilor de munca, cu siguranța aceeași factori de risc existau si in perioada 01.01,2018-01.09.2019, reclamanții desfășurându-si munca în condiții identice.</w:t>
      </w:r>
    </w:p>
    <w:p w:rsidR="00E45559" w:rsidP="00E45559">
      <w:pPr>
        <w:ind w:firstLine="709"/>
        <w:jc w:val="both"/>
      </w:pPr>
      <w:r>
        <w:t>Fata de considerentele mai sus menționate, solicita admiterea prezentului recurs, casarea in parte a sentinței mai sus menționate si în rejudecare, admiterea acțiunii si obligarea paratelor la recunoașterea si  diferențelor de drepturi salariale ce li s-ar fi cuvenit si drepturile salariale efectiv încasate, prin acordarea sporului pentru condiții vătămătoare de munca de la data de 01.01.2018 si pana la data de 01.09.2019; acordarea respectivelor drepturi si pentru perioada concediilor de munca pentru perioada 01.01.2019 - 30.03.2020 si recunoașterea dreptului la concediu suplimentar de 5 zile si compensarea acestuia in bani având in vedere condițiile periculoase si vătămătoare de munca, de la data de 01.01.2018 si pana la data acordări efective a respectivului concediu si acordarea pe viitor a unui concediu suplimentar de 5 zile lucrătoare într-un an de activitate</w:t>
      </w:r>
    </w:p>
    <w:p w:rsidR="00E45559" w:rsidP="00E45559">
      <w:pPr>
        <w:ind w:firstLine="709"/>
        <w:jc w:val="both"/>
      </w:pPr>
      <w:r w:rsidRPr="00490296">
        <w:rPr>
          <w:b/>
          <w:i/>
        </w:rPr>
        <w:t>In drept</w:t>
      </w:r>
      <w:r>
        <w:rPr>
          <w:b/>
          <w:i/>
        </w:rPr>
        <w:t xml:space="preserve">, și-a întemeiat cererea în temeiul </w:t>
      </w:r>
      <w:r>
        <w:t>art. 20 din Legea 554/2004 coroborat cu art. 488, alin. 1, pct. 6 și 8 Cod de Procedură Civilă.</w:t>
      </w:r>
    </w:p>
    <w:p w:rsidRPr="00490296" w:rsidR="00E45559" w:rsidP="00E45559">
      <w:pPr>
        <w:ind w:firstLine="709"/>
        <w:jc w:val="both"/>
        <w:rPr>
          <w:b/>
          <w:i/>
        </w:rPr>
      </w:pPr>
      <w:r w:rsidRPr="00490296">
        <w:rPr>
          <w:b/>
          <w:i/>
        </w:rPr>
        <w:t xml:space="preserve">Intimata pârâtă Direcția Generală Regională a Finanțelor Publice </w:t>
      </w:r>
      <w:r w:rsidR="00737345">
        <w:rPr>
          <w:b/>
          <w:i/>
        </w:rPr>
        <w:t>...X...</w:t>
      </w:r>
      <w:r w:rsidRPr="00490296">
        <w:rPr>
          <w:b/>
          <w:i/>
        </w:rPr>
        <w:t xml:space="preserve"> nu a formulat întâmpinare. </w:t>
      </w:r>
      <w:bookmarkEnd w:id="2"/>
    </w:p>
    <w:p w:rsidRPr="00490296" w:rsidR="00E45559" w:rsidP="00E45559">
      <w:pPr>
        <w:ind w:right="-108" w:firstLine="709"/>
        <w:jc w:val="both"/>
        <w:rPr>
          <w:b/>
          <w:i/>
        </w:rPr>
      </w:pPr>
      <w:r w:rsidRPr="00490296">
        <w:rPr>
          <w:b/>
          <w:i/>
        </w:rPr>
        <w:t>Considerentele instanței de recurs în raport de motivele de recurs invocate și de disp. art. 488 alin.1 pct. 6 și 8 C.pr.civ:</w:t>
      </w:r>
    </w:p>
    <w:p w:rsidR="00E45559" w:rsidP="00E45559">
      <w:pPr>
        <w:ind w:firstLine="720"/>
        <w:jc w:val="both"/>
      </w:pPr>
      <w:r w:rsidRPr="00490296">
        <w:rPr>
          <w:b/>
          <w:i/>
        </w:rPr>
        <w:t>1. În privința motivului de recurs prevăzut de dispozițiile art. 488 alin. 1 pct. 6 NCPC</w:t>
      </w:r>
      <w:r w:rsidRPr="00490296">
        <w:rPr>
          <w:i/>
        </w:rPr>
        <w:t>,</w:t>
      </w:r>
      <w:r>
        <w:t xml:space="preserve"> </w:t>
      </w:r>
      <w:r w:rsidRPr="00490296">
        <w:rPr>
          <w:b/>
          <w:bCs/>
          <w:i/>
        </w:rPr>
        <w:t>Curtea constată că,</w:t>
      </w:r>
      <w:r>
        <w:rPr>
          <w:bCs/>
        </w:rPr>
        <w:t xml:space="preserve"> p</w:t>
      </w:r>
      <w:r>
        <w:t>entru a se reține incidența acestui motiv, trebuie ca hotărârea atacată să nu cuprindă motivele pe care se întemeiază, astfel că, inexistența acestora împiedică exercitarea controlului judiciar, sau să cuprindă motive contradictorii ori numai motive străine de natura cauzei.</w:t>
      </w:r>
    </w:p>
    <w:p w:rsidRPr="00FA3C8D" w:rsidR="00E45559" w:rsidP="00E45559">
      <w:pPr>
        <w:ind w:firstLine="720"/>
        <w:jc w:val="both"/>
        <w:rPr>
          <w:bCs/>
        </w:rPr>
      </w:pPr>
      <w:r>
        <w:rPr>
          <w:bCs/>
        </w:rPr>
        <w:t>Obligația instanței de a-și motiva hotărârea adoptată, consacrată legislativ în dispozițiile art. 425 alin. 1 lit. b C.pr.civ., are în vedere stabilirea în considerentele hotărârii a situației de fapt expusă în detaliu, încadrarea în drept, examinarea argumentelor părților şi punctul de vedere al instanței față de fiecare argument relevant, și, nu în ultimul rând raționamentul logico-juridic care a fundamentat soluția adoptată.</w:t>
      </w:r>
    </w:p>
    <w:p w:rsidR="00E45559" w:rsidP="00E45559">
      <w:pPr>
        <w:ind w:firstLine="720"/>
        <w:jc w:val="both"/>
        <w:rPr>
          <w:bCs/>
        </w:rPr>
      </w:pPr>
      <w:r>
        <w:t>  Aceste cerințe legale sunt impuse de însăși esența înfăptuirii justiției, iar forța de convingere a unei hotărâri judecătorești rezidă din raționamentul logico - juridic clar explicitat şi întemeiat pe considerente de drept.</w:t>
      </w:r>
    </w:p>
    <w:p w:rsidR="00E45559" w:rsidP="00E45559">
      <w:pPr>
        <w:ind w:firstLine="720"/>
        <w:jc w:val="both"/>
      </w:pPr>
      <w:r>
        <w:t>În cauză, motivarea primei instanțe răspunde acestor exigențe legale, instanța de fond arătând care sunt considerente  de fapt și de drept care au condus la adoptarea soluției.</w:t>
      </w:r>
    </w:p>
    <w:p w:rsidR="00E45559" w:rsidP="00E45559">
      <w:pPr>
        <w:ind w:firstLine="720"/>
        <w:jc w:val="both"/>
      </w:pPr>
      <w:r>
        <w:t>În ceea ce privește critica recurenților reclamanți cum că, judecătorul fondului a reținut că, prin interpretarea sistematică, logică și gramaticală a dispozițiilor art. 38 alin 2, 3, 4 și 6 privind aplicarea etapizată a Legii nr. 153/2017 privind salarizarea personalului plătit din fonduri publice, se impune concluzia că, majorarea salariului de bază nu poate fi acordată de la 01.07.2017, momentul in care a intrat in vigoare legea nr. 153/2017, deși, prin cererea de chemare în judecată a solicitat punerea in aplicarea, începând cu</w:t>
      </w:r>
      <w:r>
        <w:t xml:space="preserve"> data de 01.01.2019 a dispozițiilor prevăzute in Nota nr. 3 din anexa VIII, Cap. I, lit. A, pct. 1 din legea cadrul nr. 153/2017, in sensul majorării cu 15 % a salariului de bază al fiecărui angajat, Curtea constată că,  judecătorul fondului, in expunerea raționamentului logico juridic ce a condus la adoptarea soluției de respingere a cererii de chemare în judecată, a pornit de la Legea nr. 153/2017, act normativ intrat in vigoare de la 01.07.2017, precizând etapele de aplicare a acestui act normativ, însă acest aspect nu este de natură a concluziona că, hotărârea este contradictorie sau se bazează pe motive străine de natura cauzei.</w:t>
      </w:r>
    </w:p>
    <w:p w:rsidR="00E45559" w:rsidP="00E45559">
      <w:pPr>
        <w:ind w:firstLine="720"/>
        <w:jc w:val="both"/>
      </w:pPr>
      <w:r>
        <w:t>Mai mult, judecătorul fondului a arătat motivele de fapt şi de drept pentru care pretențiile reclamanților, vizând majorarea salariului de bază cu 15 % acordat pentru complexitatea muncii, începând cu data de 01.01.2019 sunt nefondate.</w:t>
      </w:r>
    </w:p>
    <w:p w:rsidR="00E45559" w:rsidP="00E45559">
      <w:pPr>
        <w:ind w:firstLine="720"/>
        <w:jc w:val="both"/>
      </w:pPr>
      <w:r>
        <w:t>Așadar, sentința instanței de fond supusă analizei nu cuprinde motive contradictorii și nici străine de natura cauzei, astfel că nu este incident motivul de casare prevăzut de art. 488 pct. 6 C.pr.civ.</w:t>
      </w:r>
    </w:p>
    <w:p w:rsidR="00E45559" w:rsidP="00E45559">
      <w:pPr>
        <w:ind w:firstLine="708"/>
        <w:jc w:val="both"/>
      </w:pPr>
      <w:r w:rsidRPr="00490296">
        <w:rPr>
          <w:b/>
          <w:i/>
        </w:rPr>
        <w:t>2. Sub aspectul motivului de recurs prevăzut de disp. art. 488 alin. 1 pct. 8 C.pr.civ.</w:t>
      </w:r>
      <w:r w:rsidRPr="00490296">
        <w:rPr>
          <w:i/>
        </w:rPr>
        <w:t>,</w:t>
      </w:r>
      <w:r>
        <w:t xml:space="preserve"> atunci când hotărârea a fost dată cu încălcarea sau greșita aplicare  a normelor de drept material,</w:t>
      </w:r>
      <w:r>
        <w:rPr>
          <w:b/>
          <w:i/>
        </w:rPr>
        <w:t xml:space="preserve"> </w:t>
      </w:r>
      <w:r>
        <w:t>Curtea constată că, acest motiv de casare vizează încălcarea legii de drept substanțial (material), încălcare ce poate îmbrăca mai multe aspecte: aplicarea unui text de lege străin situației de fapt; extinderea normei juridice dincolo de ipotezele la care se aplică ori restrângerea nejustificată a aplicării prevederilor acesteia; textului de lege corespunzător situației de fapt i s-a dat o interpretare greșită.</w:t>
      </w:r>
    </w:p>
    <w:p w:rsidR="00E45559" w:rsidP="00E45559">
      <w:pPr>
        <w:ind w:firstLine="708"/>
        <w:jc w:val="both"/>
      </w:pPr>
      <w:r>
        <w:t xml:space="preserve">Curtea constată că instanța de fond, contrar susținerii recurentei a făcut o corectă interpretare şi aplicare a normelor de drept material incidente. </w:t>
      </w:r>
    </w:p>
    <w:p w:rsidR="00E45559" w:rsidP="00E45559">
      <w:pPr>
        <w:ind w:firstLine="708"/>
        <w:jc w:val="both"/>
      </w:pPr>
      <w:r>
        <w:t xml:space="preserve">În speță, prin cererea de chemare în judecată reclamanta a solicitat majorarea salariului de bază cu 15% acordat pentru complexitatea muncii, începând cu data de 01.01.2019, prin punerea în aplicare a dispozițiilor prevăzute în nota 3 din anexa VIII, cap. 1, lit. A, pct. 1 din Legea nr. 153/2017. </w:t>
      </w:r>
    </w:p>
    <w:p w:rsidR="00E45559" w:rsidP="00E45559">
      <w:pPr>
        <w:ind w:firstLine="708"/>
        <w:jc w:val="both"/>
      </w:pPr>
      <w:r>
        <w:t>Curtea reține că Legea nr. 153/2017 privind salarizarea personalului plătit din fonduri publice are ca obiect de reglementare stabilirea unui sistem de salarizare pentru personalul din sectorul bugetar plătit din bugetul general consolidat al statului, începând cu data de 1 iulie 2017, data intrării în vigoare a legii. De la această dată, drepturile salariale ale personalului plătit din bugetul general consolidat al statului sunt și rămân, în mod exclusiv, cele prevăzute în lege, așa cum rezultă din conținutul normativ al art. 1 alin. (3) din Legea-cadru nr. 153/2017. Prin acest act normativ s-au aprobat grilele de salarizare și coeficienții de ierarhizare a salariilor de bază ale angajaților din sectorul bugetar pentru anul 2022, precum și măsurile tranzitorii aferente perioadei 2018 - 2022.</w:t>
      </w:r>
    </w:p>
    <w:p w:rsidR="00E45559" w:rsidP="00E45559">
      <w:pPr>
        <w:ind w:firstLine="708"/>
        <w:jc w:val="both"/>
      </w:pPr>
      <w:r>
        <w:t>Potrivit art. 38 alin. 1 din Legea nr. 153/2017, „(1) Prevederile prezentei legi se aplică etapizat, începând cu data de 1 iulie 2017.”</w:t>
      </w:r>
    </w:p>
    <w:p w:rsidR="00E45559" w:rsidP="00E45559">
      <w:pPr>
        <w:ind w:firstLine="708"/>
        <w:jc w:val="both"/>
      </w:pPr>
      <w:r>
        <w:t xml:space="preserve"> La pct.3 de la Notele din Cap. I și II, lit. A la Anexa nr. VIII a Legii-cadru nr. 153/2017 se prevede o majorare a salariilor de bază din această Anexă de 15% pentru complexitatea muncii, pentru funcționarii publici și personalul contractual din unele instituții și autorități publice. </w:t>
      </w:r>
    </w:p>
    <w:p w:rsidR="00E45559" w:rsidP="00E45559">
      <w:pPr>
        <w:ind w:firstLine="708"/>
        <w:jc w:val="both"/>
      </w:pPr>
      <w:r>
        <w:t xml:space="preserve">Prin dispozițiile art. 38 alin. 2 lit. a și alin. 3 lit. a din Legea nr.153/2017 s-au instituit prevederi derogatorii privind salarizarea, de majorarea salariului de bază de 15% pentru complexitatea muncii, neputându-se beneficia în perioada analizată. </w:t>
      </w:r>
    </w:p>
    <w:p w:rsidR="00E45559" w:rsidP="00E45559">
      <w:pPr>
        <w:ind w:firstLine="708"/>
        <w:jc w:val="both"/>
      </w:pPr>
      <w:r>
        <w:t>Astfel, potrivit art. 38 alin. 2 lit. a din Legea nr. 153/2017, „(2) Începând cu data de 1 iulie 2017: a) se mențin în plată la nivelul acordat pentru luna iunie 2017, până la 31 decembrie 2017, cuantumul brut al salariilor de bază, soldelor de funcție/salariilor de funcție și indemnizațiilor de încadrare, precum și cuantumul sporurilor, indemnizațiilor, compensațiilor, primelor și al celorlalte elemente ale sistemului de salarizare care fac parte, potrivit legii, din salariul brut lunar, indemnizația brută de încadrare, solda lunară de care beneficiază personalul plătit din fonduri publice, în măsura în care personalul ocupă aceeași funcție și își desfășoară activitatea în aceleași condiții;”</w:t>
      </w:r>
    </w:p>
    <w:p w:rsidR="00E45559" w:rsidP="00E45559">
      <w:pPr>
        <w:ind w:firstLine="708"/>
        <w:jc w:val="both"/>
      </w:pPr>
      <w:r>
        <w:t>Potrivit art. 38 alin. 3 lit. a din Legea nr. 153/2017 „(3) Începând cu data de 1 ianuarie 2018 se acordă următoarele creșteri salariale: a) cuantumul brut al salariilor de bază, soldelor de funcție/salariilor de funcție, indemnizațiilor de încadrare, precum și cuantumul brut al sporurilor, indemnizațiilor, compensațiilor, primelor, premiilor și al celorlalte elemente ale sistemului de salarizare care fac parte, potrivit legii, din salariul lunar brut, indemnizația brută de încadrare, solda lunară/salariul lunar de care beneficiază personalul plătit din fonduri publice se majorează cu 25% față de nivelul acordat pentru luna decembrie 2017, fără a depăși limita prevăzută la art. 25, în măsura în care personalul respectiv își desfășoară activitatea în aceleași condiții;”</w:t>
      </w:r>
    </w:p>
    <w:p w:rsidR="00E45559" w:rsidP="00E45559">
      <w:pPr>
        <w:ind w:firstLine="708"/>
        <w:jc w:val="both"/>
      </w:pPr>
      <w:r>
        <w:t>De asemenea, potrivit art. 38 alin. 4 din Legea nr. 153/2017, „(4) În perioada 2019 - 2022 se va acorda anual o creștere a salariilor de bază, soldelor de funcție/salariilor de funcție, indemnizațiilor de încadrare, fiecare creștere reprezentând 1/4 din diferența dintre salariul de bază, solda de funcție/salariul de funcție, indemnizația de încadrare prevăzute de lege pentru anul 2022 și cel/cea din luna decembrie 2018. Creșterea respectivă și data de aplicare se stabilesc prin legea anuală a bugetului de stat cu respectarea prevederilor art. 6 lit. h).”</w:t>
      </w:r>
    </w:p>
    <w:p w:rsidR="00E45559" w:rsidP="00E45559">
      <w:pPr>
        <w:ind w:firstLine="708"/>
        <w:jc w:val="both"/>
      </w:pPr>
      <w:r>
        <w:t>Conform art. 38 alin. (6) din Legea-cadru nr. 153/2017, în situația în care, începând cu 1 ianuarie 2018, salariile de bază, soldele de funcție/salariile de funcție, indemnizațiile de încadrare sunt mai mari decât cele stabilite, potrivit acestei legi, pentru anul 2022 sau devin ulterior mai mari, ca urmare a majorărilor salariale reglementate, se acordă cele stabilite pentru anul 2022.</w:t>
      </w:r>
    </w:p>
    <w:p w:rsidR="00E45559" w:rsidP="00E45559">
      <w:pPr>
        <w:ind w:firstLine="708"/>
        <w:jc w:val="both"/>
      </w:pPr>
      <w:r>
        <w:t xml:space="preserve">Interpretarea sistematică, logică și gramaticală a dispozițiilor art. 38 alin. (2), (3), (4) și (6) privind aplicarea etapizată a legii, impun concluzia că majorarea salariului de bază cu 15% pentru complexitatea muncii, prevăzută de dispozițiile Notei 3 lit. d) pct. I lit. A, cap. I din anexa nr. VIII la Legea-cadru nr. 153/2017, pentru funcționarii publici din instituțiile aflate în subordinea Ministerului Finanțelor Publice, nu poate fi acordată de la momentul intrării în vigoare a legii, 1 iulie 2017 până la sfârșitul anului 2017 sau pentru anul 2018, pentru că s-ar încălca prevederile art. 38 alin. (2) din Legea-cadru nr. 153/2017 privind menținerea în plată a drepturilor salariale în anul 2017, la nivelul celor din luna iunie 2017, precum și prevederile art. 38 alin. (3) din același act normativ, care determină majorarea în anul 2018 a drepturilor salariale avute în luna decembrie 2017 cu un procent de 25%. Această majorare va deveni aplicabilă și va fi acordată în momentul în care salariile de bază vor fi determinate utilizând salariile de bază prevăzute în anexa nr. VIII la Legea-cadru nr. 153/2017. </w:t>
      </w:r>
    </w:p>
    <w:p w:rsidR="00E45559" w:rsidP="00E45559">
      <w:pPr>
        <w:ind w:firstLine="708"/>
        <w:jc w:val="both"/>
      </w:pPr>
      <w:r>
        <w:t>În mod excepțional, în situația în care, începând cu 1 ianuarie 2018, salariile de bază, soldele de funcție/salariile de funcție, indemnizațiile de încadrare sunt mai mari decât cele stabilite, potrivit prezentei legi, pentru anul 2022 sau devin ulterior mai mari, ca urmare a majorărilor salariale reglementate, se acordă cele stabilite pentru anul 2022.</w:t>
      </w:r>
    </w:p>
    <w:p w:rsidR="00E45559" w:rsidP="00E45559">
      <w:pPr>
        <w:ind w:firstLine="708"/>
        <w:jc w:val="both"/>
      </w:pPr>
      <w:r>
        <w:t>În consecință, pentru aplicarea dispozițiilor art. 38 alin 4 din Legea nr 153/2017, în cazul funcționarilor publici cărora li se aplică prevederile pct. 2 din Nota anterior menționată, este necesar în prealabil stabilirea salariului de bază cuvenit acestora începând cu data de 01.01.2022, respectiv salariului de bază prevăzut în anexa nr VIII din Legea nr 153/2017, la care se aplică majorarea de 15% pentru complexitatea muncii.</w:t>
      </w:r>
    </w:p>
    <w:p w:rsidR="00E45559" w:rsidP="00E45559">
      <w:pPr>
        <w:ind w:firstLine="708"/>
        <w:jc w:val="both"/>
      </w:pPr>
      <w:r>
        <w:t>În speță, astfel cum rezultă din înscrisurile cauzei, în perioada 01.01.2018 – 01.01.2019, salariul reclamantei nu a ajuns la nivelul salariului stabilit potrivit Legii 153/2017 pentru anul 2022. În aceste condiții, în mod corect reclamantei i-a fost stabilit salariul  de către intimata pârâtă, criticile fiind neîntemeiate.</w:t>
      </w:r>
    </w:p>
    <w:p w:rsidR="00E45559" w:rsidP="00E45559">
      <w:pPr>
        <w:ind w:firstLine="708"/>
        <w:jc w:val="both"/>
      </w:pPr>
      <w:r>
        <w:t>În acest sens, se retine că, prin Decizia nr. 82/26.11.2018 pronunțată de Înalta Curte de Casație și Justiție - Completul pentru dezlegarea unor chestiuni de drept, publicată în Monitorul Oficial Nr. 130 din 19 februarie 2019, obligatorie pentru instanțe potrivit dispozițiilor art. 521 alin. 3 C.pr.civ., s-a admis sesizarea formulată de Curtea de Apel Iași - Secția contencios administrativ și fiscal în Dosarul nr. 7.568/99/2017, în vederea pronunțării unei hotărâri prealabile și, în interpretarea dispozițiilor Notei 2 lit. c) pct. II lit. A, cap. I din anexa nr. VIII a Legii-cadru nr. 153/2017 în corelare cu prevederile art. 38 alin. (1), alin. (2) lit. a), alin. (3) lit. a), alin. (4) și (6) din actul normativ anterior menționat, stabilește că:  - majorarea salariului de bază, de 15% pentru complexitatea muncii, nu se acordă pentru perioada 1 iulie 2017 - 31 decembrie 2017 și pentru anul 2018; - pentru perioada 2019 - 2022, această majorare se acordă în condițiile stabilite la art. 38 alin. (4) din Legea-cadru nr. 153/2017; - prin excepție, această majorare se acordă începând cu ianuarie 2018 sau cu data de la care salariile de bază, soldele de funcție/salariile de funcție, indemnizațiile de încadrare devin mai mari decât cele stabilite potrivit legii pentru anul 2022, ca urmare a majorărilor salariale reglementate.”</w:t>
      </w:r>
    </w:p>
    <w:p w:rsidR="00E45559" w:rsidP="00E45559">
      <w:pPr>
        <w:ind w:firstLine="708"/>
        <w:jc w:val="both"/>
      </w:pPr>
      <w:r>
        <w:t xml:space="preserve">Raționamentul expus de Înalta Curte de Casație și Justiție în considerentele deciziei nr. 82/26.11.2018 cu privire la interpretarea dispozițiilor Notei 2 lit. c) pct. II lit. A, cap. I din anexa nr. VIII a Legii-cadru nr. 153/2017 în corelare cu prevederile art. 38 alin. (1), alin. (2) lit. a), alin. (3) lit. a), alin. (4) și (6) din actul normativ anterior menționat, este valabil și în ceea ce privește interpretarea dispozițiilor prevăzute în nota 3 din anexa VIII, cap. 1, lit. A, pct. 1 din Legea nr. 153/2017 în corelare cu aceleași prevederi menționate anterior. </w:t>
      </w:r>
    </w:p>
    <w:p w:rsidR="00E45559" w:rsidP="00E45559">
      <w:pPr>
        <w:ind w:firstLine="708"/>
        <w:jc w:val="both"/>
      </w:pPr>
      <w:r>
        <w:t>Ca urmare, în mod corect a apreciat instanța de fond că reclamanta nu pot beneficia de majorarea în cuantum de 15% a salariului de bază pentru complexitatea muncii, în perioada analizată de către instanța de fond, întrucât salariul lor nu a ajuns la nivelul salariului stabilit potrivit Legii nr. 153/2017 pentru anul 2022.</w:t>
      </w:r>
    </w:p>
    <w:p w:rsidR="00E45559" w:rsidP="00E45559">
      <w:pPr>
        <w:ind w:firstLine="708"/>
        <w:jc w:val="both"/>
      </w:pPr>
      <w:r>
        <w:t>Pentru aceste considerente, constatând nefondate criticile formulate, și având în vedere faptul că pentru capetele 2 -5 ale cererii de chemare în judecată nu au fost prezentate prin cererea de recurs critici de nelegalitate ale sentinței primei instanțe, în temeiul art. 496 alin.1 Cod procedură civilă, Curtea va respinge recursul formulat.</w:t>
      </w:r>
    </w:p>
    <w:p w:rsidRPr="00643179" w:rsidR="00E45559" w:rsidP="00E45559">
      <w:pPr>
        <w:jc w:val="center"/>
      </w:pPr>
    </w:p>
    <w:p w:rsidRPr="00643179" w:rsidR="00E45559" w:rsidP="00E45559">
      <w:pPr>
        <w:jc w:val="center"/>
      </w:pPr>
    </w:p>
    <w:p w:rsidRPr="00163C79" w:rsidR="00E45559" w:rsidP="00E45559">
      <w:pPr>
        <w:jc w:val="center"/>
        <w:rPr>
          <w:b/>
        </w:rPr>
      </w:pPr>
      <w:r w:rsidRPr="00163C79">
        <w:rPr>
          <w:b/>
        </w:rPr>
        <w:t>PENTRU ACESTE MOTIVE,</w:t>
        <w:br/>
        <w:t>ÎN NUMELE LEGII</w:t>
      </w:r>
    </w:p>
    <w:p w:rsidRPr="00163C79" w:rsidR="00E45559" w:rsidP="00E45559">
      <w:pPr>
        <w:jc w:val="center"/>
        <w:rPr>
          <w:b/>
        </w:rPr>
      </w:pPr>
      <w:r w:rsidRPr="00163C79">
        <w:rPr>
          <w:b/>
        </w:rPr>
        <w:t>DECIDE</w:t>
      </w:r>
      <w:r>
        <w:rPr>
          <w:b/>
        </w:rPr>
        <w:t>:</w:t>
      </w:r>
    </w:p>
    <w:p w:rsidRPr="00643179" w:rsidR="00E45559" w:rsidP="00E45559"/>
    <w:p w:rsidRPr="00490296" w:rsidR="00E45559" w:rsidP="00E45559">
      <w:pPr>
        <w:ind w:firstLine="851"/>
        <w:jc w:val="both"/>
        <w:rPr>
          <w:b/>
        </w:rPr>
      </w:pPr>
      <w:r w:rsidRPr="00490296">
        <w:rPr>
          <w:b/>
        </w:rPr>
        <w:t>Respinge recursul</w:t>
      </w:r>
      <w:r w:rsidRPr="00163C79">
        <w:t xml:space="preserve"> </w:t>
      </w:r>
      <w:r>
        <w:t xml:space="preserve">formulat de </w:t>
      </w:r>
      <w:r w:rsidRPr="00163C79">
        <w:rPr>
          <w:b/>
        </w:rPr>
        <w:t xml:space="preserve">recurentul reclamant SINDICATUL NAȚIONAL </w:t>
      </w:r>
      <w:r w:rsidRPr="00EC28CB">
        <w:rPr>
          <w:b/>
        </w:rPr>
        <w:t xml:space="preserve">VAMAL </w:t>
      </w:r>
      <w:r w:rsidRPr="00EC28CB" w:rsidR="00EC28CB">
        <w:rPr>
          <w:b/>
        </w:rPr>
        <w:t>...W...</w:t>
      </w:r>
      <w:r w:rsidRPr="00EC28CB">
        <w:rPr>
          <w:b/>
        </w:rPr>
        <w:t xml:space="preserve"> PENTRU</w:t>
      </w:r>
      <w:r w:rsidRPr="00163C79">
        <w:rPr>
          <w:b/>
        </w:rPr>
        <w:t xml:space="preserve"> </w:t>
      </w:r>
      <w:r>
        <w:rPr>
          <w:b/>
        </w:rPr>
        <w:t xml:space="preserve">MEMBRUL DE SINDICAT </w:t>
      </w:r>
      <w:r w:rsidR="00737345">
        <w:rPr>
          <w:b/>
        </w:rPr>
        <w:t>...Q...</w:t>
      </w:r>
      <w:r>
        <w:rPr>
          <w:b/>
        </w:rPr>
        <w:t xml:space="preserve">, </w:t>
      </w:r>
      <w:r>
        <w:t xml:space="preserve">cu sediul procesual ales la SCA </w:t>
      </w:r>
      <w:r w:rsidR="00737345">
        <w:t>.................</w:t>
      </w:r>
      <w:r>
        <w:t xml:space="preserve">, în </w:t>
      </w:r>
      <w:r w:rsidR="00737345">
        <w:t>...................................</w:t>
      </w:r>
      <w:r>
        <w:t xml:space="preserve">, împotriva sentinței civile nr. </w:t>
      </w:r>
      <w:r w:rsidR="00BF7A20">
        <w:t>....</w:t>
      </w:r>
      <w:r>
        <w:t>/</w:t>
      </w:r>
      <w:r w:rsidR="00BF7A20">
        <w:t>.......</w:t>
      </w:r>
      <w:r>
        <w:t xml:space="preserve"> pronunțată de Tribunalul </w:t>
      </w:r>
      <w:r w:rsidR="00737345">
        <w:t>...A...</w:t>
      </w:r>
      <w:r>
        <w:t xml:space="preserve"> - secția </w:t>
      </w:r>
      <w:r w:rsidR="008819C7">
        <w:t>....</w:t>
      </w:r>
      <w:r>
        <w:t xml:space="preserve"> de Contencios Administrativ și Fiscal în dosarul nr. </w:t>
      </w:r>
      <w:r w:rsidR="00BF7A20">
        <w:t>....</w:t>
      </w:r>
      <w:r>
        <w:t>/</w:t>
      </w:r>
      <w:r w:rsidR="00BF7A20">
        <w:t>.....</w:t>
      </w:r>
      <w:r>
        <w:t xml:space="preserve">/2021, în contradictoriu cu </w:t>
      </w:r>
      <w:r w:rsidRPr="00163C79">
        <w:rPr>
          <w:b/>
        </w:rPr>
        <w:t xml:space="preserve">intimata pârâta DIRECȚIA GENERALĂ REGIONALĂ A FINANȚELOR PUBLICE </w:t>
      </w:r>
      <w:r w:rsidR="00737345">
        <w:rPr>
          <w:b/>
        </w:rPr>
        <w:t>...X...</w:t>
      </w:r>
      <w:r>
        <w:t>,</w:t>
      </w:r>
      <w:r w:rsidRPr="00490296">
        <w:t xml:space="preserve"> </w:t>
      </w:r>
      <w:r>
        <w:t xml:space="preserve">cu sediul în </w:t>
      </w:r>
      <w:r w:rsidR="00737345">
        <w:t>............................</w:t>
      </w:r>
      <w:r>
        <w:t xml:space="preserve">, </w:t>
      </w:r>
      <w:r w:rsidRPr="00490296">
        <w:rPr>
          <w:b/>
        </w:rPr>
        <w:t>ca nefondat.</w:t>
      </w:r>
    </w:p>
    <w:p w:rsidR="00E45559" w:rsidP="00E45559">
      <w:pPr>
        <w:ind w:firstLine="709"/>
        <w:jc w:val="both"/>
      </w:pPr>
      <w:r>
        <w:t>Definitivă.</w:t>
      </w:r>
    </w:p>
    <w:p w:rsidRPr="00643179" w:rsidR="00E45559" w:rsidP="00E45559">
      <w:pPr>
        <w:ind w:firstLine="709"/>
        <w:jc w:val="both"/>
      </w:pPr>
      <w:r>
        <w:t xml:space="preserve">Pronunțată azi, </w:t>
      </w:r>
      <w:r w:rsidR="00737345">
        <w:t>..............</w:t>
      </w:r>
      <w:r>
        <w:t>, prin punerea soluției la dispoziția părților de către grefa instanței.</w:t>
      </w:r>
    </w:p>
    <w:p w:rsidRPr="00163C79" w:rsidR="00E45559" w:rsidP="00E45559">
      <w:pPr>
        <w:jc w:val="center"/>
        <w:rPr>
          <w:b/>
          <w:noProof/>
        </w:rPr>
      </w:pPr>
      <w:r w:rsidRPr="00163C79">
        <w:rPr>
          <w:b/>
        </w:rPr>
      </w:r>
      <w:r w:rsidRPr="00163C79">
        <w:rPr>
          <w:b/>
        </w:rPr>
      </w:r>
      <w:r w:rsidRPr="00163C79">
        <w:rPr>
          <w:b/>
        </w:rPr>
      </w:r>
      <w:r w:rsidRPr="00163C79">
        <w:rPr>
          <w:b/>
          <w:noProof/>
        </w:rPr>
        <w:t> </w:t>
      </w:r>
      <w:r w:rsidRPr="00163C79">
        <w:rPr>
          <w:b/>
          <w:noProof/>
        </w:rPr>
        <w:t> </w:t>
      </w:r>
    </w:p>
    <w:tbl>
      <w:tblPr>
        <w:tblStyle w:val="TableNormal"/>
        <w:tblW w:w="0" w:type="auto"/>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284" w:type="dxa"/>
          <w:bottom w:w="284" w:type="dxa"/>
        </w:tblCellMar>
        <w:tblLook w:val="0000"/>
      </w:tblPr>
      <w:tblGrid>
        <w:gridCol w:w="3096"/>
        <w:gridCol w:w="3095"/>
        <w:gridCol w:w="3095"/>
      </w:tblGrid>
      <w:tr w:rsidTr="0022450A">
        <w:tblPrEx>
          <w:tblW w:w="0" w:type="auto"/>
          <w:tblLook w:val="0000"/>
        </w:tblPrEx>
        <w:tc>
          <w:tcPr>
            <w:tcW w:w="3096" w:type="dxa"/>
          </w:tcPr>
          <w:p w:rsidRPr="00163C79" w:rsidR="00E45559" w:rsidP="0022450A">
            <w:pPr>
              <w:jc w:val="center"/>
              <w:rPr>
                <w:b/>
                <w:noProof/>
              </w:rPr>
            </w:pPr>
            <w:r w:rsidRPr="00163C79">
              <w:rPr>
                <w:b/>
                <w:noProof/>
              </w:rPr>
              <w:t>Preşedinte,</w:t>
            </w:r>
          </w:p>
          <w:p w:rsidRPr="00163C79" w:rsidR="00E45559" w:rsidP="0022450A">
            <w:pPr>
              <w:jc w:val="center"/>
              <w:rPr>
                <w:b/>
                <w:noProof/>
              </w:rPr>
            </w:pPr>
            <w:r w:rsidR="00737345">
              <w:rPr>
                <w:b/>
                <w:noProof/>
              </w:rPr>
              <w:t>..............</w:t>
            </w:r>
          </w:p>
        </w:tc>
        <w:tc>
          <w:tcPr>
            <w:tcW w:w="3096" w:type="dxa"/>
          </w:tcPr>
          <w:p w:rsidRPr="00163C79" w:rsidR="00E45559" w:rsidP="0022450A">
            <w:pPr>
              <w:jc w:val="center"/>
              <w:rPr>
                <w:b/>
                <w:noProof/>
              </w:rPr>
            </w:pPr>
            <w:r w:rsidRPr="00163C79">
              <w:rPr>
                <w:b/>
                <w:noProof/>
              </w:rPr>
              <w:t>Judecător,</w:t>
            </w:r>
          </w:p>
          <w:p w:rsidRPr="00163C79" w:rsidR="00E45559" w:rsidP="0022450A">
            <w:pPr>
              <w:jc w:val="center"/>
              <w:rPr>
                <w:b/>
                <w:noProof/>
              </w:rPr>
            </w:pPr>
            <w:r w:rsidR="00737345">
              <w:rPr>
                <w:b/>
                <w:noProof/>
              </w:rPr>
              <w:t>A0001</w:t>
            </w:r>
          </w:p>
        </w:tc>
        <w:tc>
          <w:tcPr>
            <w:tcW w:w="3096" w:type="dxa"/>
          </w:tcPr>
          <w:p w:rsidRPr="00163C79" w:rsidR="00E45559" w:rsidP="0022450A">
            <w:pPr>
              <w:jc w:val="center"/>
              <w:rPr>
                <w:b/>
                <w:noProof/>
              </w:rPr>
            </w:pPr>
            <w:r w:rsidRPr="00163C79">
              <w:rPr>
                <w:b/>
                <w:noProof/>
              </w:rPr>
              <w:t>Judecător,</w:t>
            </w:r>
          </w:p>
          <w:p w:rsidRPr="00163C79" w:rsidR="00E45559" w:rsidP="0022450A">
            <w:pPr>
              <w:jc w:val="center"/>
              <w:rPr>
                <w:b/>
                <w:noProof/>
              </w:rPr>
            </w:pPr>
            <w:r w:rsidR="00737345">
              <w:rPr>
                <w:b/>
                <w:noProof/>
              </w:rPr>
              <w:t>..............</w:t>
            </w:r>
          </w:p>
        </w:tc>
      </w:tr>
      <w:tr w:rsidTr="0022450A">
        <w:tblPrEx>
          <w:tblW w:w="0" w:type="auto"/>
          <w:tblLook w:val="0000"/>
        </w:tblPrEx>
        <w:tc>
          <w:tcPr>
            <w:tcW w:w="3096" w:type="dxa"/>
          </w:tcPr>
          <w:p w:rsidRPr="00163C79" w:rsidR="00E45559" w:rsidP="0022450A">
            <w:pPr>
              <w:jc w:val="center"/>
              <w:rPr>
                <w:b/>
                <w:noProof/>
              </w:rPr>
            </w:pPr>
          </w:p>
        </w:tc>
        <w:tc>
          <w:tcPr>
            <w:tcW w:w="3096" w:type="dxa"/>
          </w:tcPr>
          <w:p w:rsidRPr="00163C79" w:rsidR="00E45559" w:rsidP="0022450A">
            <w:pPr>
              <w:jc w:val="center"/>
              <w:rPr>
                <w:b/>
                <w:noProof/>
              </w:rPr>
            </w:pPr>
            <w:r w:rsidRPr="00163C79">
              <w:rPr>
                <w:b/>
                <w:noProof/>
              </w:rPr>
              <w:t>Grefier,</w:t>
            </w:r>
          </w:p>
          <w:p w:rsidRPr="00163C79" w:rsidR="00E45559" w:rsidP="0022450A">
            <w:pPr>
              <w:jc w:val="center"/>
              <w:rPr>
                <w:b/>
                <w:noProof/>
              </w:rPr>
            </w:pPr>
            <w:r w:rsidR="00737345">
              <w:rPr>
                <w:b/>
                <w:noProof/>
              </w:rPr>
              <w:t>..............</w:t>
            </w:r>
          </w:p>
        </w:tc>
        <w:tc>
          <w:tcPr>
            <w:tcW w:w="3096" w:type="dxa"/>
          </w:tcPr>
          <w:p w:rsidRPr="00163C79" w:rsidR="00E45559" w:rsidP="0022450A">
            <w:pPr>
              <w:jc w:val="center"/>
              <w:rPr>
                <w:b/>
                <w:noProof/>
              </w:rPr>
            </w:pPr>
          </w:p>
        </w:tc>
      </w:tr>
    </w:tbl>
    <w:p w:rsidRPr="00643179" w:rsidR="00E45559" w:rsidP="00E45559">
      <w:pPr>
        <w:jc w:val="center"/>
      </w:pPr>
      <w:r w:rsidRPr="00163C79">
        <w:rPr>
          <w:b/>
          <w:noProof/>
        </w:rPr>
        <w:t> </w:t>
      </w:r>
      <w:r w:rsidRPr="00163C79">
        <w:rPr>
          <w:b/>
          <w:noProof/>
        </w:rPr>
        <w:t> </w:t>
      </w:r>
      <w:r w:rsidRPr="00163C79">
        <w:rPr>
          <w:b/>
          <w:noProof/>
        </w:rPr>
        <w:t> </w:t>
      </w:r>
      <w:r w:rsidRPr="00163C79">
        <w:rPr>
          <w:b/>
        </w:rPr>
      </w:r>
    </w:p>
    <w:p w:rsidRPr="00BD6F65" w:rsidR="00E45559" w:rsidP="00E45559">
      <w:pPr>
        <w:rPr>
          <w:i/>
        </w:rPr>
      </w:pPr>
      <w:r w:rsidRPr="00BD6F65">
        <w:rPr>
          <w:i/>
        </w:rPr>
        <w:t xml:space="preserve">Red jud. </w:t>
      </w:r>
      <w:r w:rsidR="00737345">
        <w:rPr>
          <w:i/>
        </w:rPr>
        <w:t>A0001</w:t>
      </w:r>
      <w:r w:rsidRPr="00BD6F65">
        <w:rPr>
          <w:i/>
        </w:rPr>
        <w:t xml:space="preserve">/Tehnored. </w:t>
      </w:r>
      <w:r w:rsidR="00737345">
        <w:rPr>
          <w:i/>
        </w:rPr>
        <w:t>...</w:t>
      </w:r>
      <w:r w:rsidRPr="00BD6F65">
        <w:rPr>
          <w:i/>
        </w:rPr>
        <w:t>/4 ex</w:t>
      </w:r>
    </w:p>
    <w:p w:rsidRPr="00BD6F65" w:rsidR="00E45559" w:rsidP="00E45559">
      <w:pPr>
        <w:rPr>
          <w:i/>
        </w:rPr>
      </w:pPr>
      <w:r w:rsidRPr="00BD6F65">
        <w:rPr>
          <w:i/>
        </w:rPr>
        <w:t>Data redactării:</w:t>
      </w:r>
      <w:r w:rsidR="00737345">
        <w:rPr>
          <w:i/>
        </w:rPr>
        <w:t>...............</w:t>
      </w:r>
    </w:p>
    <w:p w:rsidRPr="00BD6F65" w:rsidR="00E45559" w:rsidP="00E45559">
      <w:pPr>
        <w:rPr>
          <w:i/>
        </w:rPr>
      </w:pPr>
      <w:r w:rsidRPr="00BD6F65">
        <w:rPr>
          <w:i/>
        </w:rPr>
        <w:t xml:space="preserve">Jud. fond: </w:t>
      </w:r>
      <w:r w:rsidR="00737345">
        <w:rPr>
          <w:i/>
        </w:rPr>
        <w:t>...............</w:t>
      </w:r>
    </w:p>
    <w:p w:rsidRPr="00643179" w:rsidR="00E45559" w:rsidP="00E45559">
      <w:pPr>
        <w:jc w:val="center"/>
      </w:pPr>
      <w:r w:rsidRPr="00643179">
        <w:rPr>
          <w:noProof/>
        </w:rPr>
        <w:t> </w:t>
      </w:r>
      <w:r w:rsidRPr="00643179">
        <w:rPr>
          <w:noProof/>
        </w:rPr>
        <w:t> </w:t>
      </w:r>
      <w:r w:rsidRPr="00643179">
        <w:rPr>
          <w:noProof/>
        </w:rPr>
        <w:t> </w:t>
      </w:r>
      <w:r w:rsidRPr="00643179">
        <w:rPr>
          <w:noProof/>
        </w:rPr>
        <w:t> </w:t>
      </w:r>
      <w:r w:rsidRPr="00643179">
        <w:rPr>
          <w:noProof/>
        </w:rPr>
        <w:t> </w:t>
      </w:r>
    </w:p>
    <w:p w:rsidRPr="00643179" w:rsidR="00E45559" w:rsidP="00E45559">
      <w:pPr>
        <w:jc w:val="center"/>
      </w:pPr>
    </w:p>
    <w:p w:rsidRPr="00643179" w:rsidR="00E45559" w:rsidP="00E45559">
      <w:pPr>
        <w:jc w:val="center"/>
      </w:pPr>
    </w:p>
    <w:p w:rsidRPr="00643179" w:rsidR="00E45559" w:rsidP="00E45559">
      <w:pPr>
        <w:jc w:val="center"/>
      </w:pPr>
    </w:p>
    <w:sectPr w:rsidSect="000D6A47">
      <w:footerReference w:type="default" r:id="rId4"/>
      <w:pgSz w:w="11906" w:h="16838"/>
      <w:pgMar w:top="851" w:right="851" w:bottom="851" w:left="1985"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5559">
    <w:pPr>
      <w:pStyle w:val="Footer"/>
      <w:jc w:val="right"/>
    </w:pPr>
    <w:r>
      <w:fldChar w:fldCharType="begin"/>
    </w:r>
    <w:r>
      <w:instrText>PAGE   \* MERGEFORMAT</w:instrText>
    </w:r>
    <w:r>
      <w:fldChar w:fldCharType="separate"/>
    </w:r>
    <w:r w:rsidR="00DC10A6">
      <w:rPr>
        <w:noProof/>
      </w:rPr>
      <w:t>7</w:t>
    </w:r>
    <w:r>
      <w:fldChar w:fldCharType="end"/>
    </w:r>
  </w:p>
  <w:p w:rsidR="00E45559">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mirrorMargins/>
  <w:proofState w:grammar="clean"/>
  <w:stylePaneFormatFilter w:val="3F01"/>
  <w:doNotTrackMoves/>
  <w:defaultTabStop w:val="709"/>
  <w:hyphenationZone w:val="425"/>
  <w:doNotShadeFormData/>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90D1C"/>
    <w:rsid w:val="00052B7D"/>
    <w:rsid w:val="000654FD"/>
    <w:rsid w:val="00074F1D"/>
    <w:rsid w:val="00084103"/>
    <w:rsid w:val="00090D1C"/>
    <w:rsid w:val="000972B5"/>
    <w:rsid w:val="000C5B56"/>
    <w:rsid w:val="000D6A47"/>
    <w:rsid w:val="00124B8D"/>
    <w:rsid w:val="00163C79"/>
    <w:rsid w:val="00190DF5"/>
    <w:rsid w:val="0022450A"/>
    <w:rsid w:val="00230098"/>
    <w:rsid w:val="00236F8B"/>
    <w:rsid w:val="00295D5F"/>
    <w:rsid w:val="002F274A"/>
    <w:rsid w:val="00310770"/>
    <w:rsid w:val="003676FC"/>
    <w:rsid w:val="003C4A0C"/>
    <w:rsid w:val="00434264"/>
    <w:rsid w:val="004362D5"/>
    <w:rsid w:val="00444EB7"/>
    <w:rsid w:val="00483536"/>
    <w:rsid w:val="00490296"/>
    <w:rsid w:val="00531BA7"/>
    <w:rsid w:val="005441C0"/>
    <w:rsid w:val="005E0080"/>
    <w:rsid w:val="00643179"/>
    <w:rsid w:val="00737345"/>
    <w:rsid w:val="008819C7"/>
    <w:rsid w:val="008D6F98"/>
    <w:rsid w:val="00902C7A"/>
    <w:rsid w:val="009249E9"/>
    <w:rsid w:val="00982CB8"/>
    <w:rsid w:val="009847E9"/>
    <w:rsid w:val="009876B0"/>
    <w:rsid w:val="009B7961"/>
    <w:rsid w:val="00A56F73"/>
    <w:rsid w:val="00A74B82"/>
    <w:rsid w:val="00A775C9"/>
    <w:rsid w:val="00BC4A1A"/>
    <w:rsid w:val="00BC5260"/>
    <w:rsid w:val="00BD6F65"/>
    <w:rsid w:val="00BF0E6F"/>
    <w:rsid w:val="00BF7A20"/>
    <w:rsid w:val="00C5013F"/>
    <w:rsid w:val="00D760A0"/>
    <w:rsid w:val="00DC10A6"/>
    <w:rsid w:val="00DE32AB"/>
    <w:rsid w:val="00E45559"/>
    <w:rsid w:val="00EC28CB"/>
    <w:rsid w:val="00F035C2"/>
    <w:rsid w:val="00FA3C8D"/>
  </w:rsids>
  <w:docVars>
    <w:docVar w:name="url" w:val="http://10.19.48.53:80/ecris_cdms/document_upload.aspx?id_document=5400000001469477&amp;id_departament=5&amp;id_sesiune=2027240&amp;id_user=234&amp;id_institutie=54&amp;actiune=modifica"/>
  </w:docVar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rPr>
      <w:sz w:val="24"/>
      <w:szCs w:val="24"/>
      <w:lang w:val="ro-RO" w:eastAsia="ro-RO" w:bidi="ar-SA"/>
    </w:rPr>
  </w:style>
  <w:style w:type="paragraph" w:styleId="Heading1">
    <w:name w:val="heading 1"/>
    <w:basedOn w:val="Normal"/>
    <w:next w:val="Normal"/>
    <w:qFormat/>
    <w:pPr>
      <w:keepNext/>
      <w:jc w:val="center"/>
      <w:outlineLvl w:val="0"/>
    </w:pPr>
    <w:rPr>
      <w:b/>
      <w:bCs/>
      <w:sz w:val="28"/>
      <w:szCs w:val="15"/>
      <w:lang w:val="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pPr>
      <w:spacing w:before="100" w:beforeAutospacing="1" w:after="100" w:afterAutospacing="1"/>
    </w:pPr>
  </w:style>
  <w:style w:type="paragraph" w:styleId="Header">
    <w:name w:val="header"/>
    <w:basedOn w:val="Normal"/>
    <w:link w:val="HeaderChar"/>
    <w:rsid w:val="00E45559"/>
    <w:pPr>
      <w:tabs>
        <w:tab w:val="center" w:pos="4536"/>
        <w:tab w:val="right" w:pos="9072"/>
      </w:tabs>
    </w:pPr>
  </w:style>
  <w:style w:type="character" w:customStyle="1" w:styleId="HeaderChar">
    <w:name w:val="Header Char"/>
    <w:link w:val="Header"/>
    <w:rsid w:val="00E45559"/>
    <w:rPr>
      <w:sz w:val="24"/>
      <w:szCs w:val="24"/>
    </w:rPr>
  </w:style>
  <w:style w:type="paragraph" w:styleId="Footer">
    <w:name w:val="footer"/>
    <w:basedOn w:val="Normal"/>
    <w:link w:val="FooterChar"/>
    <w:uiPriority w:val="99"/>
    <w:rsid w:val="00E45559"/>
    <w:pPr>
      <w:tabs>
        <w:tab w:val="center" w:pos="4536"/>
        <w:tab w:val="right" w:pos="9072"/>
      </w:tabs>
    </w:pPr>
  </w:style>
  <w:style w:type="character" w:customStyle="1" w:styleId="FooterChar">
    <w:name w:val="Footer Char"/>
    <w:link w:val="Footer"/>
    <w:uiPriority w:val="99"/>
    <w:rsid w:val="00E45559"/>
    <w:rPr>
      <w:sz w:val="24"/>
      <w:szCs w:val="24"/>
    </w:rPr>
  </w:style>
  <w:style w:type="paragraph" w:styleId="BalloonText">
    <w:name w:val="Balloon Text"/>
    <w:basedOn w:val="Normal"/>
    <w:link w:val="BalloonTextChar"/>
    <w:rsid w:val="00A775C9"/>
    <w:rPr>
      <w:rFonts w:ascii="Segoe UI" w:hAnsi="Segoe UI" w:cs="Segoe UI"/>
      <w:sz w:val="18"/>
      <w:szCs w:val="18"/>
    </w:rPr>
  </w:style>
  <w:style w:type="character" w:customStyle="1" w:styleId="BalloonTextChar">
    <w:name w:val="Balloon Text Char"/>
    <w:link w:val="BalloonText"/>
    <w:rsid w:val="00A775C9"/>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32</ap:TotalTime>
  <ap:Pages>6</ap:Pages>
  <ap:Words>3554</ap:Words>
  <ap:Characters>20258</ap:Characters>
  <ap:Application>Microsoft Office Word</ap:Application>
  <ap:DocSecurity>0</ap:DocSecurity>
  <ap:Lines>168</ap:Lines>
  <ap:Paragraphs>47</ap:Paragraphs>
  <ap:ScaleCrop>false</ap:ScaleCrop>
  <ap:HeadingPairs>
    <vt:vector baseType="variant" size="4">
      <vt:variant>
        <vt:lpstr>Title</vt:lpstr>
      </vt:variant>
      <vt:variant>
        <vt:i4>1</vt:i4>
      </vt:variant>
      <vt:variant>
        <vt:lpstr>Titlu</vt:lpstr>
      </vt:variant>
      <vt:variant>
        <vt:i4>1</vt:i4>
      </vt:variant>
    </vt:vector>
  </ap:HeadingPairs>
  <ap:TitlesOfParts>
    <vt:vector baseType="lpstr" size="2">
      <vt:lpstr>Numar dosar ﷡﷡﷡﷡﷡</vt:lpstr>
      <vt:lpstr>Numar dosar ﷡﷡﷡﷡﷡</vt:lpstr>
    </vt:vector>
  </ap:TitlesOfParts>
  <ap:CharactersWithSpaces>23765</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lastPrinted>2021-05-20T10:53:00.0000000Z</lastPrinted>
  <dc:subject/>
  <dc:description/>
  <keywords/>
  <category/>
  <contentStatus/>
  <dc:identifier/>
  <dc:language/>
  <version/>
</coreProperties>
</file>