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29349" w14:textId="7362AE07" w:rsidR="004830ED" w:rsidRDefault="001F68B8">
      <w:pPr>
        <w:rPr>
          <w:rStyle w:val="Fontdeparagrafimplicit1"/>
          <w:rFonts w:ascii="Garamond" w:hAnsi="Garamond"/>
        </w:rPr>
      </w:pPr>
      <w:r>
        <w:rPr>
          <w:rStyle w:val="Fontdeparagrafimplicit1"/>
          <w:rFonts w:ascii="Garamond" w:hAnsi="Garamond"/>
        </w:rPr>
        <w:t>Cod ECLI    ECLI:RO:CA</w:t>
      </w:r>
      <w:r w:rsidR="009F4F4A">
        <w:rPr>
          <w:rStyle w:val="Fontdeparagrafimplicit1"/>
          <w:rFonts w:ascii="Garamond" w:hAnsi="Garamond"/>
        </w:rPr>
        <w:t>....</w:t>
      </w:r>
      <w:r>
        <w:rPr>
          <w:rStyle w:val="Fontdeparagrafimplicit1"/>
          <w:rFonts w:ascii="Garamond" w:hAnsi="Garamond"/>
        </w:rPr>
        <w:t>:</w:t>
      </w:r>
      <w:r w:rsidR="009F4F4A">
        <w:rPr>
          <w:rStyle w:val="Fontdeparagrafimplicit1"/>
          <w:rFonts w:ascii="Garamond" w:hAnsi="Garamond"/>
        </w:rPr>
        <w:t>...</w:t>
      </w:r>
    </w:p>
    <w:p w14:paraId="25C9382E" w14:textId="77777777" w:rsidR="004830ED" w:rsidRDefault="001F68B8">
      <w:pPr>
        <w:rPr>
          <w:rStyle w:val="Fontdeparagrafimplicit1"/>
          <w:b/>
          <w:i/>
        </w:rPr>
      </w:pPr>
      <w:r>
        <w:rPr>
          <w:rStyle w:val="Fontdeparagrafimplicit1"/>
          <w:b/>
          <w:i/>
        </w:rPr>
        <w:t>R O M Â N I A</w:t>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p>
    <w:p w14:paraId="337CFC53" w14:textId="1EA4885F" w:rsidR="004830ED" w:rsidRDefault="001F68B8">
      <w:pPr>
        <w:rPr>
          <w:rStyle w:val="Fontdeparagrafimplicit1"/>
          <w:b/>
          <w:i/>
        </w:rPr>
      </w:pPr>
      <w:r>
        <w:rPr>
          <w:rStyle w:val="Fontdeparagrafimplicit1"/>
          <w:b/>
          <w:i/>
        </w:rPr>
        <w:t xml:space="preserve"> CURTEA DE APEL </w:t>
      </w:r>
      <w:r w:rsidR="009F4F4A">
        <w:rPr>
          <w:rStyle w:val="Fontdeparagrafimplicit1"/>
          <w:b/>
          <w:i/>
        </w:rPr>
        <w:t>X</w:t>
      </w:r>
    </w:p>
    <w:p w14:paraId="5CE8DE28" w14:textId="42B1E055" w:rsidR="004830ED" w:rsidRDefault="001F68B8">
      <w:pPr>
        <w:rPr>
          <w:rStyle w:val="Fontdeparagrafimplicit1"/>
          <w:b/>
          <w:i/>
        </w:rPr>
      </w:pPr>
      <w:r>
        <w:rPr>
          <w:rStyle w:val="Fontdeparagrafimplicit1"/>
          <w:b/>
          <w:i/>
        </w:rPr>
        <w:t xml:space="preserve">    SECŢIA  </w:t>
      </w:r>
      <w:r w:rsidR="009F4F4A">
        <w:rPr>
          <w:rStyle w:val="Fontdeparagrafimplicit1"/>
          <w:b/>
          <w:i/>
        </w:rPr>
        <w:t>....</w:t>
      </w:r>
    </w:p>
    <w:p w14:paraId="6C9F94D9" w14:textId="58111CCD" w:rsidR="004830ED" w:rsidRDefault="001F68B8">
      <w:pPr>
        <w:rPr>
          <w:rStyle w:val="Fontdeparagrafimplicit1"/>
          <w:b/>
          <w:i/>
        </w:rPr>
      </w:pPr>
      <w:r>
        <w:rPr>
          <w:rStyle w:val="Fontdeparagrafimplicit1"/>
          <w:b/>
          <w:i/>
        </w:rPr>
        <w:t xml:space="preserve"> Număr operator de date cu caracter personal </w:t>
      </w:r>
      <w:r w:rsidR="009F4F4A">
        <w:rPr>
          <w:rStyle w:val="Fontdeparagrafimplicit1"/>
          <w:b/>
          <w:i/>
        </w:rPr>
        <w:t>....</w:t>
      </w:r>
    </w:p>
    <w:p w14:paraId="411E2D63" w14:textId="7B8FDC7B" w:rsidR="004830ED" w:rsidRDefault="001F68B8">
      <w:pPr>
        <w:jc w:val="both"/>
        <w:rPr>
          <w:rStyle w:val="Fontdeparagrafimplicit1"/>
          <w:b/>
          <w:i/>
        </w:rPr>
      </w:pPr>
      <w:r>
        <w:rPr>
          <w:rStyle w:val="Fontdeparagrafimplicit1"/>
          <w:b/>
          <w:i/>
        </w:rPr>
        <w:t xml:space="preserve">  DOSAR NR. </w:t>
      </w:r>
      <w:r w:rsidR="009F4F4A">
        <w:rPr>
          <w:rStyle w:val="Fontdeparagrafimplicit1"/>
          <w:b/>
          <w:i/>
        </w:rPr>
        <w:t>...</w:t>
      </w:r>
      <w:r>
        <w:rPr>
          <w:rStyle w:val="Fontdeparagrafimplicit1"/>
          <w:b/>
          <w:i/>
        </w:rPr>
        <w:t xml:space="preserve"> 11</w:t>
      </w:r>
    </w:p>
    <w:p w14:paraId="3DBFFFD0" w14:textId="77777777" w:rsidR="004830ED" w:rsidRDefault="001F68B8">
      <w:pPr>
        <w:rPr>
          <w:rStyle w:val="Fontdeparagrafimplicit1"/>
          <w:i/>
        </w:rPr>
      </w:pPr>
      <w:r>
        <w:rPr>
          <w:rStyle w:val="Fontdeparagrafimplicit1"/>
          <w:i/>
        </w:rPr>
        <w:t xml:space="preserve">          </w:t>
      </w:r>
    </w:p>
    <w:p w14:paraId="09C5A808" w14:textId="77777777" w:rsidR="004830ED" w:rsidRDefault="004830ED">
      <w:pPr>
        <w:rPr>
          <w:rStyle w:val="Fontdeparagrafimplicit1"/>
          <w:i/>
        </w:rPr>
      </w:pPr>
    </w:p>
    <w:p w14:paraId="7ECBE9BC" w14:textId="77777777" w:rsidR="004830ED" w:rsidRDefault="004830ED">
      <w:pPr>
        <w:rPr>
          <w:rStyle w:val="Fontdeparagrafimplicit1"/>
          <w:i/>
        </w:rPr>
      </w:pPr>
    </w:p>
    <w:p w14:paraId="6FD2BF4A" w14:textId="298B0D54" w:rsidR="004830ED" w:rsidRDefault="001F68B8">
      <w:pPr>
        <w:keepNext/>
        <w:jc w:val="center"/>
        <w:outlineLvl w:val="0"/>
        <w:rPr>
          <w:rStyle w:val="Fontdeparagrafimplicit1"/>
          <w:b/>
          <w:i/>
          <w:u w:val="single"/>
        </w:rPr>
      </w:pPr>
      <w:r>
        <w:rPr>
          <w:rStyle w:val="Fontdeparagrafimplicit1"/>
          <w:b/>
          <w:i/>
          <w:u w:val="single"/>
        </w:rPr>
        <w:t>DECIZIA CIVILĂ NR.</w:t>
      </w:r>
      <w:r w:rsidR="001D2736">
        <w:rPr>
          <w:rStyle w:val="Fontdeparagrafimplicit1"/>
          <w:b/>
          <w:i/>
          <w:u w:val="single"/>
        </w:rPr>
        <w:t>...</w:t>
      </w:r>
      <w:r>
        <w:rPr>
          <w:rStyle w:val="Fontdeparagrafimplicit1"/>
          <w:b/>
          <w:i/>
          <w:u w:val="single"/>
        </w:rPr>
        <w:t xml:space="preserve"> </w:t>
      </w:r>
    </w:p>
    <w:p w14:paraId="03016C9A" w14:textId="77777777" w:rsidR="004830ED" w:rsidRDefault="004830ED">
      <w:pPr>
        <w:keepNext/>
        <w:jc w:val="center"/>
        <w:outlineLvl w:val="0"/>
        <w:rPr>
          <w:rStyle w:val="Fontdeparagrafimplicit1"/>
          <w:b/>
          <w:i/>
          <w:u w:val="single"/>
        </w:rPr>
      </w:pPr>
    </w:p>
    <w:p w14:paraId="68B00704" w14:textId="4CE75900" w:rsidR="004830ED" w:rsidRDefault="001F68B8">
      <w:pPr>
        <w:jc w:val="center"/>
        <w:rPr>
          <w:rStyle w:val="Fontdeparagrafimplicit1"/>
          <w:b/>
          <w:i/>
        </w:rPr>
      </w:pPr>
      <w:r>
        <w:rPr>
          <w:rStyle w:val="Fontdeparagrafimplicit1"/>
          <w:b/>
          <w:i/>
        </w:rPr>
        <w:t xml:space="preserve">Şedinţa publică din </w:t>
      </w:r>
      <w:r w:rsidR="001D2736">
        <w:rPr>
          <w:rStyle w:val="Fontdeparagrafimplicit1"/>
          <w:b/>
          <w:i/>
        </w:rPr>
        <w:t>....</w:t>
      </w:r>
      <w:r>
        <w:rPr>
          <w:rStyle w:val="Fontdeparagrafimplicit1"/>
          <w:b/>
          <w:i/>
        </w:rPr>
        <w:t xml:space="preserve">  </w:t>
      </w:r>
    </w:p>
    <w:p w14:paraId="440A11B3" w14:textId="77777777" w:rsidR="004830ED" w:rsidRDefault="004830ED">
      <w:pPr>
        <w:jc w:val="center"/>
        <w:rPr>
          <w:rStyle w:val="Fontdeparagrafimplicit1"/>
          <w:b/>
          <w:i/>
        </w:rPr>
      </w:pPr>
    </w:p>
    <w:p w14:paraId="5155EA6D" w14:textId="326D10E6" w:rsidR="004830ED" w:rsidRDefault="001F68B8">
      <w:pPr>
        <w:ind w:left="2124" w:firstLine="708"/>
        <w:rPr>
          <w:rStyle w:val="Fontdeparagrafimplicit1"/>
          <w:b/>
          <w:i/>
        </w:rPr>
      </w:pPr>
      <w:r>
        <w:rPr>
          <w:rStyle w:val="Fontdeparagrafimplicit1"/>
          <w:b/>
          <w:i/>
        </w:rPr>
        <w:t xml:space="preserve">PREŞEDINTE: </w:t>
      </w:r>
      <w:r w:rsidR="001D2736">
        <w:rPr>
          <w:rStyle w:val="Fontdeparagrafimplicit1"/>
          <w:b/>
          <w:i/>
        </w:rPr>
        <w:t>A0011</w:t>
      </w:r>
    </w:p>
    <w:p w14:paraId="680F2EBD" w14:textId="21B97D63" w:rsidR="004830ED" w:rsidRDefault="001F68B8">
      <w:pPr>
        <w:ind w:left="2124" w:firstLine="708"/>
        <w:rPr>
          <w:rStyle w:val="Fontdeparagrafimplicit1"/>
          <w:b/>
          <w:i/>
        </w:rPr>
      </w:pPr>
      <w:r>
        <w:rPr>
          <w:rStyle w:val="Fontdeparagrafimplicit1"/>
          <w:b/>
          <w:i/>
        </w:rPr>
        <w:t xml:space="preserve">JUDECĂTOR: </w:t>
      </w:r>
      <w:r w:rsidR="001D2736">
        <w:rPr>
          <w:rStyle w:val="Fontdeparagrafimplicit1"/>
          <w:b/>
          <w:i/>
        </w:rPr>
        <w:t>...</w:t>
      </w:r>
      <w:r>
        <w:rPr>
          <w:rStyle w:val="Fontdeparagrafimplicit1"/>
          <w:b/>
          <w:i/>
        </w:rPr>
        <w:t xml:space="preserve">  </w:t>
      </w:r>
    </w:p>
    <w:p w14:paraId="2980EC04" w14:textId="0A269482" w:rsidR="004830ED" w:rsidRDefault="001F68B8">
      <w:pPr>
        <w:ind w:left="2124" w:firstLine="708"/>
        <w:rPr>
          <w:rStyle w:val="Fontdeparagrafimplicit1"/>
          <w:b/>
          <w:i/>
        </w:rPr>
      </w:pPr>
      <w:r>
        <w:rPr>
          <w:rStyle w:val="Fontdeparagrafimplicit1"/>
          <w:b/>
          <w:i/>
        </w:rPr>
        <w:t xml:space="preserve">GREFIER : </w:t>
      </w:r>
      <w:r w:rsidR="001D2736">
        <w:rPr>
          <w:rStyle w:val="Fontdeparagrafimplicit1"/>
          <w:b/>
          <w:i/>
        </w:rPr>
        <w:t>...</w:t>
      </w:r>
    </w:p>
    <w:p w14:paraId="51EB29BF" w14:textId="77777777" w:rsidR="004830ED" w:rsidRDefault="004830ED">
      <w:pPr>
        <w:ind w:left="2124" w:firstLine="708"/>
        <w:rPr>
          <w:rStyle w:val="Fontdeparagrafimplicit1"/>
          <w:b/>
          <w:i/>
        </w:rPr>
      </w:pPr>
    </w:p>
    <w:p w14:paraId="45AD6B7D" w14:textId="77777777" w:rsidR="004830ED" w:rsidRDefault="004830ED">
      <w:pPr>
        <w:ind w:left="2124" w:firstLine="708"/>
        <w:rPr>
          <w:rStyle w:val="Fontdeparagrafimplicit1"/>
          <w:b/>
          <w:i/>
        </w:rPr>
      </w:pPr>
    </w:p>
    <w:p w14:paraId="290171DA" w14:textId="5AC6FE21" w:rsidR="004830ED" w:rsidRDefault="001F68B8">
      <w:pPr>
        <w:ind w:firstLine="708"/>
        <w:jc w:val="both"/>
      </w:pPr>
      <w:r>
        <w:t xml:space="preserve">Pe rol fiind pronunţarea asupra apelurilor civile declarate de apelanta reclamantă </w:t>
      </w:r>
      <w:r>
        <w:rPr>
          <w:rStyle w:val="Fontdeparagrafimplicit1"/>
          <w:b/>
        </w:rPr>
        <w:t xml:space="preserve">SC </w:t>
      </w:r>
      <w:r w:rsidR="001D2736">
        <w:rPr>
          <w:rStyle w:val="Fontdeparagrafimplicit1"/>
          <w:b/>
        </w:rPr>
        <w:t>ASM</w:t>
      </w:r>
      <w:r>
        <w:rPr>
          <w:rStyle w:val="Fontdeparagrafimplicit1"/>
          <w:b/>
        </w:rPr>
        <w:t xml:space="preserve"> SA</w:t>
      </w:r>
      <w:r>
        <w:t xml:space="preserve"> </w:t>
      </w:r>
      <w:r w:rsidR="001D2736">
        <w:t>Z</w:t>
      </w:r>
      <w:r>
        <w:t xml:space="preserve">, cu sediul procedural ales la Cabinet de Avocat </w:t>
      </w:r>
      <w:r w:rsidR="001D2736">
        <w:t>...</w:t>
      </w:r>
      <w:r>
        <w:t xml:space="preserve"> SPARL, în </w:t>
      </w:r>
      <w:r w:rsidR="001D2736">
        <w:t>Z</w:t>
      </w:r>
      <w:r>
        <w:t xml:space="preserve">, str. </w:t>
      </w:r>
      <w:r w:rsidR="001D2736">
        <w:t>...</w:t>
      </w:r>
      <w:r>
        <w:t xml:space="preserve">, nr. </w:t>
      </w:r>
      <w:r w:rsidR="001D2736">
        <w:t>...</w:t>
      </w:r>
      <w:r>
        <w:t xml:space="preserve">, judeţul </w:t>
      </w:r>
      <w:r w:rsidR="001D2736">
        <w:t>Z</w:t>
      </w:r>
      <w:r>
        <w:t xml:space="preserve"> și de  apelantul pârât </w:t>
      </w:r>
      <w:r w:rsidR="001D2736">
        <w:rPr>
          <w:rStyle w:val="Fontdeparagrafimplicit1"/>
          <w:b/>
        </w:rPr>
        <w:t>SI</w:t>
      </w:r>
      <w:r>
        <w:t xml:space="preserve">, prin Sindicatul </w:t>
      </w:r>
      <w:r w:rsidR="003F438D">
        <w:t>L C</w:t>
      </w:r>
      <w:r>
        <w:t xml:space="preserve"> </w:t>
      </w:r>
      <w:r w:rsidR="001D2736">
        <w:t>Z</w:t>
      </w:r>
      <w:r>
        <w:t xml:space="preserve">, cu dom. ales la sediul secundar al Cabinetului de avocat </w:t>
      </w:r>
      <w:r w:rsidR="001D2736">
        <w:t>...</w:t>
      </w:r>
      <w:r>
        <w:t xml:space="preserve"> situat în mun. </w:t>
      </w:r>
      <w:r w:rsidR="001D2736">
        <w:t>Z</w:t>
      </w:r>
      <w:r>
        <w:t xml:space="preserve">, str. </w:t>
      </w:r>
      <w:r w:rsidR="001D2736">
        <w:t>...</w:t>
      </w:r>
      <w:r>
        <w:t>, nr.</w:t>
      </w:r>
      <w:r w:rsidR="001D2736">
        <w:t>...</w:t>
      </w:r>
      <w:r>
        <w:t>, ap.</w:t>
      </w:r>
      <w:r w:rsidR="001D2736">
        <w:t>...</w:t>
      </w:r>
      <w:r>
        <w:t xml:space="preserve">, judeţul </w:t>
      </w:r>
      <w:r w:rsidR="001D2736">
        <w:t>Z</w:t>
      </w:r>
      <w:r>
        <w:t xml:space="preserve">, împotriva sentinței civile nr. </w:t>
      </w:r>
      <w:r w:rsidR="001D2736">
        <w:t>...</w:t>
      </w:r>
      <w:r>
        <w:t xml:space="preserve"> pronunţată de Tribunalul </w:t>
      </w:r>
      <w:r w:rsidR="001D2736">
        <w:t>Z</w:t>
      </w:r>
      <w:r>
        <w:t xml:space="preserve"> în data de </w:t>
      </w:r>
      <w:r w:rsidR="001D2736">
        <w:t>...</w:t>
      </w:r>
      <w:r>
        <w:t xml:space="preserve">2020, având ca obiect nulitate act. </w:t>
      </w:r>
    </w:p>
    <w:p w14:paraId="37799110" w14:textId="3CA035D7" w:rsidR="004830ED" w:rsidRDefault="001F68B8">
      <w:pPr>
        <w:ind w:firstLine="708"/>
        <w:jc w:val="both"/>
      </w:pPr>
      <w:r>
        <w:t xml:space="preserve">Se constată că dezbaterea în fond a cauzei a avut loc în şedinţa publică din data de </w:t>
      </w:r>
      <w:r w:rsidR="001D2736">
        <w:t>...</w:t>
      </w:r>
      <w:r>
        <w:t xml:space="preserve">2020, când părţile prezente au formulat concluzii ce au fost consemnate în încheierea de şedinţă din acea zi, încheiere ce face parte integrantă din prezenta decizie şi când a fost amânată pronunţarea hotărârii pentru data de azi. </w:t>
      </w:r>
    </w:p>
    <w:p w14:paraId="4DBED69F" w14:textId="77777777" w:rsidR="004830ED" w:rsidRDefault="004830ED">
      <w:pPr>
        <w:ind w:firstLine="708"/>
        <w:jc w:val="both"/>
      </w:pPr>
    </w:p>
    <w:p w14:paraId="2D3C7A5D" w14:textId="77777777" w:rsidR="004830ED" w:rsidRDefault="001F68B8">
      <w:pPr>
        <w:jc w:val="center"/>
        <w:rPr>
          <w:rStyle w:val="Fontdeparagrafimplicit1"/>
          <w:b/>
          <w:i/>
        </w:rPr>
      </w:pPr>
      <w:r>
        <w:rPr>
          <w:rStyle w:val="Fontdeparagrafimplicit1"/>
          <w:b/>
          <w:i/>
        </w:rPr>
        <w:t xml:space="preserve">CURTEA DE APEL </w:t>
      </w:r>
    </w:p>
    <w:p w14:paraId="042F0B25" w14:textId="77777777" w:rsidR="004830ED" w:rsidRDefault="001F68B8">
      <w:pPr>
        <w:jc w:val="center"/>
        <w:rPr>
          <w:rStyle w:val="Fontdeparagrafimplicit1"/>
          <w:b/>
          <w:i/>
        </w:rPr>
      </w:pPr>
      <w:r>
        <w:rPr>
          <w:rStyle w:val="Fontdeparagrafimplicit1"/>
          <w:b/>
          <w:i/>
        </w:rPr>
        <w:t xml:space="preserve">D E L I B E R Â N D : </w:t>
      </w:r>
    </w:p>
    <w:p w14:paraId="1BCB3740" w14:textId="77777777" w:rsidR="004830ED" w:rsidRDefault="004830ED">
      <w:pPr>
        <w:jc w:val="center"/>
        <w:rPr>
          <w:rStyle w:val="Fontdeparagrafimplicit1"/>
          <w:b/>
          <w:i/>
        </w:rPr>
      </w:pPr>
    </w:p>
    <w:p w14:paraId="5E135D8D" w14:textId="77777777" w:rsidR="004830ED" w:rsidRDefault="001F68B8">
      <w:pPr>
        <w:ind w:firstLine="708"/>
        <w:jc w:val="both"/>
      </w:pPr>
      <w:r>
        <w:t xml:space="preserve">Asupra apelurilor civile de față, constată următoarele : </w:t>
      </w:r>
    </w:p>
    <w:p w14:paraId="27F8D91E" w14:textId="74BC8C63" w:rsidR="004830ED" w:rsidRDefault="001F68B8">
      <w:pPr>
        <w:ind w:firstLine="709"/>
        <w:jc w:val="both"/>
      </w:pPr>
      <w:r>
        <w:t xml:space="preserve">Prin sentința civilă nr. </w:t>
      </w:r>
      <w:r w:rsidR="001D2736">
        <w:t>...</w:t>
      </w:r>
      <w:r>
        <w:t xml:space="preserve"> din </w:t>
      </w:r>
      <w:r w:rsidR="001D2736">
        <w:t>...</w:t>
      </w:r>
      <w:r>
        <w:t xml:space="preserve"> 2020 pronunţată</w:t>
      </w:r>
      <w:r>
        <w:t xml:space="preserve"> de Tribunalul </w:t>
      </w:r>
      <w:r w:rsidR="001D2736">
        <w:t>Z</w:t>
      </w:r>
      <w:r>
        <w:t>, a fost respinsă excepţia inadmisibilităţii invocată de pârât.</w:t>
      </w:r>
    </w:p>
    <w:p w14:paraId="10AE2726" w14:textId="77777777" w:rsidR="004830ED" w:rsidRDefault="001F68B8">
      <w:pPr>
        <w:ind w:firstLine="709"/>
        <w:jc w:val="both"/>
      </w:pPr>
      <w:r>
        <w:t>A fost respinsă excepţia lipsei de interes invocată de pârât.</w:t>
      </w:r>
    </w:p>
    <w:p w14:paraId="042088B7" w14:textId="77777777" w:rsidR="004830ED" w:rsidRDefault="001F68B8">
      <w:pPr>
        <w:ind w:firstLine="709"/>
        <w:jc w:val="both"/>
      </w:pPr>
      <w:r>
        <w:t>A fost respinsă excepţia prescripţiei dreptului material la acţiune invocată de pârât.</w:t>
      </w:r>
    </w:p>
    <w:p w14:paraId="6F2998E3" w14:textId="3AE32624" w:rsidR="004830ED" w:rsidRDefault="001F68B8">
      <w:pPr>
        <w:ind w:firstLine="709"/>
        <w:jc w:val="both"/>
      </w:pPr>
      <w:r>
        <w:t>A fost admisă în parte acţiunea reclamantei SC</w:t>
      </w:r>
      <w:r>
        <w:rPr>
          <w:rStyle w:val="Fontdeparagrafimplicit1"/>
          <w:b/>
        </w:rPr>
        <w:t xml:space="preserve"> </w:t>
      </w:r>
      <w:r w:rsidR="001D2736">
        <w:t>ASM</w:t>
      </w:r>
      <w:r>
        <w:rPr>
          <w:rStyle w:val="Fontdeparagrafimplicit1"/>
          <w:b/>
        </w:rPr>
        <w:t xml:space="preserve"> </w:t>
      </w:r>
      <w:r>
        <w:t xml:space="preserve">SA,  în contradictoriu cu pârâtul </w:t>
      </w:r>
      <w:r w:rsidR="001D2736">
        <w:t>SI</w:t>
      </w:r>
      <w:r>
        <w:t>, având ca obiect nulitate act şi, în consecinţă:</w:t>
      </w:r>
    </w:p>
    <w:p w14:paraId="29DB3673" w14:textId="77777777" w:rsidR="004830ED" w:rsidRDefault="001F68B8">
      <w:pPr>
        <w:ind w:firstLine="709"/>
        <w:jc w:val="both"/>
      </w:pPr>
      <w:r>
        <w:t>S-a constatat nulitatea actului adiţional indicat în cerere.</w:t>
      </w:r>
    </w:p>
    <w:p w14:paraId="59C4A887" w14:textId="77777777" w:rsidR="004830ED" w:rsidRDefault="001F68B8">
      <w:pPr>
        <w:ind w:firstLine="709"/>
        <w:jc w:val="both"/>
      </w:pPr>
      <w:r>
        <w:t>Au fost respinse celelalte pretenţii ale reclamantei.</w:t>
      </w:r>
    </w:p>
    <w:p w14:paraId="68821935" w14:textId="77777777" w:rsidR="004830ED" w:rsidRDefault="001F68B8">
      <w:pPr>
        <w:ind w:firstLine="709"/>
        <w:jc w:val="both"/>
      </w:pPr>
      <w:r>
        <w:t>A fost respinsă cererea reconvenţională.</w:t>
      </w:r>
    </w:p>
    <w:p w14:paraId="620E021C" w14:textId="77777777" w:rsidR="004830ED" w:rsidRDefault="001F68B8">
      <w:pPr>
        <w:ind w:firstLine="709"/>
        <w:jc w:val="both"/>
      </w:pPr>
      <w:r>
        <w:t>Au fost compensate cheltuielile de judecată.</w:t>
      </w:r>
    </w:p>
    <w:p w14:paraId="4E73CFAD" w14:textId="77777777" w:rsidR="004830ED" w:rsidRDefault="001F68B8">
      <w:pPr>
        <w:ind w:firstLine="709"/>
        <w:jc w:val="both"/>
      </w:pPr>
      <w:r>
        <w:t>Pentru a pronunţa astfel, tribunalul a reţinut următoarele :</w:t>
      </w:r>
    </w:p>
    <w:p w14:paraId="4BF30214" w14:textId="25B97881" w:rsidR="004830ED" w:rsidRDefault="001F68B8">
      <w:pPr>
        <w:ind w:firstLine="708"/>
        <w:jc w:val="both"/>
      </w:pPr>
      <w:r>
        <w:t xml:space="preserve">Potrivit contractului individual de muncă înregistrat sub nr. </w:t>
      </w:r>
      <w:r w:rsidR="001D2736">
        <w:t>...</w:t>
      </w:r>
      <w:r>
        <w:t xml:space="preserve">/29.10.2004 şi a actelor adiţionale subsecvente, pârâtul este angajatul reclamantei. În această calitate, în anul 2016, a beneficiat de diverse sume de bani, achitate de către reclamantă, cu titlu de prime ocazionale şi majorări salariale. Acestea din urmă au fost acordate ca urmare a încheierii Actului adiţional nr. </w:t>
      </w:r>
      <w:r w:rsidR="001D2736">
        <w:t>....</w:t>
      </w:r>
      <w:r>
        <w:t>/01.02.2016 la contractul individual de muncă, act a cărui nulitate se solicită a fi constatată. Primele ocazionale au fost acordate în temeiul unei clauze cuprinse în contractul colecti</w:t>
      </w:r>
      <w:r>
        <w:t>v de muncă la nivel de unitate, conform susţinerilor părţilor.</w:t>
      </w:r>
    </w:p>
    <w:p w14:paraId="44A39820" w14:textId="3AF9C15B" w:rsidR="004830ED" w:rsidRDefault="001F68B8">
      <w:pPr>
        <w:ind w:firstLine="708"/>
        <w:jc w:val="both"/>
      </w:pPr>
      <w:r>
        <w:lastRenderedPageBreak/>
        <w:t xml:space="preserve">Ca urmare a unui control efectuat de către o echipă din cadrul ANAF – DGRFP </w:t>
      </w:r>
      <w:r w:rsidR="001D2736">
        <w:t>C</w:t>
      </w:r>
      <w:r>
        <w:t xml:space="preserve">, s-a constatat că reclamanta ar fi achitat sumele în discuţie cu încălcarea dispoziţiilor legale. Constatările sunt cuprinse în Dispoziţia obligatorie nr. </w:t>
      </w:r>
      <w:r w:rsidR="001D2736">
        <w:t>..</w:t>
      </w:r>
      <w:r>
        <w:t xml:space="preserve"> </w:t>
      </w:r>
      <w:r w:rsidR="001D2736">
        <w:t>...</w:t>
      </w:r>
      <w:r>
        <w:t xml:space="preserve">/24.05.2017 şi Dispoziţia obligatorie nr. </w:t>
      </w:r>
      <w:r w:rsidR="001D2736">
        <w:t>..</w:t>
      </w:r>
      <w:r>
        <w:t xml:space="preserve"> </w:t>
      </w:r>
      <w:r w:rsidR="001D2736">
        <w:t>...</w:t>
      </w:r>
      <w:r>
        <w:t xml:space="preserve">/21/09/2018, punctele 4.1, dispunându-se recuperarea sumelor achitate nelegal. În temeiul art. 21 alin. 5 din OUG nr. 94/2011 privind Codul de procedură fiscală, în vigoare la data respectivă, măsurile stabilite prin dispoziţiile obligatorii sunt, de la data comunicării lor, obligatorii. Dispoziţiile respective au fost contestate de către reclamantă la instanţa de contencios administrativ competentă, contestaţiile fiind înregistrate sub dosar nr. </w:t>
      </w:r>
      <w:r w:rsidR="001D2736">
        <w:t>....</w:t>
      </w:r>
      <w:r>
        <w:t xml:space="preserve"> şi </w:t>
      </w:r>
      <w:r w:rsidR="001D2736">
        <w:t>....</w:t>
      </w:r>
      <w:r>
        <w:t xml:space="preserve"> ale Curţii de Apel </w:t>
      </w:r>
      <w:r w:rsidR="009F4F4A">
        <w:t>X</w:t>
      </w:r>
      <w:r>
        <w:t>.</w:t>
      </w:r>
    </w:p>
    <w:p w14:paraId="530FDBD1" w14:textId="2BEB0FE1" w:rsidR="004830ED" w:rsidRDefault="001F68B8">
      <w:pPr>
        <w:ind w:firstLine="708"/>
        <w:jc w:val="both"/>
      </w:pPr>
      <w:r>
        <w:t xml:space="preserve">În vederea recuperării sumelor plătite pârâtului şi cuprinse în dispoziţiile de control, acestuia i s-a comunicat Notificarea nr. </w:t>
      </w:r>
      <w:r w:rsidR="001D2736">
        <w:t>...</w:t>
      </w:r>
      <w:r>
        <w:t>/18.01/2019, prin care i s-a solicitat restituirea sumelor nete încasate în cursul anului 2016 cu titlu de primă ocazională şi cheltuieli de natură salarială, până la data de 31.01.2019. În notificare se precizează expres că, în cazul în care nu se vor restitui sumele, la expirarea termenului stabilit în acest sens, pârâtul va fi considerat de drept în întârziere iar notificarea întrerupe termenul de prescripţie în condiţiile art. 2540 şi art. 2537 alin. 4 C.civ. Notificarea a fost primită de către pârât</w:t>
      </w:r>
      <w:r>
        <w:t xml:space="preserve"> la data de 23.01.2019, pe exemplarul comunicat acesta, sub semnătură, declarând în scris că refuză restituirea sumei.</w:t>
      </w:r>
    </w:p>
    <w:p w14:paraId="2270B2C0" w14:textId="77777777" w:rsidR="004830ED" w:rsidRDefault="001F68B8">
      <w:pPr>
        <w:ind w:firstLine="708"/>
        <w:jc w:val="both"/>
      </w:pPr>
      <w:r>
        <w:t>S-a reţinut că excepţia inadmisibilităţii acţiunii, determinată de prematuritatea promovării acesteia, este neîntemeiată, că în susţinerea excepţiei au fost aduse mai multe argumente care nu pot fi acceptate de către instanţa de judecată. Astfel, un prim argument este acela că, înainte de promovarea unei acţiuni în justiţie în constatarea nulităţii absolute a unei clauze cuprinse în contractul individual de muncă ori în cel colectiv, reclamanta, în mod necesar, în temeiul dispoziţiilor art. 57 alin. 6 şi 7,</w:t>
      </w:r>
      <w:r>
        <w:t xml:space="preserve"> trebuia să iniţieze demersuri pentru modificarea contractului individual precum şi pentru modificarea amiabilă a salariului brut. </w:t>
      </w:r>
    </w:p>
    <w:p w14:paraId="588630B6" w14:textId="77777777" w:rsidR="004830ED" w:rsidRDefault="001F68B8">
      <w:pPr>
        <w:ind w:firstLine="708"/>
        <w:jc w:val="both"/>
      </w:pPr>
      <w:r>
        <w:t xml:space="preserve">Raportat la această susţinere, instanţa a reţinut că reclamanta tinde la recuperarea unei sume de bani acordată în baza unui act adiţional care şi-a produs efectele şi se încearcă înlăturarea acestor efecte precum şi a unei clauze din contractul colectiv de muncă. Modificarea clauzelor presupune producerea de efecte doar pentru viitor, după intrarea în vigoare a modificării. </w:t>
      </w:r>
    </w:p>
    <w:p w14:paraId="2F07A277" w14:textId="77777777" w:rsidR="004830ED" w:rsidRDefault="001F68B8">
      <w:pPr>
        <w:ind w:firstLine="708"/>
        <w:jc w:val="both"/>
      </w:pPr>
      <w:r>
        <w:t>Art. 57 alin. 6 din Codul muncii dispune: „Constatarea nulităţii şi stabilirea, potrivit legii, a efectelor acesteia se pot face prin acordul părţilor” iar alin. 7 „Dacă părţile nu se înţeleg, nulitatea se pronunţă de către instanţa judecătorească.” Textul menţionat nu prevede obligativitatea iniţierii concilierii şi nu este reglementată nicio sancţiune aplicabilă în cazul omiterii unor astfel de demersuri. Pe de altă parte, chiar dacă în notificarea de plată nu se face nicio referire la nulitatea clauzei c</w:t>
      </w:r>
      <w:r>
        <w:t xml:space="preserve">ontractuale, este neechivoc refuzul pârâtului în ceea ce priveşte restituirea sumelor încasate în baza acestora, astfel se poate prezuma că nu este de acord nici cu declararea nulităţii clauzelor în temeiul cărora s-au acordat. Chiar şi poziţia procesuală a acestuia, aceia prin care se solicită respingerea acţiunii, este un argument în susţinerea prezumţiei. </w:t>
      </w:r>
    </w:p>
    <w:p w14:paraId="52F07BBB" w14:textId="77777777" w:rsidR="004830ED" w:rsidRDefault="001F68B8">
      <w:pPr>
        <w:ind w:firstLine="708"/>
        <w:jc w:val="both"/>
      </w:pPr>
      <w:r>
        <w:t xml:space="preserve">S-a mai afirmat că nu se poate pretinde plata nedatorată a unei sume de bani câtă vreme nu s-a constatat nulitatea clauzei contractuale. </w:t>
      </w:r>
    </w:p>
    <w:p w14:paraId="6EC7A03A" w14:textId="77777777" w:rsidR="004830ED" w:rsidRDefault="001F68B8">
      <w:pPr>
        <w:ind w:firstLine="708"/>
        <w:jc w:val="both"/>
      </w:pPr>
      <w:r>
        <w:t>Nici acest argument nu poate fi reţinut. Prin cererea de chemare în judecată reclamanta a formulat o astfel de cerere în ceea ce priveşte majorările salariale, solicitând constatarea nulităţii actului adiţional în temeiul căruia au fost acordate. Premiile ocazionale ce se solicită a fi restituite, cu privire la acestea, deşi nu solicită anularea clauzei din contractul colectiv de muncă, formulează apărări pe fondul acordării, în sensul că nu au fost stabilite criteriile de acordare, astfel cum se prevede în</w:t>
      </w:r>
      <w:r>
        <w:t xml:space="preserve"> clauza contractuală.</w:t>
      </w:r>
    </w:p>
    <w:p w14:paraId="7B5AD577" w14:textId="77777777" w:rsidR="004830ED" w:rsidRDefault="001F68B8">
      <w:pPr>
        <w:ind w:firstLine="708"/>
        <w:jc w:val="both"/>
      </w:pPr>
      <w:r>
        <w:t xml:space="preserve">Un alt argument invocat în sensul că inadmisibilitatea este dată şi din perspectiva dispoziţiilor art. 2 al Legii nr. 78/2018 privind exonerarea personalului plătit din fondurile publice de la plata unor sume reprezentând venituri de natură salarială, potrivit  acestuia, „Se aprobă exonerarea de la plată pentru sumele reprezentând venituri de natură salarială încasate în </w:t>
      </w:r>
      <w:r>
        <w:lastRenderedPageBreak/>
        <w:t>temeiul unor acte administrative sau clauze ale contractelor/acordurilor colective de muncă în vigoare la data plăţii acestor drepturi, sume considerate a fi încasate nelegal şi pe care personalul prevăzut la art. 1 trebuie să le restituie drept consecinţă a constatării de către Curtea de Conturi sau alte structuri/instituţii cu atribuţii de control a unor prejudicii.</w:t>
      </w:r>
    </w:p>
    <w:p w14:paraId="66BC34EF" w14:textId="77777777" w:rsidR="004830ED" w:rsidRDefault="001F68B8">
      <w:pPr>
        <w:jc w:val="both"/>
      </w:pPr>
      <w:r>
        <w:t xml:space="preserve">    </w:t>
      </w:r>
      <w:r>
        <w:tab/>
        <w:t>(2) Sumele recuperate până la data intrării în vigoare a prezentei legi, ca urmare a deciziilor prevăzute la alin. (1), nu se restituie.</w:t>
      </w:r>
    </w:p>
    <w:p w14:paraId="5D4794A8" w14:textId="77777777" w:rsidR="004830ED" w:rsidRDefault="001F68B8">
      <w:pPr>
        <w:jc w:val="both"/>
      </w:pPr>
      <w:r>
        <w:t xml:space="preserve">    </w:t>
      </w:r>
      <w:r>
        <w:tab/>
        <w:t>(3) Se exonerează de la plată şi impozitul pe venit, contribuţiile sociale şi obligaţiile fiscale accesorii drepturilor de natură salarială prevăzute la alin. (1), consecinţă a constatării Curţii de Conturi sau a altor structuri/instituţii cu atribuţii de control a unor prejudicii, atât pentru salariaţi, cât şi pentru angajatorii acestora.”</w:t>
      </w:r>
    </w:p>
    <w:p w14:paraId="1E1ED716" w14:textId="77777777" w:rsidR="004830ED" w:rsidRDefault="001F68B8">
      <w:pPr>
        <w:jc w:val="both"/>
      </w:pPr>
      <w:r>
        <w:tab/>
        <w:t xml:space="preserve">Instanţa de fond a reţinut că dispoziţiile precitate trebuie interpretate în strânsă legătură cu cele ale art. 1 întrucât acest din urmă text circumscrie sfera salariaţilor cărora li se aplică  şi anume „Prezenta lege se aplică personalului ale cărui venituri de natură salarială au fost stabilite în baza actelor normative privind salarizarea personalului plătit din fonduri publice aplicabile anterior intrării în vigoare a prezentei legi.” Deci, aşa-zisa amnistie fiscală reglementată prin Legea nr. 78/2018 </w:t>
      </w:r>
      <w:r>
        <w:t>s-a aplicat exclusiv salariaţilor plătiţi din fonduri publice şi ale căror salarii au fost stabilite prin legea de salarizare a acestei categorii de personal. Salariul pârâtului nu se încadrează în această categorie iar susţinerea potrivit căreia ar beneficia de amnistie întrucât şi salariul său este stabilit în baza unui act normativ, respectiv a Codului muncii, sunt cel puţin străine de obiectul cauzei.</w:t>
      </w:r>
    </w:p>
    <w:p w14:paraId="202E299B" w14:textId="77777777" w:rsidR="004830ED" w:rsidRDefault="001F68B8">
      <w:pPr>
        <w:ind w:firstLine="708"/>
        <w:jc w:val="both"/>
      </w:pPr>
      <w:r>
        <w:t xml:space="preserve">A fost apreciată ca neîntemeiată şi </w:t>
      </w:r>
      <w:r>
        <w:rPr>
          <w:rStyle w:val="Fontdeparagrafimplicit1"/>
          <w:u w:val="single"/>
        </w:rPr>
        <w:t>excepţia lipsei interesului juridic</w:t>
      </w:r>
      <w:r>
        <w:t>. considerentele în baza cărora s-a respins  excepţia inadmisibilităţii, prin cererea de chemare în judecată s-a solicitat  declararea nulitaţii actului adiţional ce a stat la baza majorărilor salariale şi au fost formulate apărări pe fondul acordării premiilor ocazionale. În ceea ce priveşte creanţa, s-a reţinut că  este certă, lichidă şi exigibilă, fiecărui salariat fiindu-i achitate sumele de bani într-un cuantum concret care rezultă din statele de plată astfel încât nu</w:t>
      </w:r>
      <w:r>
        <w:t xml:space="preserve"> era necesară o cuantificare a acestora prin actul de control sau printr-un alt act al reclamantei, ulterior controlului. Ca atare,  s-a reţinut că interesul de a acţiona al reclamantei există şi îndeplineşte cerinţele art. 33 din Codul de procedură civilă câtă vreme a achitat o sumă de bani concretă pârâtului, plata fiind considerată nelegală de către organele de control competente, instituindu-se în sarcina sa obligaţia de recuperare şi restabilire a legalităţii. </w:t>
      </w:r>
    </w:p>
    <w:p w14:paraId="25FEE525" w14:textId="77777777" w:rsidR="004830ED" w:rsidRDefault="001F68B8">
      <w:pPr>
        <w:ind w:firstLine="708"/>
        <w:jc w:val="both"/>
      </w:pPr>
      <w:r>
        <w:t>S-a respins  şi excepţia prescripţiei dreptului material la acţiune, reţinându-se că în esenţă, obiectul litigiului îl constituie răspunderea patrimonială a salariatului, constând în restituirea unei sume de bani achitată de către angajator şi care s-ar constitui într-o plată nedatorată. Fiind vorba de o răspundere patrimonială a salariatului, dispoziţiile aplicabile sunt cele ale legislaţiei muncii. Termenul de prescripţie în această materie este de trei ani iar momentul de început al acestuia trebuie stab</w:t>
      </w:r>
      <w:r>
        <w:t xml:space="preserve">ilit având în vedere dispoziţiile art. 211 din Legea nr. 62/2011 a dialogului social, astfel cum a statuat Înalta Curte de Casaţie şi Justiţie, prin Decizia nr. 19/2019, dată în interesul legii. Potrivit dispoziţiilor art. 211 alin. 1 lit. c) din actul normativ menţionat “plata despăgubirilor pentru pagubele cauzate şi restituirea unor sume care au format obiectul unor plăţi nedatorate pot fi cerute în termen de 3 ani de la data producerii pagubei.” </w:t>
      </w:r>
    </w:p>
    <w:p w14:paraId="3EA97B02" w14:textId="6FF0DB0C" w:rsidR="004830ED" w:rsidRDefault="001F68B8">
      <w:pPr>
        <w:jc w:val="both"/>
      </w:pPr>
      <w:r>
        <w:tab/>
        <w:t xml:space="preserve">În speţă, momentul producerii pagubei este data la care s-a făcut efectiv plata de către reclamantă, respectiv la data virării sumelor de bani în contul pârâtului. Acest moment se situează în anul 2016, chiar dacă plăţile vizează anul 2015. Teoretic, faţă de anul 2016, termenul de prescripţie începând să curgă pentru fiecare plată la data efectuării acesteia, cererea de restituire pentru fiecare plată în parte, trebuia promovată până la finele anului 2019. Instanţa constată că în cauză </w:t>
      </w:r>
      <w:r>
        <w:rPr>
          <w:rStyle w:val="Fontdeparagrafimplicit1"/>
          <w:u w:val="single"/>
        </w:rPr>
        <w:t xml:space="preserve">termenul de prescripţie a fost întrerupt ca urmare a comunicării de către reclamantă a Notificării nr. </w:t>
      </w:r>
      <w:r w:rsidR="001D2736">
        <w:t>....</w:t>
      </w:r>
      <w:r>
        <w:t>/18.01/2019</w:t>
      </w:r>
      <w:r>
        <w:rPr>
          <w:rStyle w:val="Fontdeparagrafimplicit1"/>
          <w:u w:val="single"/>
        </w:rPr>
        <w:t>, notificare ce reprezintă act de punere în întârziere a pârâtului.</w:t>
      </w:r>
      <w:r>
        <w:t xml:space="preserve"> În acest sens, s-a reţinut că devin aplicabile dispoziţiile art. 2537 alin. 1 pct. 4 Cod civil potrivit cărora prescripţia se întrerupe “prin orice act prin care cel în folosul căruia curge </w:t>
      </w:r>
      <w:r>
        <w:lastRenderedPageBreak/>
        <w:t>este pus în întârziere” precum şi ale art. 2540 potrivit cărora “Prescripţia este întreruptă prin punerea în întârziere a celui în folos</w:t>
      </w:r>
      <w:r>
        <w:t xml:space="preserve">ul căruia curge prescripţia numai dacă aceasta este urmată de chemarea lui în judecată în termen de 6 luni de la data punerii în întârziere.” În cauză, pârâtul a fost notificat la data de 23.01.2019 iar cererea de chemare în judecată a fost înregistrată la data de 27.05.2019, deci înăuntrul termenului de 6 luni la care se referă textul menţionat. </w:t>
      </w:r>
    </w:p>
    <w:p w14:paraId="06E0C8E8" w14:textId="77777777" w:rsidR="004830ED" w:rsidRDefault="001F68B8">
      <w:pPr>
        <w:jc w:val="both"/>
      </w:pPr>
      <w:r>
        <w:tab/>
        <w:t>Susţinerea pârâtului că, în materia dreptului muncii, prescripţiei nu i-ar fi aplicabile dispoziţiile Codului civil reţinute mai sus şi că în această materie legiuitorul nu ar fi reglementat cauze de întrerupere, nu pot fi acceptate întrucât dispoziţiile legislaţiei muncii sunt completate cu cele de drept comun, respectiv ale legislaţiei civile. Mai mult, termenul de 3 ani fiind reglementat ca termen de prescripţie, este susceptibil de întrerupere şi suspendare iar în tăcerea legislaţiei muncii, cauzele su</w:t>
      </w:r>
      <w:r>
        <w:t>nt cele ale dreptului comun în materie, respectiv ale Codului civil.</w:t>
      </w:r>
    </w:p>
    <w:p w14:paraId="78882333" w14:textId="77777777" w:rsidR="004830ED" w:rsidRDefault="001F68B8">
      <w:pPr>
        <w:jc w:val="both"/>
      </w:pPr>
      <w:r>
        <w:tab/>
        <w:t xml:space="preserve">Pe fondul cererii,  s-a apreciat că aceasta se-a impus a fi admisă doar în parte. </w:t>
      </w:r>
    </w:p>
    <w:p w14:paraId="19BB6134" w14:textId="77777777" w:rsidR="004830ED" w:rsidRDefault="001F68B8">
      <w:pPr>
        <w:ind w:firstLine="708"/>
        <w:jc w:val="both"/>
      </w:pPr>
      <w:r>
        <w:t>Actul adiţional în baza căruia au fost acordate majorările salariale s-a reţinut că este lovit de nulitate întrucât a fost încheiat de către părţi cu încălcarea dispoziţiilor legale.</w:t>
      </w:r>
    </w:p>
    <w:p w14:paraId="448CBD2A" w14:textId="77777777" w:rsidR="004830ED" w:rsidRDefault="001F68B8">
      <w:pPr>
        <w:jc w:val="both"/>
      </w:pPr>
      <w:r>
        <w:tab/>
      </w:r>
      <w:r>
        <w:t xml:space="preserve">Potrivit art. 54 alin. 6 din Legea nr. 339/2015 a bugetului de stat pe anul 2016 precum şi ale art. 9 alin. 3 din O.G. nr. 26/2013 privind întărirea disciplinei financiare la nivelul unor operatori economici la care statul sau unităţile administrativ-teritoriale sunt acţionari unici ori majoritari sau deţin direct ori indirect o participaţie majoritară, câştigul mediu brut pe salariat poate creşte, printre altele, doar în situaţia creşterii productivităţii muncii. </w:t>
      </w:r>
    </w:p>
    <w:p w14:paraId="6641D3B7" w14:textId="4F300C2D" w:rsidR="004830ED" w:rsidRDefault="001F68B8">
      <w:pPr>
        <w:ind w:firstLine="708"/>
        <w:jc w:val="both"/>
      </w:pPr>
      <w:r>
        <w:t xml:space="preserve">S-a arătat că rezultă din actele organelor de control din cadrul ANAF, respectiv din Dispoziţiile nr. </w:t>
      </w:r>
      <w:r w:rsidR="001D2736">
        <w:t>....</w:t>
      </w:r>
      <w:r>
        <w:t xml:space="preserve">/24.05.2017 şi nr. </w:t>
      </w:r>
      <w:r w:rsidR="001D2736">
        <w:t>....</w:t>
      </w:r>
      <w:r>
        <w:t>/21/09/2018, punctele 4.1, în perioada de referinţă, productivitatea muncii  a scăzut în ceea ce priveşte activitatea reclamantei. Prin actele de control menţionate s-a stabilit că reclamanta, în cursul anului 2016 a efectuat cheltuieli de natură salarială peste limita legală şi a dispus recuperarea acestora. Actele de control au fost contestate de către reclamantă la instanţa de contencios administrativ competentă, însă, contestaţia a fost respinsă. Ca atare, s-a stabilit încălca</w:t>
      </w:r>
      <w:r>
        <w:t>rea de către aceasta a dispoziţiilor legale menţionate, actul adiţional în temeiul căruia s-a făcut plata, fiind, la rândul lui, încheiat cu încălcarea acestor dispoziţii, astfel că se impune constatarea nulităţii acestuia. Ca temei al nulităţii, instanţa mai reţine incidenţa dispoziţiilor art. 57 alin. 4 şi alin. 7 din Codul muncii.</w:t>
      </w:r>
    </w:p>
    <w:p w14:paraId="0663FD0F" w14:textId="77777777" w:rsidR="004830ED" w:rsidRDefault="001F68B8">
      <w:pPr>
        <w:ind w:firstLine="708"/>
        <w:jc w:val="both"/>
      </w:pPr>
      <w:r>
        <w:rPr>
          <w:rStyle w:val="Fontdeparagrafimplicit1"/>
          <w:b/>
          <w:sz w:val="28"/>
        </w:rPr>
        <w:t xml:space="preserve"> </w:t>
      </w:r>
      <w:r>
        <w:rPr>
          <w:rStyle w:val="Fontdeparagrafimplicit1"/>
          <w:sz w:val="28"/>
        </w:rPr>
        <w:t xml:space="preserve"> </w:t>
      </w:r>
      <w:r>
        <w:t>Deşi s-a constatat  nulitatea actului adiţional, cererea având ca obiect restituirea sumelor achitate pârâtului în baza acestuia a fost respinsă raportat la duispoziţiile art. 57 alin. 2 din Codul muncii  potrivit cărora,“Constatarea nulităţii contractului individual de muncă produce efecte pentru viitor” iar aliniatul 4 “În cazul în care o clauză este afectată de nulitate, întrucât stabileşte  drepturi sau obligaţii pentru salariaţi, care contravin unor norme legale imperative sau contractelor colective d</w:t>
      </w:r>
      <w:r>
        <w:t xml:space="preserve">e muncă aplicabilă, aceasta este înlocuită de drept cu dispoziţiile legale sau convenţionale aplicabile, salariatul având dreptul la despăgubiri.” </w:t>
      </w:r>
    </w:p>
    <w:p w14:paraId="44EFD94D" w14:textId="77777777" w:rsidR="004830ED" w:rsidRDefault="001F68B8">
      <w:pPr>
        <w:ind w:firstLine="708"/>
        <w:jc w:val="both"/>
      </w:pPr>
      <w:r>
        <w:t>Instanţa de fond a reţinut că cele două texte citate trebuie interpretate prin corelare, în sensul că, chiar şi în ipoteza în care se constată nulitatea unei clauze, sancţiunea va produce efecte tot doar pentru viitor şi doar pentru viitor va fi restabilită legalitatea acesteia. Efectele produse rămân. În acest sens, nu s-a reglementat nicio excepţie prin care să se poată reţine obligativitatea restituirii prestaţiilor nedatorate în cazul în care se constată nulitatea unei clauze contractuale, stabilită pri</w:t>
      </w:r>
      <w:r>
        <w:t>ntr-un act adiţional la contractual individual de muncă.</w:t>
      </w:r>
    </w:p>
    <w:p w14:paraId="4070494C" w14:textId="77777777" w:rsidR="004830ED" w:rsidRDefault="001F68B8">
      <w:pPr>
        <w:ind w:firstLine="708"/>
        <w:jc w:val="both"/>
      </w:pPr>
      <w:r>
        <w:t>Actul adiţional în discuţie stabileşte majorarea salariului, fiind o clauză intrinsecă contractului individual de muncă, astfel că urmează soarta acestuia. Deci nu poate fi acceptată apărarea reclamantei potrivit căreia nulitatea actului adiţional nu afectează contractul individual de muncă. Dimpotrivă, produce efecte cu privire la una dintre clauzele esenţiale ale acestuia, respectiv remunerarea muncii, ce constituie contraprestația angajatorului. Desigur, pentru viitor, clauza modificată prin actul adiţio</w:t>
      </w:r>
      <w:r>
        <w:t>nal va fi înlocuită cu cea legală.</w:t>
      </w:r>
    </w:p>
    <w:p w14:paraId="2EB8B8C9" w14:textId="77777777" w:rsidR="004830ED" w:rsidRDefault="001F68B8">
      <w:pPr>
        <w:ind w:firstLine="708"/>
        <w:jc w:val="both"/>
        <w:rPr>
          <w:rStyle w:val="Fontdeparagrafimplicit1"/>
          <w:u w:val="single"/>
        </w:rPr>
      </w:pPr>
      <w:r>
        <w:lastRenderedPageBreak/>
        <w:t>S-a apreciat că nu sunt supuse restituirii nici sumele acordate cu titlu de prime ocazionale.</w:t>
      </w:r>
    </w:p>
    <w:p w14:paraId="7F95B821" w14:textId="77777777" w:rsidR="004830ED" w:rsidRDefault="001F68B8">
      <w:pPr>
        <w:ind w:firstLine="708"/>
        <w:jc w:val="both"/>
      </w:pPr>
      <w:r>
        <w:t xml:space="preserve">Posibilitatea acordării acestora a fost prevăzută în contractual colectiv de muncă la nivel de unitate dar, în acest scop, trebuiau stabilite criterii, prin negocieri între angajator şi reprezentanţii salariaţilor. </w:t>
      </w:r>
    </w:p>
    <w:p w14:paraId="2DC5C446" w14:textId="77777777" w:rsidR="004830ED" w:rsidRDefault="001F68B8">
      <w:pPr>
        <w:ind w:firstLine="708"/>
        <w:jc w:val="both"/>
      </w:pPr>
      <w:r>
        <w:t>Argumentul adus de reclamantă în susţinerea cererii de restituire nu poate fi reţinut. Este adevărat că la dosarul cauzei nu sunt probe din care să rezulte că a existat o negociere formală, între cele două părţi, pentru stabilirea criteriilor de acordare a premiilor ocazionale, dar asta nu înseamnă că atunci când s-a stabilit cuantumul şi s-a făcut plata, nu au fost avute în vedere nişte criterii clare de către reclamantă. Apoi, de vreme ce salariaţii, în speţă pârâtul, nu au contestat cuantumul ori modul d</w:t>
      </w:r>
      <w:r>
        <w:t xml:space="preserve">e acordare, încasând sumele de bani acordate cu acest titlu, înseamnă că a existat un acord tacit cu privire la aspectele menţionate. Deci, s-a achiesat la criteriile de acordare avute în vedere de către angajator. </w:t>
      </w:r>
    </w:p>
    <w:p w14:paraId="170775B1" w14:textId="77777777" w:rsidR="004830ED" w:rsidRDefault="001F68B8">
      <w:pPr>
        <w:ind w:firstLine="708"/>
        <w:jc w:val="both"/>
      </w:pPr>
      <w:r>
        <w:t xml:space="preserve">Fiind vorba de prestaţii efectuate în baza unei clauze din contractual colectiv de muncă încheiat la nivelul reclamantei, în temeiul dispoziţiilor art. 57 alin. 2 şi alin. 4 mai sus menţionate, chiar dacă s-ar constata nulitatea clauzei respective, restituirea nu ar mai puţea fi dispusă. Restituirea nu se poate dispune cu atât mai mult cu cât nu s-a solicitat constatarea nulităţii clauzei în discuţie. De altfel, prin Decizia nr. </w:t>
      </w:r>
      <w:r>
        <w:rPr>
          <w:rStyle w:val="Fontdeparagrafimplicit1"/>
          <w:color w:val="000000"/>
        </w:rPr>
        <w:t>17/2016</w:t>
      </w:r>
      <w:r>
        <w:t>, dată de către Înalta Curte de Casaţie şi Justiţie în interesul legii, s-a statuat că “În interpretarea prevederilor art. 138 alin. 3-5 şi art. 142 alin. 2 din Legea nr. 62/2011, nulitatea unei clauze a contractului colectiv de muncă negociat cu nerespectarea art. 138 alin. 1-3 din Legea nr. 62/2011 poate fi cerută de părţile interesate, fie pe cale de acţiune, fie pe cale de excepţie, respectiv poate fi invocată de către instanţă, din oficiu, pe durata existenţei contractului colectiv de muncă.” Or</w:t>
      </w:r>
      <w:r>
        <w:t>i, aşa după cum părţile au învederat, contractul colectiv de muncă de care acestea s-au prevalat nu mai este în vigoare, deci nulitatea nu arm ai putea fi cerută şi constatată.</w:t>
      </w:r>
    </w:p>
    <w:p w14:paraId="143ACCFD" w14:textId="77777777" w:rsidR="004830ED" w:rsidRDefault="001F68B8">
      <w:pPr>
        <w:ind w:firstLine="708"/>
        <w:jc w:val="both"/>
      </w:pPr>
      <w:r>
        <w:t>Cererea reconvenţională formulată de către pârât a fost respinsă, considerentele reţinute pe fondul cererii de chemare în judecată fiind pe deplin aplicabile.</w:t>
      </w:r>
    </w:p>
    <w:p w14:paraId="2ED6B68A" w14:textId="77777777" w:rsidR="004830ED" w:rsidRDefault="001F68B8">
      <w:pPr>
        <w:ind w:firstLine="708"/>
        <w:jc w:val="both"/>
      </w:pPr>
      <w:r>
        <w:t>În ceea ce priveşte cheltuielile de judecată, instanţa va dispune compensarea acestora, având în vedere culpa procesuală comună şi admiterea doar în parte a pretenţiilor părţilor.</w:t>
      </w:r>
    </w:p>
    <w:p w14:paraId="7E25A18C" w14:textId="480CD23A" w:rsidR="004830ED" w:rsidRDefault="001F68B8">
      <w:pPr>
        <w:ind w:firstLine="708"/>
        <w:jc w:val="both"/>
      </w:pPr>
      <w:r>
        <w:rPr>
          <w:rStyle w:val="Fontdeparagrafimplicit1"/>
          <w:b/>
        </w:rPr>
        <w:t xml:space="preserve">Împotriva acestei sentinţe, în termen legal, au declarat apel reclamanta </w:t>
      </w:r>
      <w:r w:rsidR="001D2736">
        <w:rPr>
          <w:rStyle w:val="Fontdeparagrafimplicit1"/>
          <w:b/>
        </w:rPr>
        <w:t>ASM</w:t>
      </w:r>
      <w:r>
        <w:rPr>
          <w:rStyle w:val="Fontdeparagrafimplicit1"/>
          <w:b/>
        </w:rPr>
        <w:t xml:space="preserve"> SA </w:t>
      </w:r>
      <w:r w:rsidR="001D2736">
        <w:rPr>
          <w:rStyle w:val="Fontdeparagrafimplicit1"/>
          <w:b/>
        </w:rPr>
        <w:t>Z</w:t>
      </w:r>
      <w:r>
        <w:t>, solicitând admiterea acestuia, schimbarea în parte a sentinţei</w:t>
      </w:r>
      <w:r>
        <w:t xml:space="preserve"> în sensul admiterii în tot a acţiunii, cu cheltuieli de judecată şi pârâtul </w:t>
      </w:r>
      <w:r w:rsidR="001D2736">
        <w:rPr>
          <w:rStyle w:val="Fontdeparagrafimplicit1"/>
          <w:b/>
        </w:rPr>
        <w:t>SI</w:t>
      </w:r>
      <w:r>
        <w:t xml:space="preserve"> prin Sindicatul  </w:t>
      </w:r>
      <w:r w:rsidR="003F438D">
        <w:t>L C</w:t>
      </w:r>
      <w:r>
        <w:t xml:space="preserve"> </w:t>
      </w:r>
      <w:r w:rsidR="001D2736">
        <w:t>Z</w:t>
      </w:r>
      <w:r>
        <w:t>, solicitând admiterea acestuia, în principal, schimbarea în parte a sentinţei referitor la admiterea în parte a acţiunii, a constatării nulităţii absolute a actului adiţional la contractul individual de muncă, în subsidiar, schimbarea sentinţei sub aspectul considerentelor referitoare la soluţia respingerii acţiunii, prin valorificarea excepţiei prescripţiei dreptului material la acţiune, a lipsei de inter</w:t>
      </w:r>
      <w:r>
        <w:t>es faţă de incidenţa prevederilor Legii nr. 78/2018.</w:t>
      </w:r>
    </w:p>
    <w:p w14:paraId="04B37AC3" w14:textId="407E86E7" w:rsidR="004830ED" w:rsidRDefault="001F68B8">
      <w:pPr>
        <w:ind w:firstLine="708"/>
        <w:jc w:val="both"/>
      </w:pPr>
      <w:r>
        <w:t xml:space="preserve">Prin motivele de apel reclamanta </w:t>
      </w:r>
      <w:r w:rsidR="001D2736">
        <w:t>AP</w:t>
      </w:r>
      <w:r>
        <w:t xml:space="preserve"> SA </w:t>
      </w:r>
      <w:r w:rsidR="001D2736">
        <w:t>Z</w:t>
      </w:r>
      <w:r>
        <w:t xml:space="preserve"> a invocat următoarele:</w:t>
      </w:r>
    </w:p>
    <w:p w14:paraId="74794AE7" w14:textId="77777777" w:rsidR="004830ED" w:rsidRDefault="001F68B8">
      <w:pPr>
        <w:ind w:firstLine="708"/>
        <w:jc w:val="both"/>
      </w:pPr>
      <w:r>
        <w:t>- în speţă nu sunt  incidente prevederile art. 57 alin. 2 Codul muncii, conform cărora nulitatea produce efecte doar pentru viitor;</w:t>
      </w:r>
    </w:p>
    <w:p w14:paraId="6C3B655E" w14:textId="77777777" w:rsidR="004830ED" w:rsidRDefault="001F68B8">
      <w:pPr>
        <w:ind w:firstLine="708"/>
        <w:jc w:val="both"/>
      </w:pPr>
      <w:r>
        <w:t>- actul adiţional de majorare fiind nul absolut, acesta nu poate produce efecte faţă de părţi, impunându-se restituirea sumelor încasate de salariat în temeiul său, în speţă, actul adiţional nul fiind înlocuit de drept cu prevederile actului adiţional anterior, retribuţia salariatului fiind cea stabilită prin actul adiţional anterior;</w:t>
      </w:r>
    </w:p>
    <w:p w14:paraId="3DACC541" w14:textId="77777777" w:rsidR="004830ED" w:rsidRDefault="001F68B8">
      <w:pPr>
        <w:ind w:firstLine="708"/>
        <w:jc w:val="both"/>
      </w:pPr>
      <w:r>
        <w:t>- dacă legiuitorul ar fi înţeles să limiteze efectele nulităţii clauzei doar pentru viitor, aşa cum a făcut-o în situaţia nulităţii contractului de muncă (alin. 2), ar fi prevăzut-o  în mod expres;</w:t>
      </w:r>
    </w:p>
    <w:p w14:paraId="28181D11" w14:textId="157E8FC7" w:rsidR="004830ED" w:rsidRDefault="001F68B8">
      <w:pPr>
        <w:ind w:firstLine="708"/>
        <w:jc w:val="both"/>
      </w:pPr>
      <w:r>
        <w:t xml:space="preserve">- art. 64 teza 3 din Contractul colectiv de muncă, aferent anului 2015, stabileşte că, criteriile de acordare a premiilor ocazionale se vor stabili de comun acord între conducerea unităţii şi sindicat prin anexa la contract, neexistând însă o anexă în acest sens, ca atare acestea nu pot fi acordate, mai mult, conform Protocolului nr. </w:t>
      </w:r>
      <w:r w:rsidR="003F438D">
        <w:t>...</w:t>
      </w:r>
      <w:r>
        <w:t xml:space="preserve">/2.02.2016, primele ocazionale vor fi </w:t>
      </w:r>
      <w:r>
        <w:lastRenderedPageBreak/>
        <w:t xml:space="preserve">plătite salariaţilor în funcţie de disponibilităţile băneşti, or raportat la prevederile Dispoziţiei Obligatorie nr. </w:t>
      </w:r>
      <w:r w:rsidR="001D2736">
        <w:t>....</w:t>
      </w:r>
      <w:r>
        <w:t>/24.05.2017, efect al depăşirii limitei legale în plăţile salariale efectuate, este evident că societatea nu dispune de fonduri, drept urmare nu se poate susţine că aceste plăţi au reprezentat prime ocazionale reglementate contractual.</w:t>
      </w:r>
    </w:p>
    <w:p w14:paraId="401FCF78" w14:textId="77777777" w:rsidR="004830ED" w:rsidRDefault="001F68B8">
      <w:pPr>
        <w:ind w:firstLine="708"/>
        <w:jc w:val="both"/>
      </w:pPr>
      <w:r>
        <w:t xml:space="preserve"> În drept au fost invocate dispoziţiile art. 466 şi urm., art. 453 Cod procedură civilă, textele legale invocate în acţiune.</w:t>
      </w:r>
    </w:p>
    <w:p w14:paraId="1F671493" w14:textId="77777777" w:rsidR="004830ED" w:rsidRDefault="001F68B8">
      <w:pPr>
        <w:ind w:firstLine="708"/>
        <w:jc w:val="both"/>
      </w:pPr>
      <w:r>
        <w:t xml:space="preserve"> Prin motivele de apel, pârâtul a invocat următoarele:</w:t>
      </w:r>
    </w:p>
    <w:p w14:paraId="508D070B" w14:textId="77777777" w:rsidR="004830ED" w:rsidRDefault="001F68B8">
      <w:pPr>
        <w:ind w:firstLine="708"/>
        <w:jc w:val="both"/>
      </w:pPr>
      <w:r>
        <w:t>- prin acordarea creşterii salariale urmare modificării CIM în anul 2016, au fost respectate prevederile art. 54 alin. 1 din Legea nr. 339/2015, în sensul că putea să se prevadă în bugetul de venituri şi cheltuieli majorarea cheltuielilor de natură salarială faţă de nivelul prevăzut în ultimul buget aprobat conform legii, cu sumele reprezentând creşteri ale  câştigului mediu brut lunar pe salariat datorate majorării salariului de bază minim brut pe ţară garantat în plată;</w:t>
      </w:r>
    </w:p>
    <w:p w14:paraId="4D542150" w14:textId="77777777" w:rsidR="004830ED" w:rsidRDefault="001F68B8">
      <w:pPr>
        <w:ind w:firstLine="708"/>
        <w:jc w:val="both"/>
      </w:pPr>
      <w:r>
        <w:t>- asocierea propusă de  judecătorul fondului între prevederile art. 54 alin. 6 din Legea nr. 339/2015 şi dispoziţiile art. 9 alin. 3 din OG nr. 26/2013 este una restrictivă, ruptă din contextul general al reglementării celor două acte normative;</w:t>
      </w:r>
    </w:p>
    <w:p w14:paraId="2F8EDE9E" w14:textId="77777777" w:rsidR="004830ED" w:rsidRDefault="001F68B8">
      <w:pPr>
        <w:ind w:firstLine="708"/>
        <w:jc w:val="both"/>
      </w:pPr>
      <w:r>
        <w:t>- abordarea excepţiei prescripţiei dreptului material la acţiune se impune a fi analizată faţă de două aspecte, astfel analiza prescripţiei trebuie a se face faţă de reglementările din legislaţia muncii prioritar faţă de dreptul comun, având valoare de norme speciale şi faţă de distincţia pe care o impune Legea nr. 62/2011 prin art. 211 lit. c în raport cu reglementarea instituită prin art. 268 alin. 1 lit. c şi alin. 2 din Codul muncii, respectiv în sensul că termenul de  prescripţie atunci când este vorba</w:t>
      </w:r>
      <w:r>
        <w:t xml:space="preserve"> de o acţiune având ca obiect restituirea unor sume de bani pe plata nedatorată, curge de la data producerii pagubei, şi nu de la data naşterii dreptului la acţiune;</w:t>
      </w:r>
    </w:p>
    <w:p w14:paraId="16FF2419" w14:textId="77777777" w:rsidR="004830ED" w:rsidRDefault="001F68B8">
      <w:pPr>
        <w:ind w:firstLine="708"/>
        <w:jc w:val="both"/>
      </w:pPr>
      <w:r>
        <w:t xml:space="preserve">- în contextul în care  nu sunt aplicabile prevederile art. 268 din Codul muncii, ci art. 211 lit. c din Legea nr. 62/2001, plata despăgubirilor poate fi cerută în termen de 3 ani de la data producerii pagubei, iar în cauză paguba s-a produs cu privire la premiile ocazionale la data plăţii lor, respectiv în luna februarie 2016 şi în luna aprilie 2006, astfel că termenul pentru a putea pretinde restituirea s-a împlinit în luna februarie 2019 şi în luna aprilie 2019, iar acţiunile au fost promovate în cursul </w:t>
      </w:r>
      <w:r>
        <w:t>lunii mai 2019 şi ulterior;</w:t>
      </w:r>
    </w:p>
    <w:p w14:paraId="55189E9C" w14:textId="77777777" w:rsidR="004830ED" w:rsidRDefault="001F68B8">
      <w:pPr>
        <w:ind w:firstLine="708"/>
        <w:jc w:val="both"/>
      </w:pPr>
      <w:r>
        <w:t>- notificarea formulată în condiţiile art. 2540 şi 2537 alin. 4 Cod civil nu poate fi apreciată mai presus de lege, având în vedere statuările Înaltei Curţi de Casaţie şi Justiţie prin Decizia RIL nr. 19/2019 în sensul că la acţiunea în răspundere patrimonială pentru încasarea unor plăţi nedatorate modul de calcul al termenului de prescripţie este unul de excepţie, raportându-se la data producerii pagubei, derogatorie de la dreptul comun;</w:t>
      </w:r>
    </w:p>
    <w:p w14:paraId="2C89A41C" w14:textId="77777777" w:rsidR="004830ED" w:rsidRDefault="001F68B8">
      <w:pPr>
        <w:ind w:firstLine="708"/>
        <w:jc w:val="both"/>
      </w:pPr>
      <w:r>
        <w:t>- notificarea nu poate produce nici efectul juridic al întreruperii termenului de prescripţie de 3 ani, deoarece nu sunt aplicabile prevederile art. 2540 şi 2537 Cod civil, existând o prevedere expresă în legislaţia specială cu privire la termenul de prescripţie, care exclude aplicarea unor norme  comune;</w:t>
      </w:r>
    </w:p>
    <w:p w14:paraId="37698D0E" w14:textId="77777777" w:rsidR="004830ED" w:rsidRDefault="001F68B8">
      <w:pPr>
        <w:ind w:firstLine="708"/>
        <w:jc w:val="both"/>
      </w:pPr>
      <w:r>
        <w:t>- faţă de argumentele de mai sus, cu privire la sumele de bani achitate în baza CIM, urmare a majorării salariului prin act adiţional pe anul 2016, respectiv cele achitate în intervalul februarie – mai 2016, se impune a se  constata că este împlinit termenul de prescripţie;</w:t>
      </w:r>
    </w:p>
    <w:p w14:paraId="6755257B" w14:textId="77777777" w:rsidR="004830ED" w:rsidRDefault="001F68B8">
      <w:pPr>
        <w:ind w:firstLine="708"/>
        <w:jc w:val="both"/>
      </w:pPr>
      <w:r>
        <w:t>- instanţa de fond a dat o soluţie greşită şi cu privire la apărarea formulată referitoare la incidenţa Legii nr. 78/2018, apreciind că includerea pârâtului în categoria salariaţilor la care face referire această lege este pretinsă dintr-o perspectivă străină de obiectul cauzei;</w:t>
      </w:r>
    </w:p>
    <w:p w14:paraId="488BBFE4" w14:textId="77777777" w:rsidR="004830ED" w:rsidRDefault="001F68B8">
      <w:pPr>
        <w:ind w:firstLine="708"/>
        <w:jc w:val="both"/>
      </w:pPr>
      <w:r>
        <w:t>- sunt îndeplinite ambele cerinţe ale legii, operând chiar şi o statuare judiciară asupra incidenţei Legii nr.  78/2018 cu privire la executarea dispoziţiilor ANAF, astfel că acţiunea reclamantei apare ca fiind promovată în lipsa unui interes juridic actual, atâta timp cât sumele sunt aferente anilor 2015 – 2016, iar legea de exonerare priveşte toate sumele achitate anterior publicării ei în Monitorul Oficial, respectiv anterior datei de 28.03.2018.</w:t>
      </w:r>
    </w:p>
    <w:p w14:paraId="344D705C" w14:textId="77777777" w:rsidR="004830ED" w:rsidRDefault="001F68B8">
      <w:pPr>
        <w:ind w:firstLine="708"/>
        <w:jc w:val="both"/>
      </w:pPr>
      <w:r>
        <w:t xml:space="preserve"> În drept au fost invocate dispoziţiile art. 466 şi urm. Cod procedură civilă. </w:t>
      </w:r>
    </w:p>
    <w:p w14:paraId="19DC4DCB" w14:textId="0C596EA5" w:rsidR="004830ED" w:rsidRDefault="001F68B8">
      <w:pPr>
        <w:ind w:firstLine="708"/>
        <w:jc w:val="both"/>
      </w:pPr>
      <w:r>
        <w:lastRenderedPageBreak/>
        <w:t xml:space="preserve"> </w:t>
      </w:r>
      <w:r>
        <w:rPr>
          <w:rStyle w:val="Fontdeparagrafimplicit1"/>
          <w:b/>
        </w:rPr>
        <w:t xml:space="preserve">Prin întâmpinare, Sindicatul </w:t>
      </w:r>
      <w:r w:rsidR="003F438D">
        <w:rPr>
          <w:rStyle w:val="Fontdeparagrafimplicit1"/>
          <w:b/>
        </w:rPr>
        <w:t>L C</w:t>
      </w:r>
      <w:r>
        <w:rPr>
          <w:rStyle w:val="Fontdeparagrafimplicit1"/>
          <w:b/>
        </w:rPr>
        <w:t xml:space="preserve"> </w:t>
      </w:r>
      <w:r w:rsidR="001D2736">
        <w:rPr>
          <w:rStyle w:val="Fontdeparagrafimplicit1"/>
          <w:b/>
        </w:rPr>
        <w:t>Z</w:t>
      </w:r>
      <w:r>
        <w:rPr>
          <w:rStyle w:val="Fontdeparagrafimplicit1"/>
          <w:b/>
        </w:rPr>
        <w:t xml:space="preserve"> în reprezentarea pârâtului</w:t>
      </w:r>
      <w:r>
        <w:t xml:space="preserve"> a solicitat respingerea apelului reclamantei, în opinia sa impunându-se ca instanţa să sesizeze următoarele; constatarea nulităţii absolute a actului adiţional nu poate face ca în ce priveşte sumele achitate în lunile ianuarie, aprilie şi decembrie 2016 să se repercuteze  asupra viabilităţii şi legalităţii dreptului dobândit, atâta timp  cât plata primei este consecinţa art. 64 pct. 1 lit. b alin. 4 din Contractul colectiv de muncă, valabil în perioada 2015 – 31.01.2016, iar pe de altă parte, plata primei </w:t>
      </w:r>
      <w:r>
        <w:t xml:space="preserve">în luna decembrie 2016 este consecinţa art. 64 pct. 1 lit. b alin. 4 din CCM nr. </w:t>
      </w:r>
      <w:r w:rsidR="001D2736">
        <w:t>...</w:t>
      </w:r>
      <w:r>
        <w:t xml:space="preserve">/18.02.2016, plata primei din lunile ianuarie şi aprilie 2016 fiind dispusă în baza Procesului verbal nr. </w:t>
      </w:r>
      <w:r w:rsidR="001D2736">
        <w:t>...</w:t>
      </w:r>
      <w:r>
        <w:t xml:space="preserve">/21.12.2015 încheiat între SC </w:t>
      </w:r>
      <w:r w:rsidR="001D2736">
        <w:t>ASM</w:t>
      </w:r>
      <w:r>
        <w:t xml:space="preserve"> SA şi Sindicatul </w:t>
      </w:r>
      <w:r w:rsidR="003F438D">
        <w:t>L C</w:t>
      </w:r>
      <w:r>
        <w:t xml:space="preserve"> </w:t>
      </w:r>
      <w:r w:rsidR="001D2736">
        <w:t>Z</w:t>
      </w:r>
      <w:r>
        <w:t xml:space="preserve">, finalizat prin emiterea Dispoziţiei nr. </w:t>
      </w:r>
      <w:r w:rsidR="001D2736">
        <w:t>...</w:t>
      </w:r>
      <w:r>
        <w:t>/22.12.2015. Pârâtul</w:t>
      </w:r>
      <w:r>
        <w:rPr>
          <w:rStyle w:val="Fontdeparagrafimplicit1"/>
          <w:color w:val="FF0000"/>
        </w:rPr>
        <w:t xml:space="preserve"> </w:t>
      </w:r>
      <w:r>
        <w:t>învederează că încasarea sumelor de bani pretinse nu  realizează cerinţa unei plăţi nedatorate, fiind o obligaţie achitată contractual, ceea ce o face să fie naturală şi astfel nu poate fi supusă r</w:t>
      </w:r>
      <w:r>
        <w:t>estituirii, în cauză nefiind solicitată de către reclamantă constatarea  nulităţii absolute a unor prevederi din Contractul colectiv de muncă şi nici nu a fost invocată din oficiu o astfel de nulitate de către instanţă, iar invocarea nulităţii Contractului individual de muncă nu are relevanţă asupra înlăturării naturii de datorie a primelor încasate, atâta timp cât datorarea lor  nu este consecinţa Contractului individual de muncă. Pe de altă parte, cum nu mai poate fi constatată nulitatea absolută a Contra</w:t>
      </w:r>
      <w:r>
        <w:t xml:space="preserve">ctului individual de muncă şi nici a Dispoziţiei nr. </w:t>
      </w:r>
      <w:r w:rsidR="001D2736">
        <w:t>...</w:t>
      </w:r>
      <w:r>
        <w:t xml:space="preserve">/2015 a SC </w:t>
      </w:r>
      <w:r w:rsidR="001D2736">
        <w:t>AP</w:t>
      </w:r>
      <w:r>
        <w:t xml:space="preserve"> SA, precum nici a Hotărârii nr. </w:t>
      </w:r>
      <w:r w:rsidR="001D2736">
        <w:t>...</w:t>
      </w:r>
      <w:r>
        <w:t xml:space="preserve">/27.05.2016 a AGA SC </w:t>
      </w:r>
      <w:r w:rsidR="001D2736">
        <w:t>ASM</w:t>
      </w:r>
      <w:r>
        <w:t xml:space="preserve"> SA, apelantul pârât susţine că nu sunt întrunite condiţiile art. 1341 Cod civil, în speţă, datoria în vederea căreia s-a făcut plata exista în ceea ce priveşte premiile ocazionale, aşa cum exista şi datoria în ceea ce priveşte majorările salariale. Intimatul învederează, de asemenea, că instanţa de fond a făcut o corectă aplicare a prevederilor  art. 57 alin. 2 şi art. 278 alin. </w:t>
      </w:r>
      <w:r>
        <w:t>1 din  Codul muncii, care lasă să fie aplicabil principiul neretroactivităţii efectelor nulităţii, aşa cum este reglementat prin art. 1254 Cod civil.</w:t>
      </w:r>
    </w:p>
    <w:p w14:paraId="33A12C74" w14:textId="77777777" w:rsidR="004830ED" w:rsidRDefault="001F68B8">
      <w:pPr>
        <w:ind w:firstLine="708"/>
        <w:jc w:val="both"/>
      </w:pPr>
      <w:r>
        <w:t xml:space="preserve"> În drept invocă art. 205 Cod procedură civilă. </w:t>
      </w:r>
    </w:p>
    <w:p w14:paraId="49333176" w14:textId="77777777" w:rsidR="004830ED" w:rsidRDefault="001F68B8">
      <w:pPr>
        <w:ind w:firstLine="708"/>
        <w:jc w:val="both"/>
      </w:pPr>
      <w:r>
        <w:t xml:space="preserve"> Prin concluziile scrise depuse la dosar apelanta reclamantă a reiterat poziţia procesuală exprimată anterior. </w:t>
      </w:r>
    </w:p>
    <w:p w14:paraId="4BFD551B" w14:textId="77777777" w:rsidR="004830ED" w:rsidRDefault="001F68B8">
      <w:pPr>
        <w:ind w:firstLine="708"/>
        <w:jc w:val="both"/>
        <w:rPr>
          <w:rStyle w:val="Fontdeparagrafimplicit1"/>
          <w:b/>
        </w:rPr>
      </w:pPr>
      <w:r>
        <w:rPr>
          <w:rStyle w:val="Fontdeparagrafimplicit1"/>
          <w:b/>
        </w:rPr>
        <w:t xml:space="preserve"> Examinând hotărârea apelată, prin prisma motivelor invocate, instanţa de apel reţine următoarele:</w:t>
      </w:r>
    </w:p>
    <w:p w14:paraId="50B6D376" w14:textId="77777777" w:rsidR="004830ED" w:rsidRDefault="001F68B8">
      <w:pPr>
        <w:ind w:firstLine="708"/>
        <w:jc w:val="both"/>
      </w:pPr>
      <w:r>
        <w:t>Excepţia prescripţiei</w:t>
      </w:r>
      <w:r>
        <w:t>, reiterată în această fază a procesului de către partea pârâtă, a fost abordată prin cererea sa de apel dintr-o dublă perspectivă, pe de-o parte sub aspectul determinării legii aplicabile prescripţiei în materia litigiilor de muncă, când obiectul îl reprezintă plata nedatorată – art. 256 din Codul muncii, iar pe de altă parte sub aspectul naturii sumelor de bani pretinse la restituire, dacă acestea reprezintă salarii acordate în baza contractului individual de muncă sau, dimpotrivă, o facilitate acordată p</w:t>
      </w:r>
      <w:r>
        <w:t>rin contractul colectiv de muncă.</w:t>
      </w:r>
    </w:p>
    <w:p w14:paraId="10DB29DD" w14:textId="688075C7" w:rsidR="004830ED" w:rsidRDefault="001F68B8">
      <w:pPr>
        <w:ind w:firstLine="708"/>
        <w:jc w:val="both"/>
      </w:pPr>
      <w:r>
        <w:t xml:space="preserve"> Acţiunea dedusă soluţionării a avut ca obiect constatarea nulităţii absolute a actului adiţional nr. </w:t>
      </w:r>
      <w:r w:rsidR="001D2736">
        <w:t>...</w:t>
      </w:r>
      <w:r>
        <w:t>/01.02.2016, obligarea părţii pârâte la restituirea  sumelor reprezentând prima ocazională aferentă lunilor ianuarie 2016, aprilie 2016, respectiv decembrie 2016, precum şi la restituirea sumelor reprezentând majorările salariale încasate în cursul anului 2016 (februarie– decembrie 2016), cu dobânzi legale.</w:t>
      </w:r>
    </w:p>
    <w:p w14:paraId="42E1CE83" w14:textId="77AAEDDB" w:rsidR="004830ED" w:rsidRDefault="001F68B8">
      <w:pPr>
        <w:ind w:firstLine="708"/>
        <w:jc w:val="both"/>
      </w:pPr>
      <w:r>
        <w:t xml:space="preserve"> Demersul judiciar al reclamantei a fost fundamentat în drept pe prevederile art. 256 alin. 1 din Codul muncii, relevându-se că salariatul a beneficiat în mod necuvenit de prima ocazională aferentă lunilor mai sus indicate şi de majorări salariale încasate împreună cu salariile aferente perioadei februarie 2016 – decembrie 2016, sens în care s-a făcut trimitere la două dispoziţii întocmite de echipa de inspecţie economică financiară din cadrul ANAF – DGRFP </w:t>
      </w:r>
      <w:r w:rsidR="003F438D">
        <w:t>C</w:t>
      </w:r>
      <w:r>
        <w:t xml:space="preserve">, şi anume Dispoziţia Obligatorie nr. </w:t>
      </w:r>
      <w:r w:rsidR="001D2736">
        <w:t>....</w:t>
      </w:r>
      <w:r>
        <w:t xml:space="preserve">/24.05.2017 şi respectiv Dispoziţia obligatorie nr. </w:t>
      </w:r>
      <w:r w:rsidR="001D2736">
        <w:t>....</w:t>
      </w:r>
      <w:r>
        <w:t>/21.09.2018.</w:t>
      </w:r>
    </w:p>
    <w:p w14:paraId="6BBC5F83" w14:textId="23E1EE92" w:rsidR="004830ED" w:rsidRDefault="001F68B8">
      <w:pPr>
        <w:ind w:firstLine="708"/>
        <w:jc w:val="both"/>
      </w:pPr>
      <w:r>
        <w:t xml:space="preserve"> Alăturat acţiunii a fost depusă notificarea nr. </w:t>
      </w:r>
      <w:r w:rsidR="003F438D">
        <w:t>...</w:t>
      </w:r>
      <w:r>
        <w:t xml:space="preserve"> din 22.01.2019, prin care i se solicita restituirea sumelor primite în cursul anului 2016 cu titlu de premiu ocazional aferent anului 2015, considerată de inspecţia fiscală ca fiind premiu nedatorat şi respectiv ca reprezentând cota </w:t>
      </w:r>
      <w:r>
        <w:lastRenderedPageBreak/>
        <w:t>parte din cheltuielile de natură salarială peste limita legală în anul 2016, considerate de asemenea de echipa de inspecţie fiscală ca nedatorate, specificându-se în cuprinsul notificării şi că aceasta întrerupe termenul de prescripţie prin raportare la art. 2540 şi art. 253</w:t>
      </w:r>
      <w:r>
        <w:t>7 alin. 4 din Codul civil.</w:t>
      </w:r>
    </w:p>
    <w:p w14:paraId="34A92252" w14:textId="77777777" w:rsidR="004830ED" w:rsidRDefault="001F68B8">
      <w:pPr>
        <w:ind w:firstLine="708"/>
        <w:jc w:val="both"/>
      </w:pPr>
      <w:r>
        <w:t xml:space="preserve"> În abordarea criticilor structurate pe excepţia prescripţiei trebuie în primul rând  a fi evocat textul art. 211 lit. c din Legea nr. 62/2011 care prevede data producerii pagubei ca fiind momentul naşterii dreptului la acţiunea în răspunderea patrimonială, inclusiv pentru „restituirea unor sume care au format obiectul unor plăţi nedatorate”, astfel de acţiuni putând fi formulate în termen de 3 ani de la data producerii pagubei.</w:t>
      </w:r>
    </w:p>
    <w:p w14:paraId="579675D6" w14:textId="77777777" w:rsidR="004830ED" w:rsidRDefault="001F68B8">
      <w:pPr>
        <w:ind w:firstLine="708"/>
        <w:jc w:val="both"/>
      </w:pPr>
      <w:r>
        <w:t xml:space="preserve"> Legea nr. 62/2011 reglementează termenele de prescripţie în cazul conflictelor individuale de muncă, prin urmare, modul de calcul al termenului de prescripţie pentru acţiunea în răspundere patrimonială îndreptată împotriva salariatului în condiţiile art. 211 lit. c din legea nr. 62/2011 este unul de excepţie, derogatoriu de la dreptul comun (art. 2523 şi art. 2528 din Codul civil), însă derogarea operează doar în ceea ce priveşte modul de calcul al termenului sub aspectul determinării începutului curgerii </w:t>
      </w:r>
      <w:r>
        <w:t>termenului de  prescripţie. Prin urmare, dispoziţiile din Codul civil ce reglementează actele de întrerupere a cursului prescripţiei pot fi aplicate în întregirea dispoziţiilor Codului muncii în aplicarea prevederilor art. 278 alin. 1 din Codul muncii, nefiind incompatibile cu specificul  raporturilor de muncă. De altfel, în art. 256 din Codul muncii legiuitorul doar a enunţat incidenţa plăţii nedatorate şi în dreptul muncii, fără a detalia condiţiile ce trebuie îndeplinite, în consecinţă, este aplicabil re</w:t>
      </w:r>
      <w:r>
        <w:t>gimul comun al plăţii nedatorate. Curtea apreciază că regimul comun al legislaţiei civile este aplicabil în întregirea dispoziţiilor speciale ce reglementează termenele de prescripţie în cazul conflictelor de  muncă, pentru că nu există o derogare expresă cu privire la întreruperea termenelor de prescripţie, nefiind identificată nicio normă juridică ce le-ar contrazice pe cele de drept comun, alegaţiile părţii apelante pârâte cu trimitere la natura termenului instituit de art. 254 alin. 3 din Codul muncii f</w:t>
      </w:r>
      <w:r>
        <w:t>iind neavenite, respectiva normă reglementând răspunderea salariatului pentru o pagubă produsă din vina sa.</w:t>
      </w:r>
    </w:p>
    <w:p w14:paraId="4233689C" w14:textId="77777777" w:rsidR="004830ED" w:rsidRDefault="001F68B8">
      <w:pPr>
        <w:ind w:firstLine="708"/>
        <w:jc w:val="both"/>
      </w:pPr>
      <w:r>
        <w:t xml:space="preserve"> În speţă, debitorul a fost pus în întârziere prin  modalitatea prevăzută de art. 1522 din Codul civil, punere în întârziere care este de natură a determina o întrerupere a prescripţiei extinctive în condiţiile dispoziţiilor art. 2537 pct. 4 din Codul civil, fiind de observat că este îndeplinită condiţia statornicită de art. 2540 din Codul civil, care impune ca cererea de chemare  în judecată să fie introdusă în termen de cel mult 6 luni de la realizarea punerii în întârziere, notificarea din data de 22.01.</w:t>
      </w:r>
      <w:r>
        <w:t>2019, iar cererea de chemare în judecată a fost înregistrată la data de 27.05.2019, considerente în raport de care Curtea conchide că soluţia dată de tribunal asupra excepţiei prescripţiei este legală.</w:t>
      </w:r>
    </w:p>
    <w:p w14:paraId="494108A8" w14:textId="54EBBEA9" w:rsidR="004830ED" w:rsidRDefault="001F68B8">
      <w:pPr>
        <w:ind w:firstLine="708"/>
        <w:jc w:val="both"/>
      </w:pPr>
      <w:r>
        <w:t xml:space="preserve"> Sub aspectul criticilor vizând fondul pricinii, trebuie a se reţine că demersul judiciar al reclamantei s-a întemeiat pe cele două acte întocmite de ANAF, intitulate Dispoziţii obligatorii. Astfel, printr-o primă dispoziţie obligatorie, nr. </w:t>
      </w:r>
      <w:r w:rsidR="001D2736">
        <w:t>....</w:t>
      </w:r>
      <w:r>
        <w:t>/24.05.2017, s-a constatat la punctul 4 că societatea a acordat în anul 2015 majorări salariale sub forma unor premii în sensul că deşi a  fundamentat o creştere a numărului de salariaţi, aceasta nu a  avut loc în realitate, iar fondul de salarii aferent acestei creşteri a fost utilizat pentru premierea salariaţilor existenţi, operatorul economic utilizând diferenţa dintre fondul de salarii prevăzut în Bugetul de venituri şi cheltuieli pentru toţi salariaţii din noua organigramă şi cheltuielile cu salar</w:t>
      </w:r>
      <w:r>
        <w:t xml:space="preserve">iile pentru personalul efectiv angajat în cursul anului 2015, în alt scop decât cel pentru care a fost fundamentat şi aprobat în buget, respectiv pentru acordarea de premii ocazionale în luna decembrie 2015. Pentru remedierea deficienţei constatate s-a dispus în sarcina operatorului economic reîntregirea patrimoniului SC </w:t>
      </w:r>
      <w:r w:rsidR="001D2736">
        <w:t>ASM</w:t>
      </w:r>
      <w:r>
        <w:t xml:space="preserve"> SA cu suma de 1.160.000 lei, reprezentând premii brute acordate peste limita legală.</w:t>
      </w:r>
    </w:p>
    <w:p w14:paraId="5EF5E2A8" w14:textId="4638CC3C" w:rsidR="004830ED" w:rsidRDefault="001F68B8">
      <w:pPr>
        <w:ind w:firstLine="708"/>
        <w:jc w:val="both"/>
      </w:pPr>
      <w:r>
        <w:t xml:space="preserve"> Printr-o a doua dispoziţie obligatorie, nr. </w:t>
      </w:r>
      <w:r w:rsidR="003F438D">
        <w:t>...</w:t>
      </w:r>
      <w:r>
        <w:t xml:space="preserve">/21.09.2018, echipa de control a  constatat faptul că operatorul economic în execuţia Bugetului de venituri şi cheltuieli pe anul 2016 a realizat cheltuieli de natură salarială cu 496.000 lei peste limita legală, respectiv 16.910.000 lei </w:t>
      </w:r>
      <w:r>
        <w:lastRenderedPageBreak/>
        <w:t xml:space="preserve">faţă de 16.414.000 lei, echipa de control dispunând în sarcina operatorului economic reîntregirea patrimoniului SC </w:t>
      </w:r>
      <w:r w:rsidR="001D2736">
        <w:t>ASM</w:t>
      </w:r>
      <w:r>
        <w:t xml:space="preserve"> SA cu suma de 496.000 lei.</w:t>
      </w:r>
    </w:p>
    <w:p w14:paraId="1A0527C4" w14:textId="39E711CE" w:rsidR="004830ED" w:rsidRDefault="001F68B8">
      <w:pPr>
        <w:ind w:firstLine="708"/>
        <w:jc w:val="both"/>
      </w:pPr>
      <w:r>
        <w:t xml:space="preserve"> Din perspectiva constatărilor cuprinse în actele de control despre care s-a făcut vorbire mai sus, o primă critică a societăţii apelante vizează lipsa reglementării din anexa la contractul colectiv de muncă a criteriilor de acordare a primelor ocazionale, ca atare consideră că acestea nu puteau fi acordate, cu atât mai mult cu cât, conform Protocolului nr. </w:t>
      </w:r>
      <w:r w:rsidR="003F438D">
        <w:t>...</w:t>
      </w:r>
      <w:r>
        <w:t>/2.02.2016, primele ocazionale urmau a fi plătite în funcţie de disponibilităţile băneşti.</w:t>
      </w:r>
    </w:p>
    <w:p w14:paraId="52D350C9" w14:textId="04F03D0B" w:rsidR="004830ED" w:rsidRDefault="001F68B8">
      <w:pPr>
        <w:ind w:firstLine="708"/>
        <w:jc w:val="both"/>
      </w:pPr>
      <w:r>
        <w:t xml:space="preserve"> În contextul criticilor mai sus expuse prezintă relevanţă procesul verbal nr. </w:t>
      </w:r>
      <w:r w:rsidR="003F438D">
        <w:t>...</w:t>
      </w:r>
      <w:r>
        <w:t xml:space="preserve">/21.12.2015 încheiat cu ocazia şedinţei comune angajator – sindicat cu privire la acordarea unor premii ocazionale salariaţilor, în conformitate cu art. 64.1 din CCM 2015 (art. 64.1 lit. b Premii pct. 4 „ocazionale; în bani sau în natură”). Procesul verbal poartă semnătura directorului general al </w:t>
      </w:r>
      <w:r w:rsidR="001D2736">
        <w:t>ASM</w:t>
      </w:r>
      <w:r>
        <w:t xml:space="preserve"> SA şi a liderului sindical, părţile convenind în urma discuţiilor purtate acordarea premiilor ocazionale la nivelul unui salariu brut/salariat din rezerva la fondul de salarii pe anul 2015, ulterior fiind em</w:t>
      </w:r>
      <w:r>
        <w:t xml:space="preserve">isă Dispoziţia nr. </w:t>
      </w:r>
      <w:r w:rsidR="003F438D">
        <w:t>...</w:t>
      </w:r>
      <w:r>
        <w:t xml:space="preserve"> din 22.12.2015 prin care directorul general al societăţii a decis acordarea premiilor ocazionale salariaţilor, sens în care a specificat că valoarea totală a premiilor  însumează 1.160.000 lei, iar criteriul de acordare a acestora îl reprezintă un salariu brut/salariat.</w:t>
      </w:r>
    </w:p>
    <w:p w14:paraId="0FCF0CE8" w14:textId="4F092049" w:rsidR="004830ED" w:rsidRDefault="001F68B8">
      <w:pPr>
        <w:ind w:firstLine="708"/>
        <w:jc w:val="both"/>
      </w:pPr>
      <w:r>
        <w:t xml:space="preserve"> Ulterior, a fost întocmit Protocolul nr. </w:t>
      </w:r>
      <w:r w:rsidR="003F438D">
        <w:t>...</w:t>
      </w:r>
      <w:r>
        <w:t xml:space="preserve"> din 2.02.2016 încheiat între Conducerea SC </w:t>
      </w:r>
      <w:r w:rsidR="001D2736">
        <w:t>ASM</w:t>
      </w:r>
      <w:r>
        <w:t xml:space="preserve"> SA şi Sindicatul </w:t>
      </w:r>
      <w:r w:rsidR="003F438D">
        <w:t>L C</w:t>
      </w:r>
      <w:r>
        <w:t xml:space="preserve"> cu privire la acordarea premiilor ocazionale în conformitate cu art. 64.1 din CCM 2015. În cuprinsul protocolului apare consemnată precizarea că decizia comună de  acordare a premiilor ocazionale a fost luată în urma analizării realizărilor economico-financiare ale societăţii pe anul 2015, sens în care s-a precizat că veniturile estimate reprezintă 54.328.593 lei, iar cheltuielile estimate reprezintă 46.398.047 lei. Părţile au decis de </w:t>
      </w:r>
      <w:r>
        <w:t xml:space="preserve">comun acord acordarea premiilor ocazionale din rezerva la fondul de salarii pentru anul 2015 în sumă totală de 1.160.000 lei „plătite salariaţilor SC </w:t>
      </w:r>
      <w:r w:rsidR="001D2736">
        <w:t>ASM</w:t>
      </w:r>
      <w:r>
        <w:t xml:space="preserve"> SA în funcţie de disponibilităţile băneşti”.</w:t>
      </w:r>
    </w:p>
    <w:p w14:paraId="152EEA9D" w14:textId="0F00FAE9" w:rsidR="004830ED" w:rsidRDefault="001F68B8">
      <w:pPr>
        <w:ind w:firstLine="708"/>
        <w:jc w:val="both"/>
      </w:pPr>
      <w:r>
        <w:t xml:space="preserve"> Contrar susţinerii angajatorului în sensul că nu ar fi fost reglementate criteriile de acordare a primelor ocazionale, este de reţinut că în anexa 7 a contractului colectiv de muncă pe anul 2015 au fost stipulate condiţiile de neacordare a premiilor negociate, sens în care au fost indicate cinci astfel de situaţii, criterii care ulterior s-au regăsit şi în Protocolul nr. </w:t>
      </w:r>
      <w:r w:rsidR="003F438D">
        <w:t>....</w:t>
      </w:r>
      <w:r>
        <w:t xml:space="preserve"> din 22.12.2016. Este de observat că anexa nr. 7 se referă la premii, deci la acele beneficii convenite prin art. 64 alin. 1 lit. b punctul 4, acordate ocazional, în bani sau în natură, astfel că distincţia pe care o face apelanta reclamantă apare ca neavenită, atâta timp cât clauza privitoare la criteriile ce urmau a fi stabilite de comun acord între conducerea societăţii şi sindicat prin anexa la contract a vizat acordarea premiilor ocazionale, pe de altă parte, singurul beneficiu prevăzut de art. 64 </w:t>
      </w:r>
      <w:r>
        <w:t>alin. 1 lit. b care poartă denumirea de primă, îl reprezintă prima anuală de 100% lei brut/ salariat în două tranşe (lunile mai şi septembrie), nefiind în discuţie aşadar prime ocazionale, beneficiul reglementat la pct. 4 reprezentându-l premii ocazionale, cu referire la care au fost negociate, astfel cum s-a relevat anterior, condiţiile în care nu pot  fi acordate.</w:t>
      </w:r>
    </w:p>
    <w:p w14:paraId="43EB43B4" w14:textId="2096ED20" w:rsidR="004830ED" w:rsidRDefault="001F68B8">
      <w:pPr>
        <w:ind w:firstLine="708"/>
        <w:jc w:val="both"/>
      </w:pPr>
      <w:r>
        <w:t xml:space="preserve"> Pe de altă parte, nu au fost produse  dovezi privind pretinsa lipsă a disponibilităţilor băneşti pentru acordarea premiilor ocazionale, dimpotrivă, lucrarea de specialitate extrajudiciară întocmită la solicitarea apelantei reclamante, a evidenţiat încadrarea în bugetul de venituri şi cheltuieli aprobat pe anii 2015 – 2016, nefiind depăşite limitele acestuia, ilustrative fiind în acest sens constatările expertului contabil </w:t>
      </w:r>
      <w:r w:rsidR="003F438D">
        <w:t>AIN</w:t>
      </w:r>
      <w:r>
        <w:t>, detaliate în paragrafele ce succed în contextul analizării legalităţii actului adiţional.</w:t>
      </w:r>
    </w:p>
    <w:p w14:paraId="339132D9" w14:textId="77777777" w:rsidR="004830ED" w:rsidRDefault="001F68B8">
      <w:pPr>
        <w:ind w:firstLine="708"/>
        <w:jc w:val="both"/>
      </w:pPr>
      <w:r>
        <w:t xml:space="preserve"> Or, executarea unei clauze din  contractul colectiv de muncă se impunea a fi adusă la îndeplinire, atâta timp cât potrivit art. 236 alin. 4 din Codul muncii, contractele colective de muncă încheiate cu respectarea dispoziţiilor legale constituie  legea părţilor, iar în speţă nu s-a invocat nulitatea clauzei prin care a fost negociată acordarea premiilor ocazionale. De altfel, apelanta şi precizează în cererea de apel că nu a  invocat o atare nulitate  şi că susţinerile sale vizează neîndeplinirea condiţiil</w:t>
      </w:r>
      <w:r>
        <w:t>or pentru acordarea acelor beneficii, susţineri care însă nu pot fi acceptate date fiind argumentele anterior relevate.</w:t>
      </w:r>
    </w:p>
    <w:p w14:paraId="64587C3B" w14:textId="77777777" w:rsidR="004830ED" w:rsidRDefault="001F68B8">
      <w:pPr>
        <w:ind w:firstLine="708"/>
        <w:jc w:val="both"/>
      </w:pPr>
      <w:r>
        <w:lastRenderedPageBreak/>
        <w:t xml:space="preserve"> În schimb, apar ca fiind pertinente criticile părţii apelante pârâte în susţinerea solicitării formulate de schimbare în parte a sentinţei în sensul înlăturării dispoziţiei referitoare la constatarea nulităţii actului adiţional.</w:t>
      </w:r>
    </w:p>
    <w:p w14:paraId="31A2D5A0" w14:textId="77777777" w:rsidR="004830ED" w:rsidRDefault="001F68B8">
      <w:pPr>
        <w:ind w:firstLine="708"/>
        <w:jc w:val="both"/>
      </w:pPr>
      <w:r>
        <w:t xml:space="preserve"> Actul adiţional la contractul individual de muncă a cărui nulitate s-a solicitat a fi constatată, a fost emis la data de 01.02.2016, în baza art. 41 din Codul muncii, părţile de comun acord convenind începând  cu data de 1.02.2016 modificarea salariului lunar de încadrare la 1900 lei.</w:t>
      </w:r>
    </w:p>
    <w:p w14:paraId="4EEA2E12" w14:textId="2AD27780" w:rsidR="004830ED" w:rsidRDefault="001F68B8">
      <w:pPr>
        <w:ind w:firstLine="708"/>
        <w:jc w:val="both"/>
      </w:pPr>
      <w:r>
        <w:t xml:space="preserve"> Sigur că din perspectiva prevederilor  art. 57 alin. 4 din Codul muncii, în situaţia în care o clauză este afectată de nulitate întrucât stabileşte drepturi sau obligaţii pentru salariaţi care contravin unor norme legale imperative, aceasta este înlocuită de drept cu dispoziţiile legale aplicabile, însă în speţă evaluarea probatoriului administrat nu a pus în evidenţă încheierea actului adiţional cu nesocotirea unor dispoziţii legale, în sensul că majorările salariale convenite prin respectivul act ar cont</w:t>
      </w:r>
      <w:r>
        <w:t xml:space="preserve">raveni dispoziţiilor legale la care s-a făcut trimitere în actul de control al ANAF, referitor la majorările salariale, Dispoziţia obligatorie nr. </w:t>
      </w:r>
      <w:r w:rsidR="003F438D">
        <w:t>...</w:t>
      </w:r>
      <w:r>
        <w:t xml:space="preserve"> din 21.09.2009 prin care s-a dispus reîntregirea patrimoniului SC </w:t>
      </w:r>
      <w:r w:rsidR="001D2736">
        <w:t>ASM</w:t>
      </w:r>
      <w:r>
        <w:t xml:space="preserve"> SA cu suma de 496.000 lei, fiind întemeiată în drept pe art. 7 şi art. 9 alin. 3 din OG nr. 26/2013, respectiv art. 54 alin. 1 lit. c şi art. 54 alin. 6 lit. a din Legea bugetului de stat pe anul 2016, nr. 339/2015. </w:t>
      </w:r>
    </w:p>
    <w:p w14:paraId="08F6454E" w14:textId="78F456F4" w:rsidR="004830ED" w:rsidRDefault="001F68B8">
      <w:pPr>
        <w:ind w:firstLine="708"/>
        <w:jc w:val="both"/>
      </w:pPr>
      <w:r>
        <w:t xml:space="preserve"> În sprijinul concluziei mai sus enunţate, în sensul că nu subzistă temeiuri pentru a se aprecia că actul adiţional ar fi lovit de nulitate, sunt edificatoare constatările expertului </w:t>
      </w:r>
      <w:r w:rsidR="003F438D">
        <w:t>AIN</w:t>
      </w:r>
      <w:r>
        <w:t xml:space="preserve"> cuprinse în expertiza contabilă extrajudiciară efectuată la data de 22.08.2019 în baza contractului de prestări servicii nr. </w:t>
      </w:r>
      <w:r w:rsidR="003F438D">
        <w:t>...</w:t>
      </w:r>
      <w:r>
        <w:t xml:space="preserve"> din 23.07.2019 încheiat cu </w:t>
      </w:r>
      <w:r w:rsidR="001D2736">
        <w:t>ASM</w:t>
      </w:r>
      <w:r>
        <w:t xml:space="preserve"> SA prin care s-a concluzionat în ceea ce priveşte întocmirea, fundamentarea şi execuţia bugetului de venituri şi cheltuieli pentru anul 2015, că societatea </w:t>
      </w:r>
      <w:r w:rsidR="001D2736">
        <w:t>ASM</w:t>
      </w:r>
      <w:r>
        <w:t xml:space="preserve"> SA a respectat atât prevederile Legii nr. 186/2015 – Legea Bugetului de Stat pe anul 2015, cât şi prevederile OG nr. 26/2013, de asemenea, şi cu privire la întocmirea, fundamentarea şi exe</w:t>
      </w:r>
      <w:r>
        <w:t xml:space="preserve">cuţia bugetului de venituri şi cheltuieli pentru anul 2016, expertul a concluzionat că societatea </w:t>
      </w:r>
      <w:r w:rsidR="001D2736">
        <w:t>ASM</w:t>
      </w:r>
      <w:r>
        <w:t xml:space="preserve"> SA a respectat atât prevederile  Legii nr. 339/2015 – Legea Bugetului de Stat pe anul 2016, cât şi prevederile OG nr. 26/2013.</w:t>
      </w:r>
    </w:p>
    <w:p w14:paraId="6ACD6FDD" w14:textId="23B57477" w:rsidR="004830ED" w:rsidRDefault="001F68B8">
      <w:pPr>
        <w:ind w:firstLine="708"/>
        <w:jc w:val="both"/>
      </w:pPr>
      <w:r>
        <w:t xml:space="preserve"> Prima concluzie a expertului vizând anul 2015 s-a bazat pe 2 indicatori, şi anume, privind numărul de salariaţi</w:t>
      </w:r>
      <w:r>
        <w:t xml:space="preserve"> la sfârșitul anului 2015, şi respectiv cel referitor la cheltuielile privind salariile, din care rezultă că nici cheltuielile de natură salarială şi nici numărul de personal  la finele anului nu au depăşit limitele prevăzute în bugetul de venituri şi cheltuieli aprobat. De asemenea, şi cu privire la bugetul de venituri şi cheltuieli aprobat pentru anul 2016, respectiv referitor la situaţiile financiare anuale aprobate aferente exerciţiului financiar 2016, expertul a constatat că </w:t>
      </w:r>
      <w:r w:rsidR="001D2736">
        <w:t>ASM</w:t>
      </w:r>
      <w:r>
        <w:t xml:space="preserve"> SA nu a depăşit niciunu</w:t>
      </w:r>
      <w:r>
        <w:t>l dintre cei doi indicatori mai sus  menţionaţi.</w:t>
      </w:r>
    </w:p>
    <w:p w14:paraId="664969C5" w14:textId="0C710C10" w:rsidR="004830ED" w:rsidRDefault="001F68B8">
      <w:pPr>
        <w:ind w:firstLine="708"/>
        <w:jc w:val="both"/>
      </w:pPr>
      <w:r>
        <w:t xml:space="preserve"> În dezvoltarea problematicii expuse, expertul a constatat că în bugetul de venituri şi cheltuieli aferent anului 2016, cheltuielile de natură salarială au fost preconizate a avea o creştere de 11,8076%, creştere ce se datorează pe de o parte creşterii salariului minim brut pe ţară garantat în plată, iar pe de altă parte, reîntregirii cheltuielilor de natură salarială pe întreg anul 2016 datorită creşterii numărului de salariaţi preconizaţi în ultimul buget de venituri şi cheltuieli aprobat conform preveder</w:t>
      </w:r>
      <w:r>
        <w:t xml:space="preserve">ilor legale (cel rectificat  aferent anului 2015). În  urma analizării celor patru criterii prevăzute la art. 54 alin. 4 din Legea nr. 339/2015, expertul a concluzionat că toate criteriile  sunt îndeplinite, la întocmirea bugetului de venituri şi cheltuieli pentru anul 2016 fiind respectate întocmai prevederile art. 54 alin. 4, sens în care s-a precizat că în bugetul de venituri şi cheltuieli pentru anul 2016, </w:t>
      </w:r>
      <w:r w:rsidR="001D2736">
        <w:t>ASM</w:t>
      </w:r>
      <w:r>
        <w:t xml:space="preserve"> SA nu a prevăzut majorări ale câştigului mediu brut pe salariat altele decât cele datorate  ma</w:t>
      </w:r>
      <w:r>
        <w:t xml:space="preserve">jorării salariului de bază minim brut pe ţară garantat în plată, iar cheltuielile de natură salarială majorate previzionate şi prevăzute în bugetul de venituri şi cheltuieli pe anul 2016 sunt datorate faptului că societatea a  prevăzut cheltuieli de natură salarială pentru un număr de 474 persoane, conform organigramei modificate în cursul anului 2015, în concluzie, expertul a concluzionat că au fost respectate şi </w:t>
      </w:r>
      <w:r>
        <w:lastRenderedPageBreak/>
        <w:t>prevederile OG nr. 26/2013 cu privire la execuţia bugetului aprobat pe anul 2016, nefiind depă</w:t>
      </w:r>
      <w:r>
        <w:t>şit niciunul dintre indicatorii prevăzuţi la art. 10 alin. 1 lit. a din ordonanţa menţionată.</w:t>
      </w:r>
    </w:p>
    <w:p w14:paraId="296B8767" w14:textId="77777777" w:rsidR="004830ED" w:rsidRDefault="001F68B8">
      <w:pPr>
        <w:ind w:firstLine="708"/>
        <w:jc w:val="both"/>
      </w:pPr>
      <w:r>
        <w:t xml:space="preserve"> În opinia instanţei de apel, concluziile inserate în raportul de expertiză sunt elocvente sub un dublu aspect, punând în evidenţă nu numai că majorările salariale din actul adiţional corespund dispoziţiilor legale, dar şi că prin modul în care a fost întocmit, fundamentat şi executat bugetul de venituri şi cheltuieli la nivelul angajatorului, au existat disponibilităţi băneşti pentru acordarea drepturilor băneşti negociate cu salariaţii săi prin contractul colectiv de muncă.</w:t>
      </w:r>
    </w:p>
    <w:p w14:paraId="1D365648" w14:textId="77777777" w:rsidR="004830ED" w:rsidRDefault="001F68B8">
      <w:pPr>
        <w:ind w:firstLine="708"/>
        <w:jc w:val="both"/>
      </w:pPr>
      <w:r>
        <w:t xml:space="preserve"> De altfel, chiar şi în ipoteza în care ar exista temeiuri pentru a se putea considera că actul adiţional este afectat de nulitate, nu pot fi acceptate alegaţiile apelantei reclamante axate pe susţinerea că în speţă nu sunt incidente prevederile art. 57 alin. 2 din Codul muncii, fiind de observat că, în opinia acesteia, contractul de muncă şi actele adiţionale  la acesta ar fi supuse unor regimuri juridice diferite, sub aspectul efectelor nulităţii. Într-adevăr, spre deosebire de art. 57 alin. 1 din Codul m</w:t>
      </w:r>
      <w:r>
        <w:t>uncii, care reglementează nulitatea totală, articolul 57 alin. 4 reglementează nulitatea parţială, dar în cazul ambelor categorii de nulităţi efectele nulităţii sunt cele cârmuite de alineatul 2 al aceluiaşi articol care stipulează cu claritate că nulitatea produce efecte  numai pentru viitor, nu şi pentru trecut, având prevalenţă norma specială de dreptul muncii în raport de regulile din dreptul comun  referitoare la repunerea părţilor în situaţia anterioară, contrar susţinerilor societăţii apelante.</w:t>
      </w:r>
    </w:p>
    <w:p w14:paraId="4898D628" w14:textId="77777777" w:rsidR="004830ED" w:rsidRDefault="001F68B8">
      <w:pPr>
        <w:ind w:firstLine="708"/>
        <w:jc w:val="both"/>
      </w:pPr>
      <w:r>
        <w:t xml:space="preserve"> În considerarea ansamblului argumentelor expuse, Curtea conchide că sumele de  bani a căror restituire a fost solicitată de reclamantă prin demersul său judiciar îşi găsesc justificare în clauzele contractului colectiv de muncă, respectiv în actul adiţional încheiat cu respectarea dispoziţiilor legale, cele două dispoziţii obligatorii invocate nefăcând dovada situaţiei de fapt pretinse, respectiv a efectuării către partea pârâtă a unor plăţi nedatorate, fiind evident că din perspectiva prevederilor art. 25</w:t>
      </w:r>
      <w:r>
        <w:t>6 alin. 1 din Codul muncii, în speţă nu sunt întrunite condiţiile plăţii nedatorate invocate ca şi temei al pretenţiilor formulate.</w:t>
      </w:r>
    </w:p>
    <w:p w14:paraId="2A5C99BE" w14:textId="77777777" w:rsidR="004830ED" w:rsidRDefault="001F68B8">
      <w:pPr>
        <w:ind w:firstLine="708"/>
        <w:jc w:val="both"/>
      </w:pPr>
      <w:r>
        <w:t xml:space="preserve"> Răspunderea patrimonială întemeiată pe dispoziţiile art. 256 din Codul muncii este condiţionată de caracterul necuvenit al unor  sume de bani încasate de salariaţi de la angajator, or împrejurarea că în urma unui control al ANAF finalizat cu întocmirea celor două dispoziţii mai sus menţionate, s-a stabilit că plata drepturilor băneşti a căror restituire se solicită de către angajator, ar fi fost efectuată în mod nelegal, nu are relevanţă, pentru că actele respective nu se pot opune instanţei cu forţă oblig</w:t>
      </w:r>
      <w:r>
        <w:t xml:space="preserve">atorie, caracterul legal sau nelegal al plăţilor efectuate impunându-se a fi stabilit în cadrul procedurii desfăşurate în faţa instanţei de judecată, iar în speţă, din perspectiva probatoriului administrat nu a fost identificată nicio cauză de  nulitate a actului adiţional, de asemenea s-a probat pe deplin că drepturile reprezentând premii ocazionale au fost acordate în executarea obligaţiei asumată de angajator prin contractul colectiv de muncă, concluzie în raport de care nu subzistă temeiuri pentru a se </w:t>
      </w:r>
      <w:r>
        <w:t>da curs solicitării reclamantei privitoare la schimbarea soluţiei apelate, soluţie ce va fi schimbată însă în parte la solicitarea părţii pârâte, având în vedere absenţa oricăror dovezi prin care să se fi demonstrat că actul adiţional ar fi fost încheiat cu înfrângerea unor dispoziţii legale.</w:t>
      </w:r>
    </w:p>
    <w:p w14:paraId="3D82E65D" w14:textId="77777777" w:rsidR="004830ED" w:rsidRDefault="001F68B8">
      <w:pPr>
        <w:ind w:firstLine="708"/>
        <w:jc w:val="both"/>
      </w:pPr>
      <w:r>
        <w:t xml:space="preserve"> Nu în ultimul rând, referitor la susţinerile părţii apelante pârâte privitoare la lipsa unui interes juridic actual din partea reclamantei, cu motivarea că sumele achitate sunt aferente anilor 2015 – 2016, iar actul normativ de exonerare, Legea nr. 78/2018, priveşte toate sumele plătite anterior publicării legii în Monitorul Oficial, este de reţinut că această excepţie invocată şi în faţa primei instanţe, reiterată prin cererea de apel, nu se mai impune a fi supusă vreunei analize atâta timp cât instanţa d</w:t>
      </w:r>
      <w:r>
        <w:t>e apel a concluzionat că veniturile de natură salarială încasate de partea pârâtă nu reprezintă drepturi încasate nelegal, pentru a se putea dispune obligarea sa la restituirea respectivelor sume, sens în care criticile societăţii apelante pe această chestiune au fost înlăturate, perspectivă din care analizarea excepţiei aflată în discuţie a devenit superfluă.</w:t>
      </w:r>
    </w:p>
    <w:p w14:paraId="61CC5D8B" w14:textId="77777777" w:rsidR="004830ED" w:rsidRDefault="001F68B8">
      <w:pPr>
        <w:ind w:firstLine="708"/>
        <w:jc w:val="both"/>
      </w:pPr>
      <w:r>
        <w:t xml:space="preserve"> Faţă de ansamblul considerentelor ce preced, Curtea, în baza dispoziţiilor art. 480 alin. 2 din Codul de procedură civilă, va admite apelul părţii pârâte, va schimba în  parte sentinţa în </w:t>
      </w:r>
      <w:r>
        <w:lastRenderedPageBreak/>
        <w:t>sensul că va respinge în întregime acţiunea, cu înlăturarea dispoziţiei privind constatarea nulităţii actului adiţional, toate celelalte dispoziţii ale sentinţei fiind păstrate.</w:t>
      </w:r>
    </w:p>
    <w:p w14:paraId="782D7C94" w14:textId="77777777" w:rsidR="004830ED" w:rsidRDefault="001F68B8">
      <w:pPr>
        <w:ind w:firstLine="708"/>
        <w:jc w:val="both"/>
      </w:pPr>
      <w:r>
        <w:t xml:space="preserve"> Totodată, în baza prevederilor art. 480 alin. 1 din Codul de procedură civilă, instanța va respinge ca nefondat apelul declarat de reclamanta din cauză.</w:t>
      </w:r>
    </w:p>
    <w:p w14:paraId="041126DD" w14:textId="77777777" w:rsidR="004830ED" w:rsidRDefault="001F68B8">
      <w:pPr>
        <w:ind w:firstLine="708"/>
        <w:jc w:val="both"/>
      </w:pPr>
      <w:r>
        <w:t xml:space="preserve"> Se va lua act că, deși s-au solicitat cheltuieli de judecată prin întâmpinare nu s-a indicat cuantumul și nu s-a făcut dovada lor, astfel că nu se vor acorda.</w:t>
      </w:r>
    </w:p>
    <w:p w14:paraId="210CB1BF" w14:textId="77777777" w:rsidR="004830ED" w:rsidRDefault="004830ED">
      <w:pPr>
        <w:jc w:val="both"/>
      </w:pPr>
    </w:p>
    <w:p w14:paraId="7F0BAE78" w14:textId="77777777" w:rsidR="004830ED" w:rsidRDefault="001F68B8">
      <w:pPr>
        <w:jc w:val="center"/>
        <w:rPr>
          <w:rStyle w:val="Fontdeparagrafimplicit1"/>
          <w:b/>
          <w:i/>
        </w:rPr>
      </w:pPr>
      <w:r>
        <w:rPr>
          <w:rStyle w:val="Fontdeparagrafimplicit1"/>
          <w:b/>
          <w:i/>
        </w:rPr>
        <w:t xml:space="preserve">PENTRU ACESTE MOTIVE </w:t>
      </w:r>
    </w:p>
    <w:p w14:paraId="7E3139BC" w14:textId="77777777" w:rsidR="004830ED" w:rsidRDefault="001F68B8">
      <w:pPr>
        <w:jc w:val="center"/>
        <w:rPr>
          <w:rStyle w:val="Fontdeparagrafimplicit1"/>
          <w:b/>
          <w:i/>
        </w:rPr>
      </w:pPr>
      <w:r>
        <w:rPr>
          <w:rStyle w:val="Fontdeparagrafimplicit1"/>
          <w:b/>
          <w:i/>
        </w:rPr>
        <w:t xml:space="preserve">ÎN NUMELE LEGII </w:t>
      </w:r>
    </w:p>
    <w:p w14:paraId="4180E326" w14:textId="77777777" w:rsidR="004830ED" w:rsidRDefault="001F68B8">
      <w:pPr>
        <w:jc w:val="center"/>
        <w:rPr>
          <w:rStyle w:val="Fontdeparagrafimplicit1"/>
          <w:b/>
          <w:i/>
        </w:rPr>
      </w:pPr>
      <w:r>
        <w:rPr>
          <w:rStyle w:val="Fontdeparagrafimplicit1"/>
          <w:b/>
          <w:i/>
        </w:rPr>
        <w:t xml:space="preserve">D E C I D E : </w:t>
      </w:r>
    </w:p>
    <w:p w14:paraId="0896FA68" w14:textId="77777777" w:rsidR="004830ED" w:rsidRDefault="004830ED">
      <w:pPr>
        <w:jc w:val="center"/>
        <w:rPr>
          <w:rStyle w:val="Fontdeparagrafimplicit1"/>
          <w:b/>
          <w:i/>
        </w:rPr>
      </w:pPr>
    </w:p>
    <w:p w14:paraId="231113D7" w14:textId="7B71277C" w:rsidR="004830ED" w:rsidRDefault="001F68B8">
      <w:pPr>
        <w:ind w:firstLine="708"/>
        <w:jc w:val="both"/>
      </w:pPr>
      <w:r>
        <w:rPr>
          <w:rStyle w:val="Fontdeparagrafimplicit1"/>
          <w:b/>
        </w:rPr>
        <w:t>Respinge</w:t>
      </w:r>
      <w:r>
        <w:t xml:space="preserve"> ca nefondat apelul civil declarat de  apelanta reclamantă SC </w:t>
      </w:r>
      <w:r w:rsidR="001D2736">
        <w:t>ASM</w:t>
      </w:r>
      <w:r>
        <w:t xml:space="preserve"> SA </w:t>
      </w:r>
      <w:r w:rsidR="001D2736">
        <w:t>Z</w:t>
      </w:r>
      <w:r>
        <w:t xml:space="preserve">, în contradictoriu cu intimatul pârât </w:t>
      </w:r>
      <w:r w:rsidR="001D2736">
        <w:rPr>
          <w:rStyle w:val="Fontdeparagrafimplicit1"/>
          <w:b/>
        </w:rPr>
        <w:t>SI</w:t>
      </w:r>
      <w:r>
        <w:t xml:space="preserve">, prin Sindicatul </w:t>
      </w:r>
      <w:r w:rsidR="003F438D">
        <w:t>L C</w:t>
      </w:r>
      <w:r>
        <w:t xml:space="preserve"> </w:t>
      </w:r>
      <w:r w:rsidR="001D2736">
        <w:t>Z</w:t>
      </w:r>
      <w:r>
        <w:t xml:space="preserve">.  </w:t>
      </w:r>
    </w:p>
    <w:p w14:paraId="6132F173" w14:textId="3261BF3E" w:rsidR="004830ED" w:rsidRDefault="001F68B8">
      <w:pPr>
        <w:ind w:firstLine="708"/>
        <w:jc w:val="both"/>
      </w:pPr>
      <w:r>
        <w:rPr>
          <w:rStyle w:val="Fontdeparagrafimplicit1"/>
          <w:b/>
        </w:rPr>
        <w:t>ADMITE</w:t>
      </w:r>
      <w:r>
        <w:t xml:space="preserve"> ca fondat apelul civil declarat de apelantul pârât </w:t>
      </w:r>
      <w:r w:rsidR="001D2736">
        <w:rPr>
          <w:rStyle w:val="Fontdeparagrafimplicit1"/>
          <w:b/>
        </w:rPr>
        <w:t>SI</w:t>
      </w:r>
      <w:r>
        <w:t xml:space="preserve">, CNP </w:t>
      </w:r>
      <w:r w:rsidR="003F438D">
        <w:t>...</w:t>
      </w:r>
      <w:r>
        <w:t xml:space="preserve">, prin Sindicatul </w:t>
      </w:r>
      <w:r w:rsidR="003F438D">
        <w:t>L C</w:t>
      </w:r>
      <w:r>
        <w:t xml:space="preserve"> </w:t>
      </w:r>
      <w:r w:rsidR="001D2736">
        <w:t>Z</w:t>
      </w:r>
      <w:r>
        <w:t xml:space="preserve">, cu dom. ales la sediul secundar al Cabinetului de avocat </w:t>
      </w:r>
      <w:r w:rsidR="001D2736">
        <w:t>...</w:t>
      </w:r>
      <w:r>
        <w:t xml:space="preserve"> situat în mun. </w:t>
      </w:r>
      <w:r w:rsidR="001D2736">
        <w:t>Z</w:t>
      </w:r>
      <w:r>
        <w:t xml:space="preserve">, str. </w:t>
      </w:r>
      <w:r w:rsidR="001D2736">
        <w:t>...</w:t>
      </w:r>
      <w:r>
        <w:t>, nr.</w:t>
      </w:r>
      <w:r w:rsidR="003F438D">
        <w:t>...</w:t>
      </w:r>
      <w:r>
        <w:t>, ap.</w:t>
      </w:r>
      <w:r w:rsidR="003F438D">
        <w:t>...</w:t>
      </w:r>
      <w:r>
        <w:t xml:space="preserve">, judeţul </w:t>
      </w:r>
      <w:r w:rsidR="001D2736">
        <w:t>Z</w:t>
      </w:r>
      <w:r>
        <w:t xml:space="preserve">, în contradictoriu cu intimata reclamantă </w:t>
      </w:r>
      <w:r>
        <w:rPr>
          <w:rStyle w:val="Fontdeparagrafimplicit1"/>
          <w:b/>
        </w:rPr>
        <w:t xml:space="preserve">SC </w:t>
      </w:r>
      <w:r w:rsidR="001D2736">
        <w:rPr>
          <w:rStyle w:val="Fontdeparagrafimplicit1"/>
          <w:b/>
        </w:rPr>
        <w:t>ASM</w:t>
      </w:r>
      <w:r>
        <w:rPr>
          <w:rStyle w:val="Fontdeparagrafimplicit1"/>
          <w:b/>
        </w:rPr>
        <w:t xml:space="preserve"> SA</w:t>
      </w:r>
      <w:r>
        <w:t xml:space="preserve"> </w:t>
      </w:r>
      <w:r w:rsidR="001D2736">
        <w:t>Z</w:t>
      </w:r>
      <w:r>
        <w:t xml:space="preserve">- având număr de ordine în Registrul Comerțului </w:t>
      </w:r>
      <w:r w:rsidR="003F438D">
        <w:t>...</w:t>
      </w:r>
      <w:r>
        <w:t xml:space="preserve">şi C.U.I. RO </w:t>
      </w:r>
      <w:r w:rsidR="003F438D">
        <w:t>...</w:t>
      </w:r>
      <w:r>
        <w:t xml:space="preserve">, cu sediul procedural ales la Cabinet de Avocat </w:t>
      </w:r>
      <w:r w:rsidR="001D2736">
        <w:t>...</w:t>
      </w:r>
      <w:r>
        <w:t xml:space="preserve"> SPARL, în </w:t>
      </w:r>
      <w:r w:rsidR="001D2736">
        <w:t>Z</w:t>
      </w:r>
      <w:r>
        <w:t xml:space="preserve">, str. </w:t>
      </w:r>
      <w:r w:rsidR="001D2736">
        <w:t>...</w:t>
      </w:r>
      <w:r>
        <w:t xml:space="preserve">, nr. </w:t>
      </w:r>
      <w:r w:rsidR="001D2736">
        <w:t>...</w:t>
      </w:r>
      <w:r>
        <w:t xml:space="preserve">, judeţul </w:t>
      </w:r>
      <w:r w:rsidR="001D2736">
        <w:t>Z</w:t>
      </w:r>
      <w:r>
        <w:t xml:space="preserve">,  împotriva sentinței civile nr. </w:t>
      </w:r>
      <w:r w:rsidR="001D2736">
        <w:t>...</w:t>
      </w:r>
      <w:r>
        <w:t xml:space="preserve"> din data de </w:t>
      </w:r>
      <w:r w:rsidR="003F438D">
        <w:t>...</w:t>
      </w:r>
      <w:r>
        <w:t xml:space="preserve">2020, pronunţată de Tribunalul </w:t>
      </w:r>
      <w:r w:rsidR="001D2736">
        <w:t>Z</w:t>
      </w:r>
      <w:r>
        <w:t xml:space="preserve">, pe care </w:t>
      </w:r>
      <w:r>
        <w:t>o schimbă  în parte în sensul că:</w:t>
      </w:r>
    </w:p>
    <w:p w14:paraId="7A65BA84" w14:textId="733783DD" w:rsidR="004830ED" w:rsidRDefault="001F68B8">
      <w:pPr>
        <w:ind w:firstLine="708"/>
        <w:jc w:val="both"/>
      </w:pPr>
      <w:r>
        <w:rPr>
          <w:rStyle w:val="Fontdeparagrafimplicit1"/>
          <w:b/>
        </w:rPr>
        <w:t>Respinge</w:t>
      </w:r>
      <w:r>
        <w:t xml:space="preserve"> în întregime acţiunea</w:t>
      </w:r>
      <w:r>
        <w:t xml:space="preserve"> formulată de reclamanta SC </w:t>
      </w:r>
      <w:r w:rsidR="001D2736">
        <w:t>ASM</w:t>
      </w:r>
      <w:r>
        <w:t xml:space="preserve"> SA </w:t>
      </w:r>
      <w:r w:rsidR="001D2736">
        <w:t>Z</w:t>
      </w:r>
      <w:r>
        <w:t xml:space="preserve">, având număr de ordine în Registrul Comerțului </w:t>
      </w:r>
      <w:r w:rsidR="003F438D">
        <w:t>....</w:t>
      </w:r>
      <w:r>
        <w:t xml:space="preserve"> şi C.U.I. RO </w:t>
      </w:r>
      <w:r w:rsidR="003F438D">
        <w:t>...</w:t>
      </w:r>
      <w:r>
        <w:t xml:space="preserve">, cu sediul procedural ales la Cabinet de Avocat </w:t>
      </w:r>
      <w:r w:rsidR="001D2736">
        <w:t>...</w:t>
      </w:r>
      <w:r>
        <w:t xml:space="preserve"> SPARL, în </w:t>
      </w:r>
      <w:r w:rsidR="001D2736">
        <w:t>Z</w:t>
      </w:r>
      <w:r>
        <w:t xml:space="preserve">, str. </w:t>
      </w:r>
      <w:r w:rsidR="001D2736">
        <w:t>...</w:t>
      </w:r>
      <w:r>
        <w:t xml:space="preserve">, nr. </w:t>
      </w:r>
      <w:r w:rsidR="001D2736">
        <w:t>...</w:t>
      </w:r>
      <w:r>
        <w:t xml:space="preserve">, judeţul </w:t>
      </w:r>
      <w:r w:rsidR="001D2736">
        <w:t>Z</w:t>
      </w:r>
      <w:r>
        <w:t xml:space="preserve">, în contradictoriu cu pârâtul </w:t>
      </w:r>
      <w:r w:rsidR="001D2736">
        <w:rPr>
          <w:rStyle w:val="Fontdeparagrafimplicit1"/>
          <w:b/>
        </w:rPr>
        <w:t>SI</w:t>
      </w:r>
      <w:r>
        <w:t xml:space="preserve">, CNP </w:t>
      </w:r>
      <w:r w:rsidR="003F438D">
        <w:t>...</w:t>
      </w:r>
      <w:r>
        <w:t xml:space="preserve">, prin Sindicatul </w:t>
      </w:r>
      <w:r w:rsidR="003F438D">
        <w:t>L C</w:t>
      </w:r>
      <w:r>
        <w:t xml:space="preserve"> </w:t>
      </w:r>
      <w:r w:rsidR="001D2736">
        <w:t>Z</w:t>
      </w:r>
      <w:r>
        <w:t xml:space="preserve"> – cu domiciliul ales la Cab. avocat </w:t>
      </w:r>
      <w:r w:rsidR="001D2736">
        <w:t>...</w:t>
      </w:r>
      <w:r>
        <w:t xml:space="preserve">, din </w:t>
      </w:r>
      <w:r w:rsidR="001D2736">
        <w:t>Z</w:t>
      </w:r>
      <w:r>
        <w:t>, str.</w:t>
      </w:r>
      <w:r w:rsidR="001D2736">
        <w:t>...</w:t>
      </w:r>
      <w:r>
        <w:t xml:space="preserve">, nr. </w:t>
      </w:r>
      <w:r w:rsidR="003F438D">
        <w:t>...</w:t>
      </w:r>
      <w:r>
        <w:t xml:space="preserve">, ap. </w:t>
      </w:r>
      <w:r w:rsidR="003F438D">
        <w:t>...</w:t>
      </w:r>
      <w:r>
        <w:t xml:space="preserve">, judeţul </w:t>
      </w:r>
      <w:r w:rsidR="001D2736">
        <w:t>Z</w:t>
      </w:r>
      <w:r>
        <w:t>.</w:t>
      </w:r>
    </w:p>
    <w:p w14:paraId="2BB14FD1" w14:textId="77777777" w:rsidR="004830ED" w:rsidRDefault="001F68B8">
      <w:pPr>
        <w:ind w:firstLine="708"/>
        <w:jc w:val="both"/>
      </w:pPr>
      <w:r>
        <w:t xml:space="preserve">Înlătură dispoziția de constatare a nulităţii actului adiţional indicat în cerere. </w:t>
      </w:r>
    </w:p>
    <w:p w14:paraId="4C4FD420" w14:textId="77777777" w:rsidR="004830ED" w:rsidRDefault="001F68B8">
      <w:pPr>
        <w:ind w:firstLine="708"/>
        <w:jc w:val="both"/>
      </w:pPr>
      <w:r>
        <w:t xml:space="preserve">Menţine restul dispozițiilor sentinței apelate.          </w:t>
      </w:r>
    </w:p>
    <w:p w14:paraId="2D89A93E" w14:textId="77777777" w:rsidR="004830ED" w:rsidRDefault="001F68B8">
      <w:pPr>
        <w:ind w:firstLine="708"/>
        <w:jc w:val="both"/>
      </w:pPr>
      <w:r>
        <w:t xml:space="preserve">Fără cheltuieli de judecată.                                               </w:t>
      </w:r>
    </w:p>
    <w:p w14:paraId="152E6C4B" w14:textId="77777777" w:rsidR="004830ED" w:rsidRDefault="001F68B8">
      <w:pPr>
        <w:ind w:firstLine="708"/>
        <w:jc w:val="both"/>
      </w:pPr>
      <w:r>
        <w:t>DEFINITIVĂ.</w:t>
      </w:r>
    </w:p>
    <w:p w14:paraId="30FD38A3" w14:textId="00F8A7C2" w:rsidR="004830ED" w:rsidRDefault="001F68B8">
      <w:pPr>
        <w:ind w:firstLine="708"/>
        <w:jc w:val="both"/>
      </w:pPr>
      <w:r>
        <w:t xml:space="preserve">Pronunţată în data de </w:t>
      </w:r>
      <w:r w:rsidR="003F438D">
        <w:t>...</w:t>
      </w:r>
      <w:r>
        <w:t xml:space="preserve"> 2020, prin punerea soluției la dispoziția părţilor prin mijlocirea grefei instanţei.</w:t>
      </w:r>
    </w:p>
    <w:p w14:paraId="7D729250" w14:textId="77777777" w:rsidR="004830ED" w:rsidRDefault="004830ED">
      <w:pPr>
        <w:ind w:firstLine="708"/>
        <w:jc w:val="both"/>
        <w:rPr>
          <w:rStyle w:val="Fontdeparagrafimplicit1"/>
          <w:b/>
        </w:rPr>
      </w:pPr>
    </w:p>
    <w:p w14:paraId="2F6403BF" w14:textId="77777777" w:rsidR="004830ED" w:rsidRDefault="001F68B8">
      <w:pPr>
        <w:jc w:val="both"/>
        <w:rPr>
          <w:rStyle w:val="Fontdeparagrafimplicit1"/>
          <w:b/>
          <w:i/>
        </w:rPr>
      </w:pPr>
      <w:r>
        <w:rPr>
          <w:rStyle w:val="Fontdeparagrafimplicit1"/>
          <w:b/>
          <w:i/>
        </w:rPr>
        <w:t xml:space="preserve">         PREŞEDINTE </w:t>
      </w:r>
      <w:r>
        <w:rPr>
          <w:rStyle w:val="Fontdeparagrafimplicit1"/>
          <w:b/>
          <w:i/>
        </w:rPr>
        <w:tab/>
      </w:r>
      <w:r>
        <w:rPr>
          <w:rStyle w:val="Fontdeparagrafimplicit1"/>
          <w:b/>
          <w:i/>
        </w:rPr>
        <w:tab/>
        <w:t xml:space="preserve">                     JUDECĂTOR      </w:t>
      </w:r>
      <w:r>
        <w:rPr>
          <w:rStyle w:val="Fontdeparagrafimplicit1"/>
          <w:b/>
          <w:i/>
        </w:rPr>
        <w:tab/>
        <w:t xml:space="preserve">                      GREFIER </w:t>
      </w:r>
    </w:p>
    <w:p w14:paraId="2AF07374" w14:textId="60D78D1E" w:rsidR="004830ED" w:rsidRDefault="001F68B8">
      <w:pPr>
        <w:jc w:val="both"/>
        <w:rPr>
          <w:rStyle w:val="Fontdeparagrafimplicit1"/>
          <w:i/>
        </w:rPr>
      </w:pPr>
      <w:r>
        <w:rPr>
          <w:rStyle w:val="Fontdeparagrafimplicit1"/>
          <w:i/>
        </w:rPr>
        <w:t xml:space="preserve">                            </w:t>
      </w:r>
      <w:r w:rsidR="001D2736">
        <w:rPr>
          <w:rStyle w:val="Fontdeparagrafimplicit1"/>
          <w:i/>
        </w:rPr>
        <w:t>A0011</w:t>
      </w:r>
      <w:r>
        <w:rPr>
          <w:rStyle w:val="Fontdeparagrafimplicit1"/>
          <w:i/>
        </w:rPr>
        <w:t xml:space="preserve">                                                  </w:t>
      </w:r>
      <w:r w:rsidR="001D2736">
        <w:rPr>
          <w:rStyle w:val="Fontdeparagrafimplicit1"/>
          <w:i/>
        </w:rPr>
        <w:t>...</w:t>
      </w:r>
      <w:r>
        <w:rPr>
          <w:rStyle w:val="Fontdeparagrafimplicit1"/>
          <w:i/>
        </w:rPr>
        <w:t xml:space="preserve">                                </w:t>
      </w:r>
      <w:r w:rsidR="001D2736">
        <w:rPr>
          <w:rStyle w:val="Fontdeparagrafimplicit1"/>
          <w:i/>
        </w:rPr>
        <w:t>...</w:t>
      </w:r>
      <w:r>
        <w:rPr>
          <w:rStyle w:val="Fontdeparagrafimplicit1"/>
          <w:i/>
        </w:rPr>
        <w:t xml:space="preserve"> </w:t>
      </w:r>
    </w:p>
    <w:p w14:paraId="658A0467" w14:textId="43B65D0F" w:rsidR="004830ED" w:rsidRDefault="001F68B8">
      <w:pPr>
        <w:ind w:left="7080"/>
        <w:jc w:val="both"/>
        <w:rPr>
          <w:rStyle w:val="Fontdeparagrafimplicit1"/>
          <w:sz w:val="16"/>
        </w:rPr>
      </w:pPr>
      <w:r>
        <w:rPr>
          <w:rStyle w:val="Fontdeparagrafimplicit1"/>
          <w:i/>
          <w:sz w:val="16"/>
        </w:rPr>
        <w:t xml:space="preserve">aflată în concediu medical,  semnează grefier șef secție, </w:t>
      </w:r>
      <w:r w:rsidR="003F438D">
        <w:rPr>
          <w:rStyle w:val="Fontdeparagrafimplicit1"/>
          <w:i/>
          <w:sz w:val="16"/>
        </w:rPr>
        <w:t>....</w:t>
      </w:r>
    </w:p>
    <w:p w14:paraId="7AD7C665" w14:textId="77777777" w:rsidR="004830ED" w:rsidRDefault="004830ED">
      <w:pPr>
        <w:ind w:right="-5"/>
        <w:jc w:val="both"/>
        <w:rPr>
          <w:rStyle w:val="Fontdeparagrafimplicit1"/>
          <w:i/>
          <w:sz w:val="16"/>
        </w:rPr>
      </w:pPr>
    </w:p>
    <w:p w14:paraId="42E30EDF" w14:textId="77777777" w:rsidR="004830ED" w:rsidRDefault="004830ED">
      <w:pPr>
        <w:ind w:right="-5"/>
        <w:jc w:val="both"/>
        <w:rPr>
          <w:rStyle w:val="Fontdeparagrafimplicit1"/>
          <w:i/>
          <w:sz w:val="16"/>
        </w:rPr>
      </w:pPr>
    </w:p>
    <w:p w14:paraId="1BBE565C" w14:textId="77777777" w:rsidR="004830ED" w:rsidRDefault="004830ED">
      <w:pPr>
        <w:ind w:right="-5"/>
        <w:jc w:val="both"/>
        <w:rPr>
          <w:rStyle w:val="Fontdeparagrafimplicit1"/>
          <w:i/>
          <w:sz w:val="16"/>
        </w:rPr>
      </w:pPr>
    </w:p>
    <w:p w14:paraId="7003B6A0" w14:textId="77777777" w:rsidR="004830ED" w:rsidRDefault="004830ED">
      <w:pPr>
        <w:ind w:right="-5"/>
        <w:jc w:val="both"/>
        <w:rPr>
          <w:rStyle w:val="Fontdeparagrafimplicit1"/>
          <w:i/>
          <w:sz w:val="16"/>
        </w:rPr>
      </w:pPr>
    </w:p>
    <w:p w14:paraId="59820299" w14:textId="33C2008E" w:rsidR="004830ED" w:rsidRDefault="001F68B8">
      <w:pPr>
        <w:ind w:right="-5"/>
        <w:jc w:val="both"/>
        <w:rPr>
          <w:rStyle w:val="Fontdeparagrafimplicit1"/>
        </w:rPr>
      </w:pPr>
      <w:r>
        <w:rPr>
          <w:rStyle w:val="Fontdeparagrafimplicit1"/>
          <w:i/>
          <w:sz w:val="16"/>
        </w:rPr>
        <w:t xml:space="preserve">Red.dec.jud. </w:t>
      </w:r>
      <w:r w:rsidR="003F438D">
        <w:rPr>
          <w:rStyle w:val="Fontdeparagrafimplicit1"/>
          <w:i/>
          <w:sz w:val="16"/>
        </w:rPr>
        <w:t>A0011</w:t>
      </w:r>
      <w:r>
        <w:rPr>
          <w:rStyle w:val="Fontdeparagrafimplicit1"/>
          <w:i/>
          <w:sz w:val="16"/>
        </w:rPr>
        <w:t xml:space="preserve"> </w:t>
      </w:r>
      <w:r w:rsidR="003F438D">
        <w:rPr>
          <w:rStyle w:val="Fontdeparagrafimplicit1"/>
          <w:i/>
          <w:sz w:val="16"/>
        </w:rPr>
        <w:t>...</w:t>
      </w:r>
      <w:r>
        <w:rPr>
          <w:rStyle w:val="Fontdeparagrafimplicit1"/>
          <w:i/>
          <w:sz w:val="16"/>
        </w:rPr>
        <w:t>./</w:t>
      </w:r>
      <w:r w:rsidR="003F438D">
        <w:rPr>
          <w:rStyle w:val="Fontdeparagrafimplicit1"/>
          <w:i/>
          <w:sz w:val="16"/>
        </w:rPr>
        <w:t>...</w:t>
      </w:r>
    </w:p>
    <w:p w14:paraId="6BAA85C4" w14:textId="61DF00FF" w:rsidR="004830ED" w:rsidRDefault="001F68B8">
      <w:pPr>
        <w:jc w:val="both"/>
        <w:rPr>
          <w:rStyle w:val="Fontdeparagrafimplicit1"/>
          <w:i/>
          <w:sz w:val="16"/>
        </w:rPr>
      </w:pPr>
      <w:r>
        <w:rPr>
          <w:rStyle w:val="Fontdeparagrafimplicit1"/>
          <w:i/>
          <w:sz w:val="16"/>
        </w:rPr>
        <w:t xml:space="preserve">Jud. fond </w:t>
      </w:r>
      <w:r w:rsidR="003F438D">
        <w:rPr>
          <w:rStyle w:val="Fontdeparagrafimplicit1"/>
          <w:i/>
          <w:sz w:val="16"/>
        </w:rPr>
        <w:t>...</w:t>
      </w:r>
      <w:r>
        <w:rPr>
          <w:rStyle w:val="Fontdeparagrafimplicit1"/>
          <w:i/>
          <w:sz w:val="16"/>
        </w:rPr>
        <w:t xml:space="preserve"> </w:t>
      </w:r>
    </w:p>
    <w:p w14:paraId="07DA9669" w14:textId="1EF52545" w:rsidR="004830ED" w:rsidRDefault="001F68B8">
      <w:pPr>
        <w:jc w:val="both"/>
        <w:rPr>
          <w:rStyle w:val="Fontdeparagrafimplicit1"/>
          <w:i/>
          <w:sz w:val="16"/>
        </w:rPr>
      </w:pPr>
      <w:r>
        <w:rPr>
          <w:rStyle w:val="Fontdeparagrafimplicit1"/>
          <w:i/>
          <w:sz w:val="16"/>
        </w:rPr>
        <w:t>Tehnored.</w:t>
      </w:r>
      <w:r w:rsidR="003F438D">
        <w:rPr>
          <w:rStyle w:val="Fontdeparagrafimplicit1"/>
          <w:i/>
          <w:sz w:val="16"/>
        </w:rPr>
        <w:t>...</w:t>
      </w:r>
      <w:r>
        <w:rPr>
          <w:rStyle w:val="Fontdeparagrafimplicit1"/>
          <w:i/>
          <w:sz w:val="16"/>
        </w:rPr>
        <w:t>/4 ex. /</w:t>
      </w:r>
      <w:r w:rsidR="003F438D">
        <w:rPr>
          <w:rStyle w:val="Fontdeparagrafimplicit1"/>
          <w:i/>
          <w:sz w:val="16"/>
        </w:rPr>
        <w:t>...</w:t>
      </w:r>
      <w:r>
        <w:rPr>
          <w:rStyle w:val="Fontdeparagrafimplicit1"/>
          <w:i/>
          <w:sz w:val="16"/>
        </w:rPr>
        <w:t xml:space="preserve"> </w:t>
      </w:r>
    </w:p>
    <w:p w14:paraId="67C8E454" w14:textId="77777777" w:rsidR="004830ED" w:rsidRDefault="004830ED">
      <w:pPr>
        <w:jc w:val="both"/>
        <w:rPr>
          <w:rStyle w:val="Fontdeparagrafimplicit1"/>
          <w:i/>
        </w:rPr>
      </w:pPr>
    </w:p>
    <w:p w14:paraId="20EC4E79" w14:textId="77777777" w:rsidR="004830ED" w:rsidRDefault="004830ED">
      <w:pPr>
        <w:jc w:val="both"/>
        <w:rPr>
          <w:rStyle w:val="Fontdeparagrafimplicit1"/>
          <w:i/>
        </w:rPr>
      </w:pPr>
    </w:p>
    <w:p w14:paraId="248B3746" w14:textId="77777777" w:rsidR="004830ED" w:rsidRDefault="001F68B8">
      <w:pPr>
        <w:jc w:val="both"/>
        <w:rPr>
          <w:rStyle w:val="Fontdeparagrafimplicit1"/>
          <w:b/>
          <w:i/>
          <w:sz w:val="16"/>
          <w:u w:val="single"/>
        </w:rPr>
      </w:pPr>
      <w:r>
        <w:rPr>
          <w:rStyle w:val="Fontdeparagrafimplicit1"/>
          <w:b/>
          <w:i/>
          <w:sz w:val="16"/>
          <w:u w:val="single"/>
        </w:rPr>
        <w:t xml:space="preserve">Emis 2 comunicări </w:t>
      </w:r>
    </w:p>
    <w:p w14:paraId="0BD43E91" w14:textId="3865F667" w:rsidR="004830ED" w:rsidRDefault="001F68B8">
      <w:pPr>
        <w:numPr>
          <w:ilvl w:val="0"/>
          <w:numId w:val="1"/>
        </w:numPr>
        <w:jc w:val="both"/>
        <w:rPr>
          <w:rStyle w:val="Fontdeparagrafimplicit1"/>
          <w:sz w:val="16"/>
        </w:rPr>
      </w:pPr>
      <w:r>
        <w:rPr>
          <w:rStyle w:val="Fontdeparagrafimplicit1"/>
          <w:b/>
          <w:sz w:val="16"/>
        </w:rPr>
        <w:t xml:space="preserve">SC </w:t>
      </w:r>
      <w:r w:rsidR="001D2736">
        <w:rPr>
          <w:rStyle w:val="Fontdeparagrafimplicit1"/>
          <w:b/>
          <w:sz w:val="16"/>
        </w:rPr>
        <w:t>ASM</w:t>
      </w:r>
      <w:r>
        <w:rPr>
          <w:rStyle w:val="Fontdeparagrafimplicit1"/>
          <w:b/>
          <w:sz w:val="16"/>
        </w:rPr>
        <w:t xml:space="preserve"> SA</w:t>
      </w:r>
      <w:r>
        <w:rPr>
          <w:rStyle w:val="Fontdeparagrafimplicit1"/>
          <w:sz w:val="16"/>
        </w:rPr>
        <w:t xml:space="preserve"> </w:t>
      </w:r>
      <w:r w:rsidR="001D2736">
        <w:rPr>
          <w:rStyle w:val="Fontdeparagrafimplicit1"/>
          <w:sz w:val="16"/>
        </w:rPr>
        <w:t>Z</w:t>
      </w:r>
      <w:r>
        <w:rPr>
          <w:rStyle w:val="Fontdeparagrafimplicit1"/>
          <w:sz w:val="16"/>
        </w:rPr>
        <w:t xml:space="preserve">, cu sediul procedural ales la Cabinet de Avocat </w:t>
      </w:r>
      <w:r w:rsidR="001D2736">
        <w:rPr>
          <w:rStyle w:val="Fontdeparagrafimplicit1"/>
          <w:sz w:val="16"/>
        </w:rPr>
        <w:t>...</w:t>
      </w:r>
      <w:r>
        <w:rPr>
          <w:rStyle w:val="Fontdeparagrafimplicit1"/>
          <w:sz w:val="16"/>
        </w:rPr>
        <w:t xml:space="preserve"> SPARL, în </w:t>
      </w:r>
      <w:r w:rsidR="001D2736">
        <w:rPr>
          <w:rStyle w:val="Fontdeparagrafimplicit1"/>
          <w:sz w:val="16"/>
        </w:rPr>
        <w:t>Z</w:t>
      </w:r>
      <w:r>
        <w:rPr>
          <w:rStyle w:val="Fontdeparagrafimplicit1"/>
          <w:sz w:val="16"/>
        </w:rPr>
        <w:t xml:space="preserve">, str. </w:t>
      </w:r>
      <w:r w:rsidR="001D2736">
        <w:rPr>
          <w:rStyle w:val="Fontdeparagrafimplicit1"/>
          <w:sz w:val="16"/>
        </w:rPr>
        <w:t>...</w:t>
      </w:r>
      <w:r>
        <w:rPr>
          <w:rStyle w:val="Fontdeparagrafimplicit1"/>
          <w:sz w:val="16"/>
        </w:rPr>
        <w:t xml:space="preserve">, nr. </w:t>
      </w:r>
      <w:r w:rsidR="001D2736">
        <w:rPr>
          <w:rStyle w:val="Fontdeparagrafimplicit1"/>
          <w:sz w:val="16"/>
        </w:rPr>
        <w:t>...</w:t>
      </w:r>
      <w:r>
        <w:rPr>
          <w:rStyle w:val="Fontdeparagrafimplicit1"/>
          <w:sz w:val="16"/>
        </w:rPr>
        <w:t xml:space="preserve">, judeţul </w:t>
      </w:r>
      <w:r w:rsidR="001D2736">
        <w:rPr>
          <w:rStyle w:val="Fontdeparagrafimplicit1"/>
          <w:sz w:val="16"/>
        </w:rPr>
        <w:t>Z</w:t>
      </w:r>
      <w:r>
        <w:rPr>
          <w:rStyle w:val="Fontdeparagrafimplicit1"/>
          <w:sz w:val="16"/>
        </w:rPr>
        <w:t xml:space="preserve">, </w:t>
      </w:r>
    </w:p>
    <w:p w14:paraId="6870F4C0" w14:textId="7F5FB3A8" w:rsidR="004830ED" w:rsidRDefault="001F68B8">
      <w:pPr>
        <w:numPr>
          <w:ilvl w:val="0"/>
          <w:numId w:val="1"/>
        </w:numPr>
        <w:jc w:val="both"/>
        <w:rPr>
          <w:rStyle w:val="Fontdeparagrafimplicit1"/>
          <w:sz w:val="16"/>
        </w:rPr>
      </w:pPr>
      <w:r>
        <w:rPr>
          <w:rStyle w:val="Fontdeparagrafimplicit1"/>
          <w:b/>
          <w:sz w:val="16"/>
        </w:rPr>
        <w:t>SI</w:t>
      </w:r>
      <w:r>
        <w:rPr>
          <w:rStyle w:val="Fontdeparagrafimplicit1"/>
          <w:sz w:val="16"/>
        </w:rPr>
        <w:t xml:space="preserve">, prin Sindicatul </w:t>
      </w:r>
      <w:r w:rsidR="003F438D">
        <w:rPr>
          <w:rStyle w:val="Fontdeparagrafimplicit1"/>
          <w:sz w:val="16"/>
        </w:rPr>
        <w:t>L C</w:t>
      </w:r>
      <w:r>
        <w:rPr>
          <w:rStyle w:val="Fontdeparagrafimplicit1"/>
          <w:sz w:val="16"/>
        </w:rPr>
        <w:t xml:space="preserve"> Z – cu domiciliul ales la Cab. avocat ..., din Z, str...., nr. </w:t>
      </w:r>
      <w:r w:rsidR="003F438D">
        <w:rPr>
          <w:rStyle w:val="Fontdeparagrafimplicit1"/>
          <w:sz w:val="16"/>
        </w:rPr>
        <w:t>...</w:t>
      </w:r>
      <w:r>
        <w:rPr>
          <w:rStyle w:val="Fontdeparagrafimplicit1"/>
          <w:sz w:val="16"/>
        </w:rPr>
        <w:t xml:space="preserve"> ap. </w:t>
      </w:r>
      <w:r w:rsidR="003F438D">
        <w:rPr>
          <w:rStyle w:val="Fontdeparagrafimplicit1"/>
          <w:sz w:val="16"/>
        </w:rPr>
        <w:t>...</w:t>
      </w:r>
      <w:r>
        <w:rPr>
          <w:rStyle w:val="Fontdeparagrafimplicit1"/>
          <w:sz w:val="16"/>
        </w:rPr>
        <w:t>, judeţul Z.</w:t>
      </w:r>
    </w:p>
    <w:p w14:paraId="506A4CCE" w14:textId="77777777" w:rsidR="004830ED" w:rsidRDefault="004830ED">
      <w:pPr>
        <w:jc w:val="both"/>
        <w:rPr>
          <w:rStyle w:val="Fontdeparagrafimplicit1"/>
          <w:b/>
          <w:i/>
        </w:rPr>
      </w:pPr>
    </w:p>
    <w:p w14:paraId="1911599F" w14:textId="77777777" w:rsidR="004830ED" w:rsidRDefault="004830ED">
      <w:pPr>
        <w:rPr>
          <w:rStyle w:val="Fontdeparagrafimplicit1"/>
        </w:rPr>
      </w:pPr>
    </w:p>
    <w:p w14:paraId="49A7F9FC" w14:textId="77777777" w:rsidR="004830ED" w:rsidRDefault="004830ED">
      <w:pPr>
        <w:rPr>
          <w:rStyle w:val="Fontdeparagrafimplicit1"/>
        </w:rPr>
      </w:pPr>
    </w:p>
    <w:sectPr w:rsidR="004830ED">
      <w:footerReference w:type="default" r:id="rId7"/>
      <w:pgSz w:w="11906" w:h="16838"/>
      <w:pgMar w:top="1134" w:right="964" w:bottom="964" w:left="1701" w:header="720" w:footer="83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2B139" w14:textId="77777777" w:rsidR="001F68B8" w:rsidRDefault="001F68B8">
      <w:r>
        <w:separator/>
      </w:r>
    </w:p>
  </w:endnote>
  <w:endnote w:type="continuationSeparator" w:id="0">
    <w:p w14:paraId="75B67896" w14:textId="77777777" w:rsidR="001F68B8" w:rsidRDefault="001F6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74589" w14:textId="77777777" w:rsidR="004830ED" w:rsidRDefault="001F68B8">
    <w:pPr>
      <w:pStyle w:val="Subsol1"/>
      <w:jc w:val="right"/>
    </w:pPr>
    <w:r>
      <w:fldChar w:fldCharType="begin"/>
    </w:r>
    <w:r>
      <w:instrText>PAGE   \* MERGEFORMAT</w:instrText>
    </w:r>
    <w:r>
      <w:fldChar w:fldCharType="separate"/>
    </w:r>
    <w:r>
      <w:t>#</w:t>
    </w:r>
    <w:r>
      <w:fldChar w:fldCharType="end"/>
    </w:r>
  </w:p>
  <w:p w14:paraId="470366EB" w14:textId="77777777" w:rsidR="004830ED" w:rsidRDefault="004830ED">
    <w:pPr>
      <w:pStyle w:val="Subsol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8FD07" w14:textId="77777777" w:rsidR="001F68B8" w:rsidRDefault="001F68B8">
      <w:r>
        <w:separator/>
      </w:r>
    </w:p>
  </w:footnote>
  <w:footnote w:type="continuationSeparator" w:id="0">
    <w:p w14:paraId="5115DACF" w14:textId="77777777" w:rsidR="001F68B8" w:rsidRDefault="001F68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364994"/>
    <w:multiLevelType w:val="multilevel"/>
    <w:tmpl w:val="1CBEE9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191487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7.48.55:80/ecris_cdms/document_upload.aspx?id_document=3500000000684930&amp;id_departament=2&amp;id_sesiune=564861&amp;id_user=181&amp;id_institutie=35&amp;actiune=modifica"/>
  </w:docVars>
  <w:rsids>
    <w:rsidRoot w:val="004830ED"/>
    <w:rsid w:val="001D2736"/>
    <w:rsid w:val="001F68B8"/>
    <w:rsid w:val="003F438D"/>
    <w:rsid w:val="004830ED"/>
    <w:rsid w:val="00514ECB"/>
    <w:rsid w:val="00772D60"/>
    <w:rsid w:val="009F4F4A"/>
    <w:rsid w:val="00DD7E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E667F"/>
  <w15:docId w15:val="{DB662423-307D-4BE0-BFD4-7836002BF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1">
    <w:name w:val="Subsol1"/>
    <w:basedOn w:val="Normal"/>
    <w:link w:val="SubsolCaracter"/>
    <w:pPr>
      <w:tabs>
        <w:tab w:val="center" w:pos="4536"/>
        <w:tab w:val="right" w:pos="9072"/>
      </w:tabs>
      <w:jc w:val="both"/>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SubsolCaracter">
    <w:name w:val="Subsol Caracter"/>
    <w:link w:val="Subsol1"/>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TotalTime>
  <Pages>12</Pages>
  <Words>7366</Words>
  <Characters>42723</Characters>
  <Application>Microsoft Office Word</Application>
  <DocSecurity>0</DocSecurity>
  <Lines>356</Lines>
  <Paragraphs>99</Paragraphs>
  <ScaleCrop>false</ScaleCrop>
  <HeadingPairs>
    <vt:vector size="2" baseType="variant">
      <vt:variant>
        <vt:lpstr>Title</vt:lpstr>
      </vt:variant>
      <vt:variant>
        <vt:i4>1</vt:i4>
      </vt:variant>
    </vt:vector>
  </HeadingPairs>
  <TitlesOfParts>
    <vt:vector size="1" baseType="lpstr">
      <vt:lpstr>Numar dosar ﷡﷡﷡﷡﷡</vt:lpstr>
    </vt:vector>
  </TitlesOfParts>
  <Manager/>
  <Company/>
  <LinksUpToDate>false</LinksUpToDate>
  <CharactersWithSpaces>49990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2026-09-03T13:03:00Z</dcterms:created>
  <dcterms:modified xsi:type="dcterms:W3CDTF">2026-09-03T13:04:00Z</dcterms:modified>
  <cp:category/>
  <dc:identifier/>
  <cp:contentStatus/>
  <dc:language/>
  <cp:version/>
</cp:coreProperties>
</file>