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17BE9" w14:paraId="5BC11C87" w14:textId="77777777">
      <w:pPr>
        <w:jc w:val="center"/>
      </w:pPr>
      <w:r>
        <w:t>R O M Â N I A</w:t>
      </w:r>
    </w:p>
    <w:p w:rsidR="00A17BE9" w14:paraId="1A705A36" w14:textId="07AA21F6">
      <w:pPr>
        <w:jc w:val="center"/>
      </w:pPr>
      <w:r>
        <w:t xml:space="preserve">CURTEA DE APEL </w:t>
      </w:r>
      <w:r w:rsidR="004C0BAA">
        <w:t xml:space="preserve">.......... </w:t>
      </w:r>
    </w:p>
    <w:p w:rsidRPr="004C0BAA" w:rsidR="00A17BE9" w14:paraId="6341840F" w14:textId="6D2B61F0">
      <w:pPr>
        <w:jc w:val="center"/>
        <w:rPr>
          <w:rStyle w:val="Fontdeparagrafimplicit"/>
          <w:rFonts w:ascii="Garamond" w:hAnsi="Garamond"/>
          <w:lang w:val="pt-PT"/>
        </w:rPr>
      </w:pPr>
      <w:r>
        <w:t xml:space="preserve">SECŢIA </w:t>
      </w:r>
      <w:r w:rsidR="004C0BAA">
        <w:t xml:space="preserve">.......... </w:t>
      </w:r>
    </w:p>
    <w:p w:rsidRPr="004C0BAA" w:rsidR="00A17BE9" w14:paraId="6374275D" w14:textId="77777777">
      <w:pPr>
        <w:rPr>
          <w:rStyle w:val="Fontdeparagrafimplicit"/>
          <w:rFonts w:ascii="Garamond" w:hAnsi="Garamond"/>
          <w:lang w:val="pt-PT"/>
        </w:rPr>
      </w:pPr>
    </w:p>
    <w:p w:rsidR="00A17BE9" w14:paraId="7A16F48C" w14:textId="7BE5AABB">
      <w:r>
        <w:t>Cod ECLI    ECLI:RO:</w:t>
      </w:r>
      <w:r w:rsidR="004C0BAA">
        <w:t xml:space="preserve">.......... </w:t>
      </w:r>
    </w:p>
    <w:p w:rsidR="00A17BE9" w14:paraId="5DB08FED" w14:textId="5B576041">
      <w:r>
        <w:t xml:space="preserve">Dosar nr. </w:t>
      </w:r>
      <w:r w:rsidR="004C0BAA">
        <w:t xml:space="preserve">4 </w:t>
      </w:r>
    </w:p>
    <w:p w:rsidRPr="004C0BAA" w:rsidR="00A17BE9" w14:paraId="598E54AF" w14:textId="77777777">
      <w:pPr>
        <w:rPr>
          <w:rStyle w:val="Fontdeparagrafimplicit"/>
          <w:rFonts w:ascii="Garamond" w:hAnsi="Garamond"/>
          <w:lang w:val="pt-PT"/>
        </w:rPr>
      </w:pPr>
    </w:p>
    <w:p w:rsidRPr="004C0BAA" w:rsidR="00A17BE9" w14:paraId="44539265" w14:textId="3B70C315">
      <w:pPr>
        <w:pStyle w:val="Titlu2"/>
        <w:jc w:val="center"/>
        <w:rPr>
          <w:rStyle w:val="Fontdeparagrafimplicit"/>
          <w:rFonts w:ascii="Times New Roman" w:hAnsi="Times New Roman"/>
          <w:sz w:val="24"/>
          <w:lang w:val="pt-PT"/>
        </w:rPr>
      </w:pPr>
      <w:r w:rsidRPr="004C0BAA">
        <w:rPr>
          <w:rStyle w:val="Fontdeparagrafimplicit"/>
          <w:rFonts w:ascii="Times New Roman" w:hAnsi="Times New Roman"/>
          <w:i w:val="0"/>
          <w:sz w:val="24"/>
          <w:lang w:val="pt-PT"/>
        </w:rPr>
        <w:t>DECIZIA CIVILĂ NR.</w:t>
      </w:r>
      <w:r w:rsidR="004C0BAA">
        <w:rPr>
          <w:rStyle w:val="Fontdeparagrafimplicit"/>
          <w:rFonts w:ascii="Times New Roman" w:hAnsi="Times New Roman"/>
          <w:i w:val="0"/>
          <w:sz w:val="24"/>
          <w:lang w:val="pt-PT"/>
        </w:rPr>
        <w:t xml:space="preserve">4 </w:t>
      </w:r>
    </w:p>
    <w:p w:rsidR="00A17BE9" w14:paraId="5523F7D8" w14:textId="5DFDDD90">
      <w:pPr>
        <w:jc w:val="center"/>
      </w:pPr>
      <w:r>
        <w:t xml:space="preserve">Şedinţa publică din data de </w:t>
      </w:r>
      <w:r w:rsidR="004C0BAA">
        <w:t xml:space="preserve">............. </w:t>
      </w:r>
    </w:p>
    <w:p w:rsidR="00A17BE9" w14:paraId="5FE7FA6D" w14:textId="77777777">
      <w:pPr>
        <w:jc w:val="center"/>
      </w:pPr>
      <w:r>
        <w:t>Instanţa constituită din:</w:t>
      </w:r>
    </w:p>
    <w:p w:rsidR="00A17BE9" w14:paraId="617F0315" w14:textId="2D97C43E">
      <w:pPr>
        <w:jc w:val="center"/>
      </w:pPr>
      <w:r>
        <w:t xml:space="preserve">PREŞEDINTE: </w:t>
      </w:r>
      <w:r w:rsidR="004C0BAA">
        <w:t xml:space="preserve">............. </w:t>
      </w:r>
    </w:p>
    <w:p w:rsidR="00A17BE9" w14:paraId="60A63483" w14:textId="42153DD7">
      <w:pPr>
        <w:jc w:val="center"/>
      </w:pPr>
      <w:r>
        <w:t xml:space="preserve">JUDECĂTOR: </w:t>
      </w:r>
      <w:r w:rsidR="004C0BAA">
        <w:t>A0019</w:t>
      </w:r>
    </w:p>
    <w:p w:rsidR="00A17BE9" w14:paraId="63397767" w14:textId="167F90B1">
      <w:pPr>
        <w:jc w:val="center"/>
      </w:pPr>
      <w:r>
        <w:t xml:space="preserve">GREFIER: </w:t>
      </w:r>
      <w:r w:rsidR="004C0BAA">
        <w:t xml:space="preserve">............. </w:t>
      </w:r>
    </w:p>
    <w:p w:rsidR="00A17BE9" w14:paraId="2EA6A740" w14:textId="77777777">
      <w:pPr>
        <w:ind w:firstLine="708"/>
        <w:jc w:val="both"/>
      </w:pPr>
    </w:p>
    <w:p w:rsidR="00A17BE9" w14:paraId="4A6B0D41" w14:textId="22574091">
      <w:pPr>
        <w:ind w:firstLine="708"/>
        <w:jc w:val="both"/>
      </w:pPr>
      <w:r>
        <w:t xml:space="preserve">S-a luat în examinare cererea de revizuire formulată de revizuentul </w:t>
      </w:r>
      <w:r w:rsidR="004C0BAA">
        <w:t xml:space="preserve">1 </w:t>
      </w:r>
      <w:r>
        <w:t xml:space="preserve">împotriva deciziei civile nr. </w:t>
      </w:r>
      <w:r w:rsidR="004C0BAA">
        <w:t xml:space="preserve">....... </w:t>
      </w:r>
      <w:r>
        <w:t xml:space="preserve"> din </w:t>
      </w:r>
      <w:r w:rsidR="004C0BAA">
        <w:t xml:space="preserve">....... </w:t>
      </w:r>
      <w:r>
        <w:t xml:space="preserve">pronunţată de Tribunalul </w:t>
      </w:r>
      <w:r w:rsidR="004C0BAA">
        <w:t xml:space="preserve">.......... </w:t>
      </w:r>
      <w:r>
        <w:t xml:space="preserve"> în dosarul nr. </w:t>
      </w:r>
      <w:r w:rsidR="004C0BAA">
        <w:t xml:space="preserve">4.1 </w:t>
      </w:r>
      <w:r>
        <w:t xml:space="preserve"> al Curţii de Apel </w:t>
      </w:r>
      <w:r w:rsidR="004C0BAA">
        <w:t xml:space="preserve">.......... </w:t>
      </w:r>
      <w:r>
        <w:t xml:space="preserve">, privind şi pe intimaţii pârâţi SOCIETATEA NAŢIONALĂ DE TRANSPORT FEROVIAR CĂLĂTORI CFR </w:t>
      </w:r>
      <w:r w:rsidR="004C0BAA">
        <w:t xml:space="preserve">2 </w:t>
      </w:r>
      <w:r>
        <w:t xml:space="preserve">prin SUCURSALA DE TRANSPORT FEROVIAR DE CĂLĂTORI </w:t>
      </w:r>
      <w:r w:rsidR="004C0BAA">
        <w:t>3</w:t>
      </w:r>
      <w:r>
        <w:t>, având ca obiect obligaţie de a face.</w:t>
      </w:r>
    </w:p>
    <w:p w:rsidR="00A17BE9" w14:paraId="07E849A3" w14:textId="77777777">
      <w:pPr>
        <w:ind w:firstLine="708"/>
        <w:jc w:val="both"/>
      </w:pPr>
      <w:r>
        <w:t>La apelul nominal făcut în şedinţă publică se prezintă revizuentul personal.</w:t>
      </w:r>
    </w:p>
    <w:p w:rsidR="00A17BE9" w14:paraId="755DAF94" w14:textId="77777777">
      <w:pPr>
        <w:ind w:firstLine="708"/>
        <w:jc w:val="both"/>
      </w:pPr>
      <w:r>
        <w:t>Procedura de citare este legal îndeplinită.</w:t>
      </w:r>
    </w:p>
    <w:p w:rsidR="00A17BE9" w14:paraId="2625B7E7" w14:textId="77777777">
      <w:pPr>
        <w:ind w:firstLine="708"/>
        <w:jc w:val="both"/>
      </w:pPr>
      <w:r>
        <w:t>La acest termen de judecată se constată că revizuentul a depus precizări în scris arătând că îşi întemeiază cererea pe prev. art. 509 pct. 4 şi art. 509 pct. 6 NCPC.</w:t>
      </w:r>
    </w:p>
    <w:p w:rsidR="00A17BE9" w14:paraId="100CEB91" w14:textId="77777777">
      <w:pPr>
        <w:ind w:firstLine="708"/>
        <w:jc w:val="both"/>
      </w:pPr>
      <w:r>
        <w:t>Punându-i-se în vedere de către instanţă că punctul 4 al art. 509 NCPC se referă la situaţia în care un judecător a fost sancţionat disciplinar definitiv pentru exercitarea funcţiei cu rea credinţă sau gravă neglijenţă, dacă aceste împrejurări au influenţat soluţia pronunţată în cauză, revizuentul arată că doar punctul 6 al art. 509 din cod este incident în cauză, respectiv schimbarea hotărârii de fond şi apreciază că este admisibilă cererea de revizuire solicitând admiterea ei.</w:t>
      </w:r>
    </w:p>
    <w:p w:rsidR="00A17BE9" w14:paraId="5AB5DA90" w14:textId="77777777">
      <w:pPr>
        <w:ind w:firstLine="708"/>
        <w:jc w:val="both"/>
      </w:pPr>
      <w:r>
        <w:t>Curtea reţine cauza în pronunţare.</w:t>
      </w:r>
    </w:p>
    <w:p w:rsidR="00A17BE9" w14:paraId="0D8EABB2" w14:textId="77777777">
      <w:pPr>
        <w:ind w:left="-540" w:firstLine="540"/>
        <w:jc w:val="center"/>
      </w:pPr>
    </w:p>
    <w:p w:rsidR="00A17BE9" w14:paraId="355D75ED" w14:textId="77777777">
      <w:pPr>
        <w:ind w:left="-540" w:firstLine="540"/>
        <w:jc w:val="center"/>
      </w:pPr>
      <w:r>
        <w:t>C U R T E A:</w:t>
      </w:r>
    </w:p>
    <w:p w:rsidR="00A17BE9" w14:paraId="5D81C9A8" w14:textId="77777777">
      <w:pPr>
        <w:ind w:left="-540" w:firstLine="540"/>
        <w:jc w:val="center"/>
      </w:pPr>
    </w:p>
    <w:p w:rsidR="00A17BE9" w14:paraId="57221396" w14:textId="1CC7DA75">
      <w:pPr>
        <w:ind w:firstLine="708"/>
        <w:jc w:val="both"/>
      </w:pPr>
      <w:r w:rsidRPr="004C0BAA">
        <w:rPr>
          <w:rStyle w:val="Fontdeparagrafimplicit"/>
          <w:i/>
          <w:lang w:val="ro-RO"/>
        </w:rPr>
        <w:t xml:space="preserve">Prin decizia civilă nr. </w:t>
      </w:r>
      <w:r w:rsidR="004C0BAA">
        <w:rPr>
          <w:rStyle w:val="Fontdeparagrafimplicit"/>
          <w:i/>
          <w:lang w:val="ro-RO"/>
        </w:rPr>
        <w:t xml:space="preserve">....... </w:t>
      </w:r>
      <w:r w:rsidRPr="004C0BAA">
        <w:rPr>
          <w:rStyle w:val="Fontdeparagrafimplicit"/>
          <w:i/>
          <w:lang w:val="ro-RO"/>
        </w:rPr>
        <w:t xml:space="preserve"> din </w:t>
      </w:r>
      <w:r w:rsidR="004C0BAA">
        <w:rPr>
          <w:rStyle w:val="Fontdeparagrafimplicit"/>
          <w:i/>
          <w:lang w:val="ro-RO"/>
        </w:rPr>
        <w:t xml:space="preserve">....... </w:t>
      </w:r>
      <w:r w:rsidRPr="004C0BAA">
        <w:rPr>
          <w:rStyle w:val="Fontdeparagrafimplicit"/>
          <w:i/>
          <w:lang w:val="ro-RO"/>
        </w:rPr>
        <w:t xml:space="preserve">pronunţată de Curtea de Apel în dosarul nr. </w:t>
      </w:r>
      <w:r w:rsidR="004C0BAA">
        <w:rPr>
          <w:rStyle w:val="Fontdeparagrafimplicit"/>
          <w:i/>
          <w:lang w:val="ro-RO"/>
        </w:rPr>
        <w:t xml:space="preserve">4.1 </w:t>
      </w:r>
      <w:r w:rsidRPr="004C0BAA">
        <w:rPr>
          <w:rStyle w:val="Fontdeparagrafimplicit"/>
          <w:i/>
          <w:lang w:val="ro-RO"/>
        </w:rPr>
        <w:t xml:space="preserve"> al Curţii de Apel </w:t>
      </w:r>
      <w:r w:rsidR="004C0BAA">
        <w:rPr>
          <w:rStyle w:val="Fontdeparagrafimplicit"/>
          <w:i/>
          <w:lang w:val="ro-RO"/>
        </w:rPr>
        <w:t xml:space="preserve">.......... </w:t>
      </w:r>
      <w:r>
        <w:t xml:space="preserve"> s-a admis apelul declarat de pârâta SOCIETATEA NAŢIONALĂ DE TRANSPORT FEROVIAR DE CĂLĂTORI C.F.R. S.A </w:t>
      </w:r>
      <w:r w:rsidR="004C0BAA">
        <w:t xml:space="preserve">2 </w:t>
      </w:r>
      <w:r>
        <w:t xml:space="preserve">PRIN SUCURSALA DE TRANSPORT FEROVIAR DE CĂLĂTORI </w:t>
      </w:r>
      <w:r w:rsidR="004C0BAA">
        <w:t xml:space="preserve">3 </w:t>
      </w:r>
      <w:r>
        <w:t xml:space="preserve"> împotriva sentinţei civile nr. </w:t>
      </w:r>
      <w:r w:rsidR="004C0BAA">
        <w:t xml:space="preserve">.......... </w:t>
      </w:r>
      <w:r>
        <w:t xml:space="preserve"> din </w:t>
      </w:r>
      <w:r w:rsidR="004C0BAA">
        <w:t xml:space="preserve">.......... </w:t>
      </w:r>
      <w:r>
        <w:t xml:space="preserve">a Tribunalului </w:t>
      </w:r>
      <w:r w:rsidR="004C0BAA">
        <w:t xml:space="preserve">.......... </w:t>
      </w:r>
      <w:r>
        <w:t xml:space="preserve">, pronunţată în dosar nr. </w:t>
      </w:r>
      <w:r w:rsidR="004C0BAA">
        <w:t xml:space="preserve">4.1 </w:t>
      </w:r>
      <w:r>
        <w:t xml:space="preserve">, care a fost schimbată în tot şi, în consecinţă, s-a respins ca nefondată acţiunea formulată de reclamantul </w:t>
      </w:r>
      <w:r w:rsidR="004C0BAA">
        <w:t xml:space="preserve">1 </w:t>
      </w:r>
      <w:r>
        <w:t>.</w:t>
      </w:r>
    </w:p>
    <w:p w:rsidR="00A17BE9" w14:paraId="51564E5D" w14:textId="77777777">
      <w:pPr>
        <w:ind w:firstLine="708"/>
        <w:jc w:val="both"/>
      </w:pPr>
      <w:r>
        <w:t>Pentru a hotărî astfel, instanţa de apel a reţinut că în mod evident, funcţia deţinută de reclamant – conductor tren şi şef manevră - nu se încadrează în categoria limitativă care beneficiază  de încadrarea în condiţii speciale, conform H.G. nr.1025/2003, a Legii nr.226/2006 şi a Legii nr.263/2010.</w:t>
      </w:r>
    </w:p>
    <w:p w:rsidR="00A17BE9" w14:paraId="77091CB3" w14:textId="77777777">
      <w:pPr>
        <w:ind w:firstLine="708"/>
        <w:jc w:val="both"/>
      </w:pPr>
      <w:r>
        <w:t>Împrejurarea că activitatea reclamantului a fost încadrată în grupa I de muncă până la 31.03.2001 nu determină asimilarea automată a grupei I cu condiţiile speciale de muncă, chiar dacă nu au intervenit modificări cu privire la condiţiile de muncă, deoarece prin H.G. nr.1025/2003 s-a reglementat în mod imperativ o procedură obligatorie a cărei neparcurgere sau necontestare împiedică salariaţii să obţină recunoaşterea acestui beneficiu în alt mod.</w:t>
      </w:r>
    </w:p>
    <w:p w:rsidR="00A17BE9" w14:paraId="339EF3D7" w14:textId="77777777">
      <w:pPr>
        <w:ind w:firstLine="708"/>
        <w:jc w:val="both"/>
      </w:pPr>
      <w:r>
        <w:t>Astfel, art. 198 din Legea nr. 19/2000 prevede că la data intrării în vigoare a acestui act normativ, se abrogă Ordinul nr. 50/1990, iar art. art. 196 că prezenta lege intra în vigoare în termen de un an de la data publicării ei în Monitorul Oficial al României, Partea I, cu excepţia prevederilor art. 3, 140, 141, 143, 168, 173, 174, 175, 176, 177, 178, 179, ale art. 180 alin. (2)-(4), ale art. 182 şi 186, care intra în vigoare la data publicării acesteia în Monitorul Oficial al Român.</w:t>
      </w:r>
    </w:p>
    <w:p w:rsidR="00A17BE9" w14:paraId="73FD5FD6" w14:textId="77777777">
      <w:pPr>
        <w:ind w:firstLine="708"/>
        <w:jc w:val="both"/>
      </w:pPr>
      <w:r>
        <w:t>Acest ultim act normativ suprimă clasificarea privind încadrarea locurilor de muncă pe grupe şi constituie o nouă clasificare a acestora în condiţii normale, deosebite sau speciale.</w:t>
      </w:r>
    </w:p>
    <w:p w:rsidR="00A17BE9" w14:paraId="5A5281B0" w14:textId="77777777">
      <w:pPr>
        <w:ind w:firstLine="708"/>
        <w:jc w:val="both"/>
      </w:pPr>
      <w:r>
        <w:t>Conform art. 20, “în sensul prezentei legi, locurile de munca în condiţii speciale sunt cele din: a) unităţile miniere, pentru personalul care îşi desfăşoară activitatea în subteran cel puţin 50% din timpul normal de munca în luna respectiva; b) activităţile de cercetare, explorare, exploatare sau prelucrare a materiilor prime nucleare, zonele I şi II de expunere la radiaţii; c) aviaţia civilă, pentru personalul navigant prevăzut în anexa nr. 1; d) activitatea artistică desfăşurată în profesiile prevăzute în anexa 2”.</w:t>
      </w:r>
    </w:p>
    <w:p w:rsidR="00A17BE9" w14:paraId="2A461AF9" w14:textId="77777777">
      <w:pPr>
        <w:ind w:firstLine="708"/>
        <w:jc w:val="both"/>
      </w:pPr>
      <w:r>
        <w:t>În data de 28.08.2003 a fost adoptată H.G. nr. 1025 privind metodologia şi criteriile de încadrare a persoanelor în locuri de muncă în condiţii speciale. Art. 2 al acestui act normative prevede: ”(1) criteriile pentru încadrarea persoanelor în locurile de munca în condiţii speciale sunt următoarele:</w:t>
      </w:r>
    </w:p>
    <w:p w:rsidR="00A17BE9" w14:paraId="5E859AB9" w14:textId="77777777">
      <w:pPr>
        <w:ind w:firstLine="708"/>
        <w:jc w:val="both"/>
      </w:pPr>
      <w:r>
        <w:t>a) încadrarea locurilor de munca în grupa I de munca, anterior datei de 1 aprilie 2001;</w:t>
      </w:r>
    </w:p>
    <w:p w:rsidR="00A17BE9" w14:paraId="468D83FF" w14:textId="77777777">
      <w:pPr>
        <w:ind w:firstLine="708"/>
        <w:jc w:val="both"/>
      </w:pPr>
      <w:r>
        <w:t>b) desfăşurarea activităţii în condiţii speciale pe durata programului normal de lucru din luna respectiva numai în locurile de munca definite la art. 1 lit. a);</w:t>
      </w:r>
    </w:p>
    <w:p w:rsidR="00A17BE9" w14:paraId="3E0DB0D8" w14:textId="77777777">
      <w:pPr>
        <w:ind w:firstLine="708"/>
        <w:jc w:val="both"/>
      </w:pPr>
      <w:r>
        <w:t>c) existenţa la locurile de munca în condiţii speciale a unor factori de risc care nu pot fi înlăturaţi, în condiţiile în care s-au luat măsurile tehnice şi organizatorice pentru eliminarea sau diminuarea acestora, în conformitate cu legislaţia de protecţie a muncii în vigoare;</w:t>
      </w:r>
    </w:p>
    <w:p w:rsidR="00A17BE9" w14:paraId="2E4614D4" w14:textId="77777777">
      <w:pPr>
        <w:ind w:firstLine="708"/>
        <w:jc w:val="both"/>
      </w:pPr>
      <w:r>
        <w:t>d) efecte asupra persoanelor din punct de vedere al securităţii şi sănătăţii în munca, datorate în exclusivitate unor cauze profesionale şi înregistrate pe perioada ultimilor 15 ani;</w:t>
      </w:r>
    </w:p>
    <w:p w:rsidR="00A17BE9" w14:paraId="5199D1FF" w14:textId="77777777">
      <w:pPr>
        <w:ind w:firstLine="708"/>
        <w:jc w:val="both"/>
      </w:pPr>
      <w:r>
        <w:t>e) efecte asupra capacităţii de munca şi stării de sănătate, evaluate în baza datelor medicale înregistrate la nivelul cabinetelor medicale de întreprindere, de structurile medicale de medicina muncii sau la comisiile de expertizare a capacităţii de munca, pe perioada ultimilor 15 ani.</w:t>
      </w:r>
    </w:p>
    <w:p w:rsidR="00A17BE9" w14:paraId="1519FA55" w14:textId="77777777">
      <w:pPr>
        <w:ind w:firstLine="708"/>
        <w:jc w:val="both"/>
      </w:pPr>
      <w:r>
        <w:t>(2) Încadrarea persoanelor în locuri de munca în condiţii speciale se va realiza în condiţiile îndeplinirii tuturor criteriilor menţionate la alin. (1).”</w:t>
      </w:r>
    </w:p>
    <w:p w:rsidR="00A17BE9" w14:paraId="20A5486D" w14:textId="77777777">
      <w:pPr>
        <w:ind w:firstLine="708"/>
        <w:jc w:val="both"/>
      </w:pPr>
      <w:r>
        <w:t xml:space="preserve">Metodologia de încadrare a locurilor de muncă în condiţii speciale presupune îndeplinirea următoarelor operaţiuni a căror ordine cronologică a fost stabilită de legiuitor la art. 3: </w:t>
      </w:r>
    </w:p>
    <w:p w:rsidR="00A17BE9" w14:paraId="7FD84440" w14:textId="77777777">
      <w:pPr>
        <w:ind w:firstLine="708"/>
        <w:jc w:val="both"/>
      </w:pPr>
      <w:r>
        <w:t>a) nominalizarea locurilor de munca care se solicita a fi încadrate în condiţii speciale, efectuată de angajator împreună cu sindicatele reprezentative potrivit legii sau, după caz, cu reprezentanţii angajaţilor în cadrul comitetului de securitate şi sănătate în munca ori cu responsabilul cu protecţia muncii;</w:t>
      </w:r>
    </w:p>
    <w:p w:rsidR="00A17BE9" w14:paraId="26BF5678" w14:textId="77777777">
      <w:pPr>
        <w:ind w:firstLine="708"/>
        <w:jc w:val="both"/>
      </w:pPr>
      <w:r>
        <w:t>b) solicitarea de verificare a activităţilor cuprinse în lista locurilor de munca în condiţii speciale, iniţiata de angajator împreună cu sindicatele reprezentative potrivit legii sau, după caz, cu reprezentanţii angajaţilor în cadrul comitetului de securitate şi sănătate în munca ori cu responsabilul cu protecţia muncii, adresată inspectoratului teritorial de munca pe raza căruia se afla locul de munca respectiv sau Comisiei Naţionale pentru Controlul Activităţilor Nucleare. Lista locurilor de munca în care se desfăşoară activităţi ce pot fi încadrate în condiţii speciale, cu respectarea prevederilor prezentei hotărâri, este prevăzută în anexa nr. 1;</w:t>
      </w:r>
    </w:p>
    <w:p w:rsidR="00A17BE9" w14:paraId="1564FFF4" w14:textId="77777777">
      <w:pPr>
        <w:ind w:firstLine="708"/>
        <w:jc w:val="both"/>
      </w:pPr>
      <w:r>
        <w:t>c) verificarea de către inspectoratele teritoriale de munca sau Comisia Naţionala pentru Controlul Activităţilor Nucleare a locurilor de munca nominalizate la lit. a), din punct de vedere al îndeplinirii măsurilor tehnico-organizatorice pentru eliminarea sau diminuarea riscurilor profesionale prevăzute de legislaţia privind protecţia muncii ori în normele fundamentale de securitate radiologica, după caz, confirmată prin procesul-verbal întocmit conform anexei nr. 2.1, respectiv anexei nr. 2.2;</w:t>
      </w:r>
    </w:p>
    <w:p w:rsidR="00A17BE9" w14:paraId="5EBBFC9F" w14:textId="77777777">
      <w:pPr>
        <w:ind w:firstLine="708"/>
        <w:jc w:val="both"/>
      </w:pPr>
      <w:r>
        <w:t>d) efectuarea expertizei tehnice, la solicitarea angajatorului împreună cu sindicatele reprezentative potrivit legii sau, după caz, cu reprezentanţii angajaţilor în cadrul comitetului de securitate şi sănătate în munca ori cu responsabilul cu protecţia muncii, în vederea identificării factorilor de risc care nu pot fi înlăturaţi, conform criteriului prevăzut la art. 2 alin. (1) lit. c), precum şi a efectelor asupra persoanelor, definite conform criteriului prevăzut la art. 2 alin. (1) lit. d);</w:t>
      </w:r>
    </w:p>
    <w:p w:rsidR="00A17BE9" w14:paraId="6CD73674" w14:textId="77777777">
      <w:pPr>
        <w:ind w:firstLine="708"/>
        <w:jc w:val="both"/>
      </w:pPr>
      <w:r>
        <w:t xml:space="preserve">e) efectuarea expertizei medicale, la solicitarea angajatorului împreună cu sindicatele reprezentative potrivit legii sau, după caz, cu reprezentanţii angajaţilor în cadrul comitetului de securitate şi sănătate în munca ori cu responsabilul cu protecţia muncii, în vederea identificării şi interpretării datelor medicale înregistrate la nivelul cabinetelor medicale de întreprindere, al </w:t>
      </w:r>
      <w:r>
        <w:t>structurilor medicale de medicina muncii şi al comisiilor de expertizare a capacităţii de munca, pentru confirmarea criteriului stabilit la art. 2 alin. (1) lit. e).</w:t>
      </w:r>
    </w:p>
    <w:p w:rsidR="00A17BE9" w14:paraId="1750E00D" w14:textId="77777777">
      <w:pPr>
        <w:ind w:firstLine="708"/>
        <w:jc w:val="both"/>
      </w:pPr>
      <w:r>
        <w:t>(2) Etapele prevăzute la alin. (1) lit. d) şi e) sunt condiţionate de rezultatul verificării menţionate la alin. (1) lit. c).”</w:t>
      </w:r>
    </w:p>
    <w:p w:rsidR="00A17BE9" w14:paraId="14B01962" w14:textId="77777777">
      <w:pPr>
        <w:ind w:firstLine="708"/>
        <w:jc w:val="both"/>
      </w:pPr>
      <w:r>
        <w:t>Procedura presupune, prin urmare, o acţiune comună iniţiată de angajat împreună cu sindicatele reprezentative potrivit legii sau, după caz, cu reprezentanţii angajaţilor în cadrul comitetului de securitate şi sănătate în munca ori cu responsabilul cu protecţia muncii.</w:t>
      </w:r>
    </w:p>
    <w:p w:rsidR="00A17BE9" w14:paraId="42CA8318" w14:textId="77777777">
      <w:pPr>
        <w:ind w:firstLine="708"/>
        <w:jc w:val="both"/>
      </w:pPr>
      <w:r>
        <w:t>Conform art. 3 alin. 3, pasivitatea angajatorului, îndreptăţeşte sindicatele reprezentative potrivit legii sau, după caz, reprezentanţii angajaţilor în cadrul comitetului de securitate şi sănătate în munca ori responsabilul cu protecţia muncii să sesizeze inspectoratele teritoriale de munca, care vor dispune verificarea locurilor de munca conform alin. 1 lit. c.</w:t>
      </w:r>
    </w:p>
    <w:p w:rsidR="00A17BE9" w14:paraId="6E13F5ED" w14:textId="77777777">
      <w:pPr>
        <w:ind w:firstLine="708"/>
        <w:jc w:val="both"/>
      </w:pPr>
      <w:r>
        <w:t>Pe baza dosarului care cuprinde documentele prevăzute de art. 5 alin.3, Comisia pentru acordarea avizelor de încadrare în condiţii speciale formată din reprezentanţi ai Ministerului Muncii, Solidarităţii Sociale şi Familiei şi ai Ministerului Sănătăţii, acordă avizul sau respinge motivate solicitarea de emitere a acestuia.</w:t>
      </w:r>
    </w:p>
    <w:p w:rsidR="00A17BE9" w14:paraId="0ECE6682" w14:textId="77777777">
      <w:pPr>
        <w:ind w:firstLine="708"/>
        <w:jc w:val="both"/>
      </w:pPr>
      <w:r>
        <w:t>Potrivit art. 13, angajatorii şi/sau sindicatele reprezentative potrivit legii sau, după caz, reprezentanţii angajaţilor în cadrul comitetului de securitate şi sănătate în munca, care nu au primit aviz pentru încadrarea locurilor de munca în condiţii speciale, pot formula plângere, în termen de 15 zile de la data comunicării, la Ministerul Muncii, Solidarităţii Sociale şi Familiei care, împreună cu Ministerul Sănătăţii, o va soluţiona în termen de 30 de zile, prin decizie rămasă definitiva.</w:t>
      </w:r>
    </w:p>
    <w:p w:rsidR="00A17BE9" w14:paraId="1F3F41CD" w14:textId="77777777">
      <w:pPr>
        <w:ind w:firstLine="708"/>
        <w:jc w:val="both"/>
      </w:pPr>
      <w:r>
        <w:t>Decizia prevăzută la alin. (1) poate fi contestată la instanţa judecătorească competenta, potrivit legii.</w:t>
      </w:r>
    </w:p>
    <w:p w:rsidR="00A17BE9" w14:paraId="58CC0E44" w14:textId="77777777">
      <w:pPr>
        <w:ind w:firstLine="708"/>
        <w:jc w:val="both"/>
      </w:pPr>
      <w:r>
        <w:t xml:space="preserve">Angajatorii împreună cu sindicatele reprezentative potrivit legii sau, după caz, cu reprezentanţii angajaţilor în cadrul comitetului de securitate şi sănătate în munca ori cu responsabilul cu protecţia muncii au putut solicita în baza acestui act normativ, reevaluarea locurilor de muncă pâna la data de 31 decembrie 2004. </w:t>
      </w:r>
    </w:p>
    <w:p w:rsidR="00A17BE9" w14:paraId="274C3AC5" w14:textId="77777777">
      <w:pPr>
        <w:ind w:firstLine="708"/>
        <w:jc w:val="both"/>
      </w:pPr>
      <w:r>
        <w:t>Cum intenţia legiuitorului a fost aceea de a crea prin intermediul H.G. nr. 1025/2003 o procedură obligatorie, în cadrul căreia sunt conferite drepturi şi obligaţii doar anumitor instituţii în vederea încadrării locurilor de muncă în condiţii speciale, şi de a nu lăsa la latitudinea fiecăruia dintre salariaţi iniţiativa de a solicita recunoaşterea condiţiilor de muncă în care îşi desfăşoară activitatea, demersul efectuat de către salariaţi în afara acestui cadru legal nu se conformează cerinţelor legale menţionate.</w:t>
      </w:r>
    </w:p>
    <w:p w:rsidR="00A17BE9" w14:paraId="327758E8" w14:textId="77777777">
      <w:pPr>
        <w:ind w:firstLine="708"/>
        <w:jc w:val="both"/>
      </w:pPr>
      <w:r>
        <w:t>În egală măsură, este semnificativă definiţia legală reglementată de art.1 lit. b din H.G. nr. 1025/2003 care stabileşte că persoanele încadrate în locuri de munca în condiţii speciale sunt angajaţii care îşi desfăşoară activitatea pe parcursul programului normal de lucru din luna respectiva numai în locurile de munca definite la lit. a.</w:t>
      </w:r>
    </w:p>
    <w:p w:rsidR="00A17BE9" w14:paraId="279A7EBF" w14:textId="77777777">
      <w:pPr>
        <w:ind w:firstLine="708"/>
        <w:jc w:val="both"/>
      </w:pPr>
      <w:r>
        <w:t>Or, deşi reclamantul a pretins încadrarea activităţii sale în condiţii speciale de muncă pentru că, în mod virtual, trebuia şi putea în temeiul atribuţiilor sale de serviciu, să execute în situaţii speciale şi presupus izolate anumite manevre ce reveneau mecanicului de locomotivă, nu a probat că ar fi făcut vreodată asemenea manevre. De altfel, numai executarea acestor sarcini pe parcursul întregului program de lucru îndreptăţeşte salariatul să fie încadrat în condiţii speciale, nicidecum realizarea lor în mod izolat, conjunctural, determinată de existenţa unor situaţii particulare, ce se abat de la desfăşurarea normală a activităţii.</w:t>
      </w:r>
    </w:p>
    <w:p w:rsidR="00A17BE9" w14:paraId="6CFD1D48" w14:textId="77777777">
      <w:pPr>
        <w:ind w:firstLine="708"/>
        <w:jc w:val="both"/>
      </w:pPr>
      <w:r>
        <w:t>De asemenea, concluziile expertului au fost înlăturate, având în vedere că această probă are menirea conform art.330 N.C.P.C., de a lămuri unele împrejurări de fapt asupra cărora i se cere expertului să-şi exprime părerea.</w:t>
      </w:r>
    </w:p>
    <w:p w:rsidR="00A17BE9" w14:paraId="45594054" w14:textId="77777777">
      <w:pPr>
        <w:ind w:firstLine="708"/>
        <w:jc w:val="both"/>
      </w:pPr>
      <w:r>
        <w:t>În speţă, prin încuviinţarea expertizei de către prima instanţă pentru analizarea activităţii concrete a reclamantului sau a condiţiilor de muncă, i s-a delegat expertului, în fapt, însuşi atributul jurisdicţional al interpretării şi aplicării dispoziţiilor legale cu privire la o stare de fapt, ceea ce nu este însă admisibil.</w:t>
      </w:r>
    </w:p>
    <w:p w:rsidR="00A17BE9" w14:paraId="0C05A305" w14:textId="77777777">
      <w:pPr>
        <w:ind w:firstLine="708"/>
        <w:jc w:val="both"/>
      </w:pPr>
      <w:r>
        <w:t>Astfel, intenţia reclamantului a fost ca expertul să constate că activitatea desfăşurată justifică recunoaşterea beneficiului încadrării condiţii speciale de muncă pe baza carnetului de muncă şi a fişei postului.</w:t>
      </w:r>
    </w:p>
    <w:p w:rsidR="00A17BE9" w14:paraId="4F4BBBC0" w14:textId="77777777">
      <w:pPr>
        <w:ind w:firstLine="708"/>
        <w:jc w:val="both"/>
      </w:pPr>
      <w:r>
        <w:t>Or, pentru stabilirea acestor aspecte de fapt nu era necesară consultarea unui specialist, fiind exclusiv rolul instanţei de judecată de a analiza înscrisurile menţionate anterior, de a trage concluziile corespunzătoare, de a le integra într-un silogism judiciar pe care se întemeiază hotărârea judecătorească.</w:t>
      </w:r>
    </w:p>
    <w:p w:rsidR="00A17BE9" w14:paraId="276E92C9" w14:textId="77777777">
      <w:pPr>
        <w:ind w:firstLine="708"/>
        <w:jc w:val="both"/>
      </w:pPr>
      <w:r>
        <w:t>În consecinţă, instanţa de apel nu a considerat că a fost utilă cauzei administrarea probei cu expertiza în domeniul protecţiei muncii, ceea ce a înlăturat concluziile reţinute de expert şi însuşite întocmai de către prima instanţă.</w:t>
      </w:r>
    </w:p>
    <w:p w:rsidR="00A17BE9" w14:paraId="58020149" w14:textId="0A3CD9F1">
      <w:pPr>
        <w:ind w:firstLine="708"/>
        <w:jc w:val="both"/>
      </w:pPr>
      <w:r>
        <w:t xml:space="preserve">Cererea de revizuire a fost înregistrată la Curtea de Apel </w:t>
      </w:r>
      <w:r w:rsidR="004C0BAA">
        <w:t xml:space="preserve">.......... </w:t>
      </w:r>
      <w:r>
        <w:t xml:space="preserve"> sub nr. dosar </w:t>
      </w:r>
      <w:r w:rsidR="004C0BAA">
        <w:t>4</w:t>
      </w:r>
      <w:r>
        <w:t>.</w:t>
      </w:r>
    </w:p>
    <w:p w:rsidR="00A17BE9" w14:paraId="5FF8264F" w14:textId="56A7D86F">
      <w:pPr>
        <w:ind w:firstLine="708"/>
        <w:jc w:val="both"/>
      </w:pPr>
      <w:r w:rsidRPr="004C0BAA">
        <w:rPr>
          <w:rStyle w:val="Fontdeparagrafimplicit"/>
          <w:i/>
          <w:lang w:val="ro-RO"/>
        </w:rPr>
        <w:t xml:space="preserve">Împotriva acestei decizii a formulat cerere de revizuire revizuientul </w:t>
      </w:r>
      <w:r w:rsidR="004C0BAA">
        <w:rPr>
          <w:rStyle w:val="Fontdeparagrafimplicit"/>
          <w:i/>
          <w:lang w:val="ro-RO"/>
        </w:rPr>
        <w:t>1</w:t>
      </w:r>
      <w:r>
        <w:t>, solicitând revizuirea deciziei civile nr.</w:t>
      </w:r>
      <w:r w:rsidR="004C0BAA">
        <w:t xml:space="preserve">....... </w:t>
      </w:r>
      <w:r>
        <w:t>/</w:t>
      </w:r>
      <w:r w:rsidR="004C0BAA">
        <w:t>....</w:t>
      </w:r>
      <w:r>
        <w:t xml:space="preserve"> din </w:t>
      </w:r>
      <w:r w:rsidR="004C0BAA">
        <w:t xml:space="preserve">......... </w:t>
      </w:r>
      <w:r>
        <w:t xml:space="preserve">pronunţată de Curtea de Apel </w:t>
      </w:r>
      <w:r w:rsidR="004C0BAA">
        <w:t xml:space="preserve">.......... </w:t>
      </w:r>
      <w:r>
        <w:t xml:space="preserve"> în dosarul nr.</w:t>
      </w:r>
      <w:r w:rsidR="004C0BAA">
        <w:t>4.1</w:t>
      </w:r>
      <w:r>
        <w:t>, casarea acesteia şi menţinerea sentinţei civile nr.</w:t>
      </w:r>
      <w:r w:rsidR="004C0BAA">
        <w:t xml:space="preserve">.......... </w:t>
      </w:r>
      <w:r>
        <w:t xml:space="preserve"> din </w:t>
      </w:r>
      <w:r w:rsidR="004C0BAA">
        <w:t xml:space="preserve">............. </w:t>
      </w:r>
      <w:r>
        <w:t xml:space="preserve">a Tribunalului </w:t>
      </w:r>
      <w:r w:rsidR="004C0BAA">
        <w:t xml:space="preserve">.......... </w:t>
      </w:r>
      <w:r>
        <w:t>, pronunţată în dosarul nr.</w:t>
      </w:r>
      <w:r w:rsidR="004C0BAA">
        <w:t>4.1</w:t>
      </w:r>
      <w:r>
        <w:t>, ca fiind corectă şi legală.</w:t>
      </w:r>
    </w:p>
    <w:p w:rsidR="00A17BE9" w14:paraId="4DE287E7" w14:textId="72E7701D">
      <w:pPr>
        <w:ind w:firstLine="708"/>
        <w:jc w:val="both"/>
      </w:pPr>
      <w:r>
        <w:t>În motivarea cererii de revizuire, revizuientul a arătat că prin sentinţa civilă nr.</w:t>
      </w:r>
      <w:r w:rsidR="004C0BAA">
        <w:t xml:space="preserve">.......... </w:t>
      </w:r>
      <w:r>
        <w:t xml:space="preserve"> din </w:t>
      </w:r>
      <w:r w:rsidR="004C0BAA">
        <w:t xml:space="preserve">............. </w:t>
      </w:r>
      <w:r>
        <w:t xml:space="preserve">Pronunţata de Tribunalul </w:t>
      </w:r>
      <w:r w:rsidR="004C0BAA">
        <w:t xml:space="preserve">.......... </w:t>
      </w:r>
      <w:r>
        <w:t xml:space="preserve"> în dosarul nr.</w:t>
      </w:r>
      <w:r w:rsidR="004C0BAA">
        <w:t>4.1</w:t>
      </w:r>
      <w:r>
        <w:t xml:space="preserve"> a fost admisă acţiunea civilă formulată de reclamantul </w:t>
      </w:r>
      <w:r w:rsidR="004C0BAA">
        <w:t xml:space="preserve">1 </w:t>
      </w:r>
      <w:r>
        <w:t xml:space="preserve"> împotriva pârâtei Societatea Naţionala de Transport Feroviar de Călători C.F.R. S.A. </w:t>
      </w:r>
      <w:r w:rsidR="004C0BAA">
        <w:t>2</w:t>
      </w:r>
      <w:r>
        <w:t>, şi în consecinţa a fost obligată pârâta să recunoască reclamantului perioada 0l.04.200l - 08.09.2003 ca fiind desfăşurată în condiţii speciale de muncă.</w:t>
      </w:r>
    </w:p>
    <w:p w:rsidR="00A17BE9" w14:paraId="068495A5" w14:textId="4EB35912">
      <w:pPr>
        <w:ind w:firstLine="708"/>
        <w:jc w:val="both"/>
      </w:pPr>
      <w:r>
        <w:t xml:space="preserve">Pentru a hotărî astfel, prime instanţă a reţinut că, din carnetul de muncă al reclamantului rezulte că, în perioada 0l.11.1991 - 27.03.1995 a fost mecanic ajutor de locomotivă la Depoul de locomotive </w:t>
      </w:r>
      <w:r w:rsidR="004C0BAA">
        <w:t>4</w:t>
      </w:r>
      <w:r>
        <w:t>.</w:t>
      </w:r>
    </w:p>
    <w:p w:rsidR="00A17BE9" w14:paraId="276D7D8F" w14:textId="7EBC386D">
      <w:pPr>
        <w:ind w:firstLine="708"/>
        <w:jc w:val="both"/>
      </w:pPr>
      <w:r>
        <w:t xml:space="preserve">În perioada 27.03.1995 - 1.05.2003 a fost conductor tren 1, la staţia CFR </w:t>
      </w:r>
      <w:r w:rsidR="004C0BAA">
        <w:t>S........ M.......</w:t>
      </w:r>
      <w:r>
        <w:t xml:space="preserve">iar în perioada 0l.05.2003 - 08.09.2003 şef manevră 2 la Staţia CFR </w:t>
      </w:r>
      <w:r w:rsidR="004C0BAA">
        <w:t>S........ M.......</w:t>
      </w:r>
      <w:r>
        <w:t>.</w:t>
      </w:r>
    </w:p>
    <w:p w:rsidR="00A17BE9" w14:paraId="2E76ADA5" w14:textId="6959594F">
      <w:pPr>
        <w:ind w:firstLine="708"/>
        <w:jc w:val="both"/>
      </w:pPr>
      <w:r>
        <w:t xml:space="preserve">În cauza s-a efectuat o expertiză de ing. </w:t>
      </w:r>
      <w:r w:rsidR="004C0BAA">
        <w:t>5</w:t>
      </w:r>
      <w:r>
        <w:t xml:space="preserve">, care a analizat întreaga documentaţie pusă la dispoziţie de pârâtă, adresa cu nr. </w:t>
      </w:r>
      <w:r w:rsidR="004C0BAA">
        <w:t>6/......03.2014</w:t>
      </w:r>
      <w:r>
        <w:t xml:space="preserve">, adresa nr. </w:t>
      </w:r>
      <w:r w:rsidR="004C0BAA">
        <w:t xml:space="preserve">7/..../..../.....02.20l2 </w:t>
      </w:r>
      <w:r>
        <w:t>din care rezulta că perioada 01.10.1998 - 01.04.2001 lucrată de reclamant se încadrează în grupa I de muncă în procent de 100 % pentru că a desfăşurat activitate cu specific în siguranţa circulaţiei feroviare, instrucţie de maşini nr.100 cu echipaje şi deservirea trenurilor şi numeroase activităţi cu specific de siguranţa circulaţiei feroviare, adresa nr.</w:t>
      </w:r>
      <w:r w:rsidR="004C0BAA">
        <w:t xml:space="preserve">8..../...07.2014 </w:t>
      </w:r>
      <w:r>
        <w:t>din care reiese ca nu s-a parcurs, metodologia de încadrare în condiţii speciale pentru activitatea de conductor tren şi şef manevră, adresa nr.</w:t>
      </w:r>
      <w:r w:rsidR="004C0BAA">
        <w:t>9/.....08.20l4</w:t>
      </w:r>
      <w:r>
        <w:t>.</w:t>
      </w:r>
    </w:p>
    <w:p w:rsidR="00A17BE9" w14:paraId="19F04C7D" w14:textId="43192F71">
      <w:pPr>
        <w:ind w:firstLine="708"/>
        <w:jc w:val="both"/>
      </w:pPr>
      <w:r>
        <w:t>Potrivit anexei 2 la Legea nr.263/2</w:t>
      </w:r>
      <w:r w:rsidR="004C0BAA">
        <w:t>010</w:t>
      </w:r>
      <w:r>
        <w:t xml:space="preserve"> pct.7 se prevăd locurile de muncă încadrate în condiţii speciale. Activitate desfăşurată de personalul din siguranţa circulaţiei care îndeplineşte funcţia de mecanic de locomotivă şi automotor, mecanic ajutor şi mecanic instructor.</w:t>
      </w:r>
    </w:p>
    <w:p w:rsidR="00A17BE9" w14:paraId="32B31E12" w14:textId="77777777">
      <w:pPr>
        <w:ind w:firstLine="708"/>
        <w:jc w:val="both"/>
      </w:pPr>
      <w:r>
        <w:t>Expertul efectuând o analiză comparativă a celor patru categorii profesionale dintre care numai trei (mecanic, mecanic ajutor şi mecanic instructor) au fost incluse în anexa 2 poz.7 din Legea nr. 263/20l0 a constatat că activitatea prezintă atât elemente comune sau similare cât şi elemente distincte şi specifice pentru fiecare şi care nu se referă la celelalte categorii, însă toate cele patru categorii profesionale desfăşoară activitate specifică transportului feroviar de călători cu specific în siguranţa circulaţiei. Întreaga perioadă desfăşurată de reclamant, respectiv 0l.11.1991 - 08.09.2003 s-a desfăşurat în condiţii similare privind sarcinile de muncă cu specific de siguranţa circulaţiei, suprasolicitările şi condiţiile de îndeplinire a atribuţiilor.</w:t>
      </w:r>
    </w:p>
    <w:p w:rsidR="00A17BE9" w14:paraId="1C955708" w14:textId="77777777">
      <w:pPr>
        <w:ind w:firstLine="708"/>
        <w:jc w:val="both"/>
      </w:pPr>
      <w:r>
        <w:t>Revizuirentul a arătat că nu există nicio raţiune din punct de vedere tehnic şi al securităţii muncii pentru tratamentul diferenţial în cele două perioade de activitate, anterior datei de 0l.04.200l şi, respectiv după această dată precum şi între categorii profesionale (mecanic de tren, respectiv conductor de tren), cu activitate similară la siguranţa circulaţiei.</w:t>
      </w:r>
    </w:p>
    <w:p w:rsidR="00A17BE9" w14:paraId="2838941E" w14:textId="2E875DED">
      <w:pPr>
        <w:ind w:firstLine="708"/>
        <w:jc w:val="both"/>
      </w:pPr>
      <w:r>
        <w:t>Pârâta Societatea Naţională de Transport Feroviar de Călători 2</w:t>
      </w:r>
      <w:r w:rsidR="004C0BAA">
        <w:t xml:space="preserve"> </w:t>
      </w:r>
      <w:r>
        <w:t>a recunoscut că nu a parcurs metodologia de încadrare în locurile de muncă speciale pentru categoria profesională din care face parte reclamantul, însă nu poate invoca propria culpă ca un argument pentru respingerea acţiuni.</w:t>
      </w:r>
    </w:p>
    <w:p w:rsidR="00A17BE9" w14:paraId="1D96FDF2" w14:textId="33D9F680">
      <w:pPr>
        <w:ind w:firstLine="708"/>
        <w:jc w:val="both"/>
      </w:pPr>
      <w:r w:rsidRPr="004C0BAA">
        <w:rPr>
          <w:rStyle w:val="Fontdeparagrafimplicit"/>
          <w:i/>
          <w:lang w:val="pt-PT"/>
        </w:rPr>
        <w:t xml:space="preserve">Prin întâmpinarea înregistrată la data de 15 aprilie 2016 intimata Societatea Naţională de Transport Feroviar de Călători S.A. </w:t>
      </w:r>
      <w:r w:rsidR="004C0BAA">
        <w:rPr>
          <w:rStyle w:val="Fontdeparagrafimplicit"/>
          <w:i/>
          <w:lang w:val="pt-PT"/>
        </w:rPr>
        <w:t>2</w:t>
      </w:r>
      <w:r w:rsidRPr="004C0BAA">
        <w:rPr>
          <w:rStyle w:val="Fontdeparagrafimplicit"/>
          <w:i/>
          <w:lang w:val="pt-PT"/>
        </w:rPr>
        <w:t xml:space="preserve">, prin Sucursala de Transport Feroviar de Călători </w:t>
      </w:r>
      <w:r w:rsidR="004C0BAA">
        <w:rPr>
          <w:rStyle w:val="Fontdeparagrafimplicit"/>
          <w:i/>
          <w:lang w:val="pt-PT"/>
        </w:rPr>
        <w:t xml:space="preserve">3 </w:t>
      </w:r>
      <w:r>
        <w:t xml:space="preserve"> a solicitat respingerea cererii de revizuire ca inadmisibilă.(f.23)</w:t>
      </w:r>
    </w:p>
    <w:p w:rsidRPr="004C0BAA" w:rsidR="00A17BE9" w14:paraId="4498E57C" w14:textId="77777777">
      <w:pPr>
        <w:ind w:firstLine="708"/>
        <w:jc w:val="both"/>
        <w:rPr>
          <w:rStyle w:val="Fontdeparagrafimplicit"/>
          <w:i/>
          <w:lang w:val="pt-PT"/>
        </w:rPr>
      </w:pPr>
      <w:r w:rsidRPr="004C0BAA">
        <w:rPr>
          <w:rStyle w:val="Fontdeparagrafimplicit"/>
          <w:i/>
          <w:lang w:val="pt-PT"/>
        </w:rPr>
        <w:t>Examinând cererea de revizuire, Curtea de Apel reţine următoarele:</w:t>
      </w:r>
    </w:p>
    <w:p w:rsidR="00A17BE9" w14:paraId="38A8A535" w14:textId="77777777">
      <w:pPr>
        <w:ind w:firstLine="708"/>
        <w:jc w:val="both"/>
      </w:pPr>
      <w:r w:rsidRPr="004C0BAA">
        <w:rPr>
          <w:rStyle w:val="Fontdeparagrafimplicit"/>
          <w:b/>
          <w:lang w:val="pt-PT"/>
        </w:rPr>
        <w:t xml:space="preserve"> </w:t>
      </w:r>
      <w:r>
        <w:t xml:space="preserve">Potrivit art. 509 alin.1 pct.6, invocat de revizuent ca temei legal al cererii sale, revizuirea unei hotărâri pronunţate asupra fondului sau care evocă fondul poate fi cerută dacă s-a casat, s-a </w:t>
      </w:r>
      <w:r>
        <w:t>anulat ori s-a schimbat hotărârea unei instanţe pe care s-a întemeiat hotărârea a cărei revizuire se cere.</w:t>
      </w:r>
    </w:p>
    <w:p w:rsidR="00A17BE9" w14:paraId="38D6AFF5" w14:textId="77777777">
      <w:pPr>
        <w:ind w:firstLine="708"/>
        <w:jc w:val="both"/>
      </w:pPr>
      <w:r>
        <w:t>Or, din analiza motivelor expuse în cuprinsul cererii de revizuire nu poate fi invocat nici un temei care să permită încadrarea cererii în condiţiile mai sus menţionate.</w:t>
      </w:r>
    </w:p>
    <w:p w:rsidR="00A17BE9" w14:paraId="1F290B58" w14:textId="77777777">
      <w:pPr>
        <w:ind w:firstLine="708"/>
        <w:jc w:val="both"/>
      </w:pPr>
      <w:r>
        <w:t>Practic, prin dezvoltarea motivelor, revizuentul aduce critici de fond a deciziei atacate, urmărind practic o nouă rejudecare în fapt şi în drept a cererii sale. Astfel, acestea reia motivele pentru care instanţa de apel ar fi trebuit să ia în considerare la judecarea pricinii expertiza efectuată în cauză, cu trimiteri la legislaţia în materie, pentru a obţine recunoaşterea activităţii sale ca fiind prestată în condiţii speciale de muncă.</w:t>
      </w:r>
    </w:p>
    <w:p w:rsidR="00A17BE9" w14:paraId="04A4F16F" w14:textId="77777777">
      <w:pPr>
        <w:ind w:firstLine="708"/>
        <w:jc w:val="both"/>
      </w:pPr>
      <w:r>
        <w:t>Revizuirea însă este o cale extraordinară de atac, limitată la motivele expres prevăzute de lege, admisibilă doar în condiţiile expuse de art. 509 C.pr.civilă, pentru a permite corectarea unor hotărâri ce au la bază erori determinate starea de fapt stabilita in hotărârea atacata, fie in raport cu materialul existent la data pronuntarii hotărârii, fie in raport cu noile împrejurări, apărute ulterior pronuntarii hotărârii.</w:t>
      </w:r>
    </w:p>
    <w:p w:rsidR="00A17BE9" w14:paraId="46CEE738" w14:textId="77777777">
      <w:pPr>
        <w:ind w:firstLine="708"/>
        <w:jc w:val="both"/>
      </w:pPr>
      <w:r>
        <w:t xml:space="preserve">Revizuirea nu implică aşadar realizarea unui control judiciar, ci determinarea unei noi judecăţi, întemeiată pe unele elemente, care nu au putut forma obiectul judecaţii ce a condus la pronunţarea hotărârii care face obiectul caii de atac. </w:t>
      </w:r>
    </w:p>
    <w:p w:rsidR="00A17BE9" w14:paraId="0A893C85" w14:textId="77777777">
      <w:pPr>
        <w:ind w:firstLine="708"/>
        <w:jc w:val="both"/>
      </w:pPr>
      <w:r>
        <w:t>În cauza de faţă, revizuientul susţine ca motiv de revizuire faptul că s-a casat, s-a anulat ori s-a schimbat hotărârea unei instanţe, însă teza nu se referă nicidecum la hotărârea primei instanţe, ce este supusă controlului în apel, ci la o altă hotărâre judecătorească, pronunţată într-un dosar distinct, ce ar fi fost avută în vedere de instanţa de judecată la pronunţarea hotărârii atacate. Această condiţie însă nu este îndeplinită în cauză, hotărârea atacată fiind pronunţată de Curtea de Apel fără a se avea în vedere o altă hotărâre ce ulterior să fi fost desfiinţată.</w:t>
      </w:r>
    </w:p>
    <w:p w:rsidR="00A17BE9" w14:paraId="4DE36061" w14:textId="5DFD58F7">
      <w:pPr>
        <w:ind w:firstLine="708"/>
        <w:jc w:val="both"/>
      </w:pPr>
      <w:r>
        <w:t xml:space="preserve">În consecinţă, nefiind îndeplinite condiţiile de admisibilitate prevăzute de art. 509 C.pr.civilă, Curtea va respinge cererea de revizuire declarată de revizuentul </w:t>
      </w:r>
      <w:r w:rsidR="004C0BAA">
        <w:t xml:space="preserve">1 </w:t>
      </w:r>
      <w:r>
        <w:t xml:space="preserve">împotriva deciziei civile nr. </w:t>
      </w:r>
      <w:r w:rsidR="004C0BAA">
        <w:t>........</w:t>
      </w:r>
      <w:r>
        <w:t xml:space="preserve"> din </w:t>
      </w:r>
      <w:r w:rsidR="004C0BAA">
        <w:t xml:space="preserve">....... </w:t>
      </w:r>
      <w:r>
        <w:t xml:space="preserve">a Curţii de Apel </w:t>
      </w:r>
      <w:r w:rsidR="004C0BAA">
        <w:t xml:space="preserve">.......... </w:t>
      </w:r>
      <w:r>
        <w:t xml:space="preserve">, pronunţată în dosar </w:t>
      </w:r>
      <w:r w:rsidR="004C0BAA">
        <w:t xml:space="preserve">4.1 </w:t>
      </w:r>
      <w:r>
        <w:t>, pe care o va menţine.</w:t>
      </w:r>
    </w:p>
    <w:p w:rsidR="00A17BE9" w14:paraId="26F54D92" w14:textId="77777777">
      <w:pPr>
        <w:jc w:val="both"/>
      </w:pPr>
    </w:p>
    <w:p w:rsidR="00A17BE9" w14:paraId="2BAD95D5" w14:textId="77777777">
      <w:pPr>
        <w:jc w:val="center"/>
      </w:pPr>
      <w:r>
        <w:t>PENTRU ACESTE MOTIVE</w:t>
      </w:r>
    </w:p>
    <w:p w:rsidR="00A17BE9" w14:paraId="3D59E445" w14:textId="77777777">
      <w:pPr>
        <w:jc w:val="center"/>
      </w:pPr>
      <w:r>
        <w:t>ÎN NUMELE LEGII</w:t>
      </w:r>
    </w:p>
    <w:p w:rsidR="00A17BE9" w14:paraId="3C970761" w14:textId="77777777">
      <w:pPr>
        <w:jc w:val="center"/>
      </w:pPr>
      <w:r>
        <w:t>D E C I D E:</w:t>
      </w:r>
    </w:p>
    <w:p w:rsidR="00A17BE9" w14:paraId="0902E5B0" w14:textId="77777777">
      <w:pPr>
        <w:jc w:val="center"/>
      </w:pPr>
    </w:p>
    <w:p w:rsidR="00A17BE9" w14:paraId="4F32556C" w14:textId="47AC7F4D">
      <w:pPr>
        <w:ind w:firstLine="708"/>
        <w:jc w:val="both"/>
      </w:pPr>
      <w:r>
        <w:t xml:space="preserve">Respinge cererea de revizuire declarată de revizuentul </w:t>
      </w:r>
      <w:r w:rsidR="004C0BAA">
        <w:t xml:space="preserve">1 </w:t>
      </w:r>
      <w:r>
        <w:t xml:space="preserve">împotriva deciziei civile nr. </w:t>
      </w:r>
      <w:r w:rsidR="004C0BAA">
        <w:t>.....</w:t>
      </w:r>
      <w:r>
        <w:t xml:space="preserve"> din </w:t>
      </w:r>
      <w:r w:rsidR="004C0BAA">
        <w:t xml:space="preserve">....... </w:t>
      </w:r>
      <w:r>
        <w:t xml:space="preserve">a Curţii de Apel </w:t>
      </w:r>
      <w:r w:rsidR="004C0BAA">
        <w:t xml:space="preserve">.......... </w:t>
      </w:r>
      <w:r>
        <w:t xml:space="preserve">, pronunţată în dosar </w:t>
      </w:r>
      <w:r w:rsidR="004C0BAA">
        <w:t xml:space="preserve">4.1 </w:t>
      </w:r>
      <w:r>
        <w:t>, pe care o menţine.</w:t>
      </w:r>
    </w:p>
    <w:p w:rsidR="00A17BE9" w14:paraId="5903EAD2" w14:textId="77777777">
      <w:pPr>
        <w:ind w:firstLine="708"/>
        <w:jc w:val="both"/>
      </w:pPr>
      <w:r>
        <w:t>Decizia este definitivă şi executorie.</w:t>
      </w:r>
    </w:p>
    <w:p w:rsidR="00A17BE9" w14:paraId="06546B49" w14:textId="3274B606">
      <w:pPr>
        <w:ind w:firstLine="708"/>
        <w:jc w:val="both"/>
      </w:pPr>
      <w:r>
        <w:t xml:space="preserve">Dată şi pronunţată în şedinţa publică din </w:t>
      </w:r>
      <w:r w:rsidR="004C0BAA">
        <w:t xml:space="preserve">............. </w:t>
      </w:r>
      <w:r>
        <w:t>.</w:t>
      </w:r>
    </w:p>
    <w:p w:rsidR="00A17BE9" w14:paraId="6FA47FB2" w14:textId="77777777">
      <w:pPr>
        <w:jc w:val="both"/>
      </w:pPr>
    </w:p>
    <w:p w:rsidRPr="000926FB" w:rsidR="00A17BE9" w14:paraId="14C3C800" w14:textId="77777777">
      <w:pPr>
        <w:rPr>
          <w:rStyle w:val="Fontdeparagrafimplicit"/>
          <w:b/>
          <w:lang w:val="ro-RO"/>
        </w:rPr>
      </w:pPr>
      <w:r w:rsidRPr="004C0BAA">
        <w:rPr>
          <w:rStyle w:val="Fontdeparagrafimplicit"/>
          <w:b/>
          <w:lang w:val="ro-RO"/>
        </w:rPr>
        <w:t xml:space="preserve">  </w:t>
      </w:r>
      <w:r w:rsidRPr="000926FB">
        <w:rPr>
          <w:rStyle w:val="Fontdeparagrafimplicit"/>
          <w:b/>
          <w:lang w:val="ro-RO"/>
        </w:rPr>
        <w:t>PREŞEDINTE                                  JUDECĂTOR                                              GREFIER</w:t>
      </w:r>
    </w:p>
    <w:p w:rsidRPr="000926FB" w:rsidR="00A17BE9" w14:paraId="35DC770D" w14:textId="1D5F927F">
      <w:pPr>
        <w:rPr>
          <w:rStyle w:val="Fontdeparagrafimplicit"/>
          <w:b/>
          <w:lang w:val="ro-RO"/>
        </w:rPr>
      </w:pPr>
      <w:r w:rsidRPr="000926FB">
        <w:rPr>
          <w:rStyle w:val="Fontdeparagrafimplicit"/>
          <w:b/>
          <w:lang w:val="ro-RO"/>
        </w:rPr>
        <w:t xml:space="preserve">         ............. </w:t>
      </w:r>
      <w:r w:rsidRPr="000926FB" w:rsidR="0057669F">
        <w:rPr>
          <w:rStyle w:val="Fontdeparagrafimplicit"/>
          <w:b/>
          <w:lang w:val="ro-RO"/>
        </w:rPr>
        <w:t xml:space="preserve">              </w:t>
      </w:r>
      <w:r w:rsidRPr="000926FB">
        <w:rPr>
          <w:rStyle w:val="Fontdeparagrafimplicit"/>
          <w:b/>
          <w:lang w:val="ro-RO"/>
        </w:rPr>
        <w:t xml:space="preserve">                            </w:t>
      </w:r>
      <w:r w:rsidRPr="000926FB" w:rsidR="0057669F">
        <w:rPr>
          <w:rStyle w:val="Fontdeparagrafimplicit"/>
          <w:b/>
          <w:lang w:val="ro-RO"/>
        </w:rPr>
        <w:t xml:space="preserve">   </w:t>
      </w:r>
      <w:r w:rsidRPr="000926FB">
        <w:rPr>
          <w:rStyle w:val="Fontdeparagrafimplicit"/>
          <w:b/>
          <w:lang w:val="ro-RO"/>
        </w:rPr>
        <w:t>A0019</w:t>
      </w:r>
      <w:r w:rsidRPr="000926FB" w:rsidR="0057669F">
        <w:rPr>
          <w:rStyle w:val="Fontdeparagrafimplicit"/>
          <w:b/>
          <w:lang w:val="ro-RO"/>
        </w:rPr>
        <w:t xml:space="preserve">               </w:t>
      </w:r>
      <w:r w:rsidRPr="000926FB">
        <w:rPr>
          <w:rStyle w:val="Fontdeparagrafimplicit"/>
          <w:b/>
          <w:lang w:val="ro-RO"/>
        </w:rPr>
        <w:t xml:space="preserve">                                    </w:t>
      </w:r>
      <w:r w:rsidRPr="000926FB" w:rsidR="0057669F">
        <w:rPr>
          <w:rStyle w:val="Fontdeparagrafimplicit"/>
          <w:b/>
          <w:lang w:val="ro-RO"/>
        </w:rPr>
        <w:t xml:space="preserve">  </w:t>
      </w:r>
      <w:r w:rsidRPr="000926FB">
        <w:rPr>
          <w:rStyle w:val="Fontdeparagrafimplicit"/>
          <w:b/>
          <w:lang w:val="ro-RO"/>
        </w:rPr>
        <w:t xml:space="preserve">............. </w:t>
      </w:r>
    </w:p>
    <w:p w:rsidRPr="000926FB" w:rsidR="00A17BE9" w14:paraId="65CFF966" w14:textId="77777777">
      <w:pPr>
        <w:rPr>
          <w:rStyle w:val="Fontdeparagrafimplicit"/>
          <w:b/>
          <w:lang w:val="ro-RO"/>
        </w:rPr>
      </w:pPr>
    </w:p>
    <w:p w:rsidRPr="000926FB" w:rsidR="00A17BE9" w14:paraId="769FA96D" w14:textId="77777777">
      <w:pPr>
        <w:rPr>
          <w:rStyle w:val="Fontdeparagrafimplicit"/>
          <w:b/>
          <w:lang w:val="ro-RO"/>
        </w:rPr>
      </w:pPr>
    </w:p>
    <w:p w:rsidRPr="000926FB" w:rsidR="00A17BE9" w14:paraId="66339F99" w14:textId="77777777">
      <w:pPr>
        <w:rPr>
          <w:rStyle w:val="Fontdeparagrafimplicit"/>
          <w:b/>
          <w:lang w:val="ro-RO"/>
        </w:rPr>
      </w:pPr>
    </w:p>
    <w:p w:rsidRPr="000926FB" w:rsidR="00A17BE9" w14:paraId="657EAB16" w14:textId="77777777">
      <w:pPr>
        <w:jc w:val="both"/>
        <w:rPr>
          <w:rStyle w:val="Fontdeparagrafimplicit"/>
          <w:lang w:val="ro-RO"/>
        </w:rPr>
      </w:pPr>
    </w:p>
    <w:p w:rsidRPr="000926FB" w:rsidR="00A17BE9" w14:paraId="47766A85" w14:textId="59AAD077">
      <w:pPr>
        <w:jc w:val="both"/>
        <w:rPr>
          <w:rStyle w:val="Fontdeparagrafimplicit"/>
          <w:sz w:val="16"/>
          <w:lang w:val="ro-RO"/>
        </w:rPr>
      </w:pPr>
      <w:r w:rsidRPr="000926FB">
        <w:rPr>
          <w:rStyle w:val="Fontdeparagrafimplicit"/>
          <w:sz w:val="16"/>
          <w:lang w:val="ro-RO"/>
        </w:rPr>
        <w:t>Red.</w:t>
      </w:r>
      <w:r w:rsidRPr="000926FB" w:rsidR="004C0BAA">
        <w:rPr>
          <w:rStyle w:val="Fontdeparagrafimplicit"/>
          <w:sz w:val="16"/>
          <w:lang w:val="ro-RO"/>
        </w:rPr>
        <w:t>A0019/</w:t>
      </w:r>
      <w:r w:rsidRPr="000926FB">
        <w:rPr>
          <w:rStyle w:val="Fontdeparagrafimplicit"/>
          <w:sz w:val="16"/>
          <w:lang w:val="ro-RO"/>
        </w:rPr>
        <w:t>dact.</w:t>
      </w:r>
      <w:r w:rsidRPr="000926FB" w:rsidR="004C0BAA">
        <w:rPr>
          <w:rStyle w:val="Fontdeparagrafimplicit"/>
          <w:sz w:val="16"/>
          <w:lang w:val="ro-RO"/>
        </w:rPr>
        <w:t>...........</w:t>
      </w:r>
    </w:p>
    <w:p w:rsidRPr="004C0BAA" w:rsidR="00A17BE9" w14:paraId="24E15000" w14:textId="66DEE4C9">
      <w:pPr>
        <w:jc w:val="both"/>
        <w:rPr>
          <w:rStyle w:val="Fontdeparagrafimplicit"/>
          <w:sz w:val="16"/>
          <w:lang w:val="pt-PT"/>
        </w:rPr>
      </w:pPr>
      <w:r w:rsidRPr="004C0BAA">
        <w:rPr>
          <w:rStyle w:val="Fontdeparagrafimplicit"/>
          <w:sz w:val="16"/>
          <w:lang w:val="pt-PT"/>
        </w:rPr>
        <w:t>5 ex./</w:t>
      </w:r>
      <w:r w:rsidR="004C0BAA">
        <w:rPr>
          <w:rStyle w:val="Fontdeparagrafimplicit"/>
          <w:sz w:val="16"/>
          <w:lang w:val="pt-PT"/>
        </w:rPr>
        <w:t>............</w:t>
      </w:r>
    </w:p>
    <w:p w:rsidRPr="004C0BAA" w:rsidR="00A17BE9" w14:paraId="72C6E81D" w14:textId="187AE13C">
      <w:pPr>
        <w:rPr>
          <w:rStyle w:val="Fontdeparagrafimplicit"/>
          <w:lang w:val="pt-PT"/>
        </w:rPr>
      </w:pPr>
      <w:r w:rsidRPr="004C0BAA">
        <w:rPr>
          <w:rStyle w:val="Fontdeparagrafimplicit"/>
          <w:sz w:val="16"/>
          <w:lang w:val="pt-PT"/>
        </w:rPr>
        <w:t xml:space="preserve">Jud. apel: </w:t>
      </w:r>
      <w:r w:rsidR="004C0BAA">
        <w:rPr>
          <w:rStyle w:val="Fontdeparagrafimplicit"/>
          <w:sz w:val="16"/>
          <w:lang w:val="pt-PT"/>
        </w:rPr>
        <w:t>..........</w:t>
      </w:r>
      <w:r w:rsidRPr="004C0BAA">
        <w:rPr>
          <w:rStyle w:val="Fontdeparagrafimplicit"/>
          <w:sz w:val="16"/>
          <w:lang w:val="pt-PT"/>
        </w:rPr>
        <w:t>/</w:t>
      </w:r>
      <w:r w:rsidR="004C0BAA">
        <w:rPr>
          <w:rStyle w:val="Fontdeparagrafimplicit"/>
          <w:sz w:val="16"/>
          <w:lang w:val="pt-PT"/>
        </w:rPr>
        <w:t>............</w:t>
      </w:r>
    </w:p>
    <w:p w:rsidRPr="004C0BAA" w:rsidR="00A17BE9" w14:paraId="53C391C0" w14:textId="77777777">
      <w:pPr>
        <w:rPr>
          <w:rStyle w:val="Fontdeparagrafimplicit"/>
          <w:lang w:val="pt-PT"/>
        </w:rPr>
      </w:pPr>
    </w:p>
    <w:p w:rsidRPr="004C0BAA" w:rsidR="00A17BE9" w14:paraId="10BB5E46" w14:textId="77777777">
      <w:pPr>
        <w:ind w:firstLine="708"/>
        <w:jc w:val="both"/>
        <w:rPr>
          <w:rStyle w:val="Fontdeparagrafimplicit"/>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17BE9" w14:paraId="24A1110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17BE9" w14:paraId="521735D9"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17BE9" w14:paraId="59E66486"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17BE9" w14:paraId="76AB49C9"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BE9"/>
    <w:rsid w:val="000926FB"/>
    <w:rsid w:val="000B3844"/>
    <w:rsid w:val="004C0BAA"/>
    <w:rsid w:val="0057669F"/>
    <w:rsid w:val="00956EA3"/>
    <w:rsid w:val="00A17BE9"/>
    <w:rsid w:val="00D727E5"/>
    <w:rsid w:val="00E62911"/>
    <w:rsid w:val="00EA7F23"/>
    <w:rsid w:val="00F25EAE"/>
  </w:rsids>
  <w:docVars>
    <w:docVar w:name="url" w:val="http://bd-cjca:80/ecris_cdms/document_upload.aspx?id_document=3300000000823258&amp;id_departament=3&amp;id_sesiune=839306&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641251C"/>
  <w15:docId w15:val="{60CF5975-FCB4-45EA-B4E8-AB0D548B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spacing w:before="240" w:after="60"/>
      <w:outlineLvl w:val="1"/>
    </w:pPr>
    <w:rPr>
      <w:rFonts w:ascii="Arial" w:hAnsi="Arial"/>
      <w:b/>
      <w:i/>
      <w:sz w:val="28"/>
    </w:rPr>
  </w:style>
  <w:style w:type="paragraph" w:styleId="NormalWeb">
    <w:name w:val="Normal (Web)"/>
    <w:basedOn w:val="Normal"/>
    <w:pPr>
      <w:spacing w:before="100" w:beforeAutospacing="1" w:after="100" w:afterAutospacing="1"/>
    </w:pPr>
  </w:style>
  <w:style w:type="paragraph" w:customStyle="1" w:styleId="CaracterCaracterCaracterCaracter">
    <w:name w:val="Caracter Caracter Caracter Caracter"/>
    <w:basedOn w:val="Normal"/>
    <w:link w:val="Fontdeparagrafimplicit"/>
    <w:rPr>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 Caracter Caracter Caracter Caracter"/>
    <w:link w:val="CaracterCaracterCaracterCaracte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56</ap:TotalTime>
  <ap:Pages>5</ap:Pages>
  <ap:Words>2995</ap:Words>
  <ap:Characters>17073</ap:Characters>
  <ap:Application>Microsoft Office Word</ap:Application>
  <ap:DocSecurity>0</ap:DocSecurity>
  <ap:Lines>142</ap:Lines>
  <ap:Paragraphs>40</ap:Paragraphs>
  <ap:ScaleCrop>false</ap:ScaleCrop>
  <ap:CharactersWithSpaces>20028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