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5E4446" w:rsidP="00323F7B">
      <w:pPr>
        <w:jc w:val="center"/>
        <w:rPr>
          <w:b/>
        </w:rPr>
      </w:pPr>
      <w:r>
        <w:rPr>
          <w:b/>
        </w:rPr>
        <w:t xml:space="preserve">                                                                                                Hotărârea 13</w:t>
      </w:r>
    </w:p>
    <w:p w:rsidRPr="00EB3964" w:rsidR="00323F7B" w:rsidP="00323F7B">
      <w:pPr>
        <w:jc w:val="center"/>
        <w:rPr>
          <w:b/>
        </w:rPr>
      </w:pPr>
      <w:r w:rsidRPr="00EB3964">
        <w:rPr>
          <w:b/>
        </w:rPr>
        <w:t>R O M Â N I A</w:t>
      </w:r>
    </w:p>
    <w:p w:rsidRPr="00EB3964" w:rsidR="00323F7B" w:rsidP="00323F7B">
      <w:pPr>
        <w:jc w:val="center"/>
        <w:rPr>
          <w:b/>
        </w:rPr>
      </w:pPr>
      <w:r w:rsidRPr="00EB3964">
        <w:rPr>
          <w:b/>
        </w:rPr>
        <w:t xml:space="preserve">CURTEA DE APEL </w:t>
      </w:r>
      <w:r w:rsidR="00D0558F">
        <w:rPr>
          <w:b/>
        </w:rPr>
        <w:t>...X...</w:t>
      </w:r>
    </w:p>
    <w:p w:rsidRPr="00EB3964" w:rsidR="00323F7B" w:rsidP="00323F7B">
      <w:pPr>
        <w:jc w:val="center"/>
        <w:rPr>
          <w:b/>
        </w:rPr>
      </w:pPr>
      <w:r w:rsidRPr="00EB3964">
        <w:rPr>
          <w:b/>
        </w:rPr>
        <w:t xml:space="preserve">SECŢIA </w:t>
      </w:r>
      <w:r w:rsidR="00D0558F">
        <w:rPr>
          <w:b/>
        </w:rPr>
        <w:t>.........</w:t>
      </w:r>
      <w:r w:rsidRPr="00EB3964">
        <w:rPr>
          <w:b/>
        </w:rPr>
        <w:t xml:space="preserve"> CONTENCIOS ADMINISTRATIV ŞI FISCAL</w:t>
      </w:r>
    </w:p>
    <w:p w:rsidRPr="00EB3964" w:rsidR="00323F7B" w:rsidP="00323F7B">
      <w:pPr>
        <w:rPr>
          <w:b/>
        </w:rPr>
      </w:pPr>
    </w:p>
    <w:p w:rsidRPr="00EB3964" w:rsidR="00323F7B" w:rsidP="00323F7B">
      <w:pPr>
        <w:rPr>
          <w:b/>
        </w:rPr>
      </w:pPr>
      <w:r w:rsidRPr="00EB3964">
        <w:rPr>
          <w:b/>
        </w:rPr>
        <w:t>DOSAR NR.</w:t>
      </w:r>
      <w:r w:rsidR="00D0558F">
        <w:rPr>
          <w:b/>
        </w:rPr>
        <w:t>....../../2022</w:t>
      </w:r>
    </w:p>
    <w:p w:rsidRPr="00EB3964" w:rsidR="00323F7B" w:rsidP="00323F7B">
      <w:pPr>
        <w:jc w:val="center"/>
        <w:rPr>
          <w:b/>
        </w:rPr>
      </w:pPr>
    </w:p>
    <w:p w:rsidRPr="00EB3964" w:rsidR="00323F7B" w:rsidP="00323F7B">
      <w:pPr>
        <w:jc w:val="center"/>
        <w:rPr>
          <w:b/>
        </w:rPr>
      </w:pPr>
      <w:r w:rsidRPr="00EB3964">
        <w:rPr>
          <w:b/>
        </w:rPr>
        <w:t>DECIZIA CIVILĂ NR.</w:t>
      </w:r>
      <w:r w:rsidR="000275CF">
        <w:rPr>
          <w:b/>
        </w:rPr>
        <w:t>......</w:t>
      </w:r>
    </w:p>
    <w:p w:rsidRPr="00323F7B" w:rsidR="00323F7B" w:rsidP="00323F7B">
      <w:pPr>
        <w:jc w:val="center"/>
        <w:rPr>
          <w:b/>
          <w:color w:val="000000"/>
        </w:rPr>
      </w:pPr>
      <w:r w:rsidRPr="00EB3964">
        <w:rPr>
          <w:b/>
        </w:rPr>
        <w:t xml:space="preserve">ŞEDINŢA PUBLICĂ  DE LA </w:t>
      </w:r>
      <w:r w:rsidR="000275CF">
        <w:rPr>
          <w:b/>
          <w:color w:val="000000"/>
        </w:rPr>
        <w:t>.................</w:t>
      </w:r>
    </w:p>
    <w:p w:rsidRPr="00EB3964" w:rsidR="00323F7B" w:rsidP="00323F7B">
      <w:pPr>
        <w:jc w:val="center"/>
        <w:rPr>
          <w:b/>
        </w:rPr>
      </w:pPr>
      <w:r w:rsidRPr="00EB3964">
        <w:rPr>
          <w:b/>
        </w:rPr>
        <w:t>CURTEA CONSTITUITĂ DIN:</w:t>
      </w:r>
    </w:p>
    <w:p w:rsidRPr="00EB3964" w:rsidR="00323F7B" w:rsidP="00323F7B">
      <w:pPr>
        <w:jc w:val="center"/>
        <w:rPr>
          <w:b/>
        </w:rPr>
      </w:pPr>
      <w:r w:rsidRPr="00EB3964">
        <w:rPr>
          <w:b/>
        </w:rPr>
        <w:t xml:space="preserve">PREŞEDINTE -  </w:t>
      </w:r>
      <w:r w:rsidR="000275CF">
        <w:rPr>
          <w:b/>
        </w:rPr>
        <w:t>A0005</w:t>
      </w:r>
    </w:p>
    <w:p w:rsidRPr="00EB3964" w:rsidR="00323F7B" w:rsidP="00323F7B">
      <w:pPr>
        <w:jc w:val="center"/>
        <w:rPr>
          <w:b/>
        </w:rPr>
      </w:pPr>
      <w:r w:rsidRPr="00EB3964">
        <w:rPr>
          <w:b/>
        </w:rPr>
        <w:t xml:space="preserve">JUDECĂTOR -  </w:t>
      </w:r>
      <w:r w:rsidR="000275CF">
        <w:rPr>
          <w:b/>
        </w:rPr>
        <w:t>.................</w:t>
      </w:r>
    </w:p>
    <w:p w:rsidRPr="00EB3964" w:rsidR="00323F7B" w:rsidP="00323F7B">
      <w:pPr>
        <w:jc w:val="center"/>
        <w:rPr>
          <w:b/>
        </w:rPr>
      </w:pPr>
      <w:r w:rsidRPr="00EB3964">
        <w:rPr>
          <w:b/>
        </w:rPr>
        <w:t xml:space="preserve">JUDECĂTOR -  </w:t>
      </w:r>
      <w:r w:rsidR="000275CF">
        <w:rPr>
          <w:b/>
        </w:rPr>
        <w:t>.................</w:t>
      </w:r>
    </w:p>
    <w:p w:rsidRPr="00EB3964" w:rsidR="00323F7B" w:rsidP="00323F7B">
      <w:pPr>
        <w:jc w:val="center"/>
        <w:rPr>
          <w:b/>
        </w:rPr>
      </w:pPr>
      <w:r w:rsidRPr="00EB3964">
        <w:rPr>
          <w:b/>
        </w:rPr>
        <w:t xml:space="preserve">GREFIER       -  </w:t>
      </w:r>
      <w:r w:rsidR="000275CF">
        <w:rPr>
          <w:b/>
        </w:rPr>
        <w:t>.................</w:t>
      </w:r>
    </w:p>
    <w:p w:rsidRPr="00EB3964" w:rsidR="00323F7B" w:rsidP="00323F7B">
      <w:pPr>
        <w:jc w:val="center"/>
        <w:rPr>
          <w:b/>
        </w:rPr>
      </w:pPr>
    </w:p>
    <w:p w:rsidRPr="00EB3964" w:rsidR="00323F7B" w:rsidP="00D0558F">
      <w:pPr>
        <w:tabs>
          <w:tab w:val="left" w:pos="7371"/>
        </w:tabs>
        <w:ind w:firstLine="708"/>
        <w:jc w:val="both"/>
      </w:pPr>
      <w:bookmarkStart w:name="_Hlk190950013" w:id="0"/>
      <w:r w:rsidRPr="00EB3964">
        <w:t xml:space="preserve">Pe rol judecarea cauzei de contencios administrativ şi fiscal privind recursul declarat  de </w:t>
      </w:r>
      <w:bookmarkStart w:name="_Hlk237268217" w:id="1"/>
      <w:r w:rsidRPr="00EB3964">
        <w:t xml:space="preserve">recurenta-reclamantă </w:t>
      </w:r>
      <w:r w:rsidR="00D0558F">
        <w:rPr>
          <w:rStyle w:val="Strong"/>
        </w:rPr>
        <w:t>...Q...</w:t>
      </w:r>
      <w:bookmarkEnd w:id="1"/>
      <w:r w:rsidRPr="00EB3964">
        <w:rPr>
          <w:rStyle w:val="Strong"/>
        </w:rPr>
        <w:t xml:space="preserve">, </w:t>
      </w:r>
      <w:r w:rsidRPr="00EB3964">
        <w:t xml:space="preserve">împotriva Sentinţei civile nr. </w:t>
      </w:r>
      <w:r w:rsidR="00D0558F">
        <w:t>......</w:t>
      </w:r>
      <w:r w:rsidRPr="00EB3964">
        <w:t xml:space="preserve"> din data de </w:t>
      </w:r>
      <w:r w:rsidR="00D0558F">
        <w:t>.............</w:t>
      </w:r>
      <w:r w:rsidRPr="00EB3964">
        <w:t xml:space="preserve">, pronunţată de </w:t>
      </w:r>
      <w:r w:rsidRPr="00EB3964">
        <w:rPr>
          <w:lang w:eastAsia="zh-CN"/>
        </w:rPr>
        <w:t xml:space="preserve">Tribunalului </w:t>
      </w:r>
      <w:r w:rsidR="00D0558F">
        <w:rPr>
          <w:lang w:eastAsia="zh-CN"/>
        </w:rPr>
        <w:t>...X...</w:t>
      </w:r>
      <w:r w:rsidRPr="00EB3964">
        <w:rPr>
          <w:lang w:eastAsia="zh-CN"/>
        </w:rPr>
        <w:t xml:space="preserve"> - Sectia </w:t>
      </w:r>
      <w:r w:rsidR="00D0558F">
        <w:rPr>
          <w:lang w:eastAsia="zh-CN"/>
        </w:rPr>
        <w:t>....</w:t>
      </w:r>
      <w:r w:rsidRPr="00EB3964">
        <w:rPr>
          <w:lang w:eastAsia="zh-CN"/>
        </w:rPr>
        <w:t xml:space="preserve"> de Contencios administrativ şi fiscal</w:t>
      </w:r>
      <w:r w:rsidRPr="00EB3964">
        <w:t>, în dosarul nr.</w:t>
      </w:r>
      <w:r w:rsidR="00D0558F">
        <w:rPr>
          <w:b/>
        </w:rPr>
        <w:t>....../../2022</w:t>
      </w:r>
      <w:r w:rsidRPr="00EB3964">
        <w:rPr>
          <w:b/>
        </w:rPr>
        <w:t xml:space="preserve">, </w:t>
      </w:r>
      <w:r w:rsidRPr="00EB3964">
        <w:t>în contradictoriu cu intimatul</w:t>
      </w:r>
      <w:r w:rsidRPr="00EB3964">
        <w:t xml:space="preserve">-pârât </w:t>
      </w:r>
      <w:bookmarkStart w:name="_Hlk237268302" w:id="2"/>
      <w:r w:rsidRPr="00EB3964">
        <w:rPr>
          <w:rStyle w:val="Strong"/>
        </w:rPr>
        <w:t xml:space="preserve">Spitalul Clinic </w:t>
      </w:r>
      <w:r w:rsidR="00D0558F">
        <w:rPr>
          <w:rStyle w:val="Strong"/>
        </w:rPr>
        <w:t>..W..</w:t>
      </w:r>
      <w:bookmarkEnd w:id="2"/>
      <w:r w:rsidRPr="00EB3964">
        <w:rPr>
          <w:rStyle w:val="Strong"/>
        </w:rPr>
        <w:t xml:space="preserve">, </w:t>
      </w:r>
      <w:r w:rsidRPr="00EB3964">
        <w:t xml:space="preserve">având ca obiect „anulare  act administrativ”. </w:t>
      </w:r>
    </w:p>
    <w:p w:rsidRPr="00EB3964" w:rsidR="00323F7B" w:rsidP="00323F7B">
      <w:pPr>
        <w:tabs>
          <w:tab w:val="left" w:pos="709"/>
        </w:tabs>
        <w:jc w:val="both"/>
      </w:pPr>
      <w:bookmarkEnd w:id="0"/>
      <w:r w:rsidRPr="00EB3964">
        <w:t xml:space="preserve">          Dezbaterile orale au avut loc în şedinţa publică din data </w:t>
      </w:r>
      <w:r w:rsidR="000275CF">
        <w:t>.................</w:t>
      </w:r>
      <w:r w:rsidRPr="00EB3964">
        <w:t xml:space="preserve">, fiind consemnate  în cuprinsul încheierii de la aceea dată, care face parte integrantă din prezenta hotărâre, când Curtea, având nevoie de timp pentru a delibera, a amânat pronunţarea cauzei pentru data de </w:t>
      </w:r>
      <w:r w:rsidR="000275CF">
        <w:t>.................</w:t>
      </w:r>
      <w:r w:rsidRPr="00EB3964">
        <w:t>, când  a pronunţat prezenta decizie,</w:t>
      </w:r>
    </w:p>
    <w:p w:rsidRPr="00EB3964" w:rsidR="00323F7B" w:rsidP="00323F7B">
      <w:pPr>
        <w:tabs>
          <w:tab w:val="left" w:pos="709"/>
        </w:tabs>
        <w:jc w:val="both"/>
      </w:pPr>
    </w:p>
    <w:p w:rsidRPr="00EB3964" w:rsidR="00323F7B" w:rsidP="00323F7B">
      <w:pPr>
        <w:jc w:val="center"/>
        <w:rPr>
          <w:b/>
        </w:rPr>
      </w:pPr>
      <w:r w:rsidRPr="00EB3964">
        <w:rPr>
          <w:b/>
        </w:rPr>
        <w:t>C U R T E A,</w:t>
      </w:r>
    </w:p>
    <w:p w:rsidRPr="00EB3964" w:rsidR="00323F7B" w:rsidP="00323F7B">
      <w:pPr>
        <w:jc w:val="center"/>
        <w:rPr>
          <w:b/>
        </w:rPr>
      </w:pPr>
    </w:p>
    <w:p w:rsidRPr="00EB3964" w:rsidR="00323F7B" w:rsidP="00323F7B">
      <w:pPr>
        <w:pStyle w:val="NoSpacing"/>
        <w:rPr>
          <w:rFonts w:ascii="Times New Roman" w:hAnsi="Times New Roman"/>
          <w:sz w:val="24"/>
          <w:szCs w:val="24"/>
          <w:lang w:eastAsia="ro-RO"/>
        </w:rPr>
      </w:pPr>
      <w:r w:rsidRPr="00EB3964">
        <w:rPr>
          <w:rFonts w:ascii="Times New Roman" w:hAnsi="Times New Roman"/>
          <w:sz w:val="24"/>
          <w:szCs w:val="24"/>
        </w:rPr>
        <w:tab/>
      </w:r>
      <w:r w:rsidRPr="00EB3964">
        <w:rPr>
          <w:rFonts w:ascii="Times New Roman" w:hAnsi="Times New Roman"/>
          <w:sz w:val="24"/>
          <w:szCs w:val="24"/>
          <w:lang w:eastAsia="ro-RO"/>
        </w:rPr>
        <w:t>Asupra recursului de faţă;</w:t>
      </w:r>
    </w:p>
    <w:p w:rsidRPr="00EB3964" w:rsidR="00323F7B" w:rsidP="00323F7B">
      <w:pPr>
        <w:pStyle w:val="NoSpacing"/>
        <w:ind w:firstLine="708"/>
        <w:rPr>
          <w:rFonts w:ascii="Times New Roman" w:hAnsi="Times New Roman"/>
          <w:sz w:val="24"/>
          <w:szCs w:val="24"/>
          <w:lang w:eastAsia="ro-RO"/>
        </w:rPr>
      </w:pPr>
      <w:r w:rsidRPr="00EB3964">
        <w:rPr>
          <w:rFonts w:ascii="Times New Roman" w:hAnsi="Times New Roman"/>
          <w:sz w:val="24"/>
          <w:szCs w:val="24"/>
          <w:lang w:eastAsia="ro-RO"/>
        </w:rPr>
        <w:t>Din examinarea lucrărilor din dosar, constată următoarele:</w:t>
      </w:r>
    </w:p>
    <w:p w:rsidRPr="00EB3964" w:rsidR="00323F7B" w:rsidP="00323F7B">
      <w:pPr>
        <w:pStyle w:val="NoSpacing"/>
        <w:ind w:firstLine="708"/>
        <w:rPr>
          <w:rFonts w:ascii="Times New Roman" w:hAnsi="Times New Roman"/>
          <w:i/>
          <w:sz w:val="24"/>
          <w:szCs w:val="24"/>
          <w:lang w:eastAsia="ro-RO"/>
        </w:rPr>
      </w:pPr>
      <w:r w:rsidRPr="00EB3964">
        <w:rPr>
          <w:rFonts w:ascii="Times New Roman" w:hAnsi="Times New Roman"/>
          <w:b/>
          <w:sz w:val="24"/>
          <w:szCs w:val="24"/>
          <w:lang w:eastAsia="ro-RO"/>
        </w:rPr>
        <w:t>I.Circumstanţele cauzei. Cadrul procesual</w:t>
      </w:r>
      <w:r w:rsidRPr="00EB3964">
        <w:rPr>
          <w:rFonts w:ascii="Times New Roman" w:hAnsi="Times New Roman"/>
          <w:i/>
          <w:sz w:val="24"/>
          <w:szCs w:val="24"/>
          <w:lang w:eastAsia="ro-RO"/>
        </w:rPr>
        <w:t xml:space="preserve"> </w:t>
      </w:r>
    </w:p>
    <w:p w:rsidRPr="00EB3964" w:rsidR="00323F7B" w:rsidP="00323F7B">
      <w:pPr>
        <w:pStyle w:val="NoSpacing"/>
        <w:ind w:firstLine="708"/>
        <w:rPr>
          <w:rFonts w:ascii="Times New Roman" w:hAnsi="Times New Roman"/>
          <w:i/>
          <w:sz w:val="24"/>
          <w:szCs w:val="24"/>
          <w:lang w:eastAsia="ro-RO"/>
        </w:rPr>
      </w:pPr>
      <w:r w:rsidRPr="00EB3964">
        <w:rPr>
          <w:rFonts w:ascii="Times New Roman" w:hAnsi="Times New Roman"/>
          <w:i/>
          <w:sz w:val="24"/>
          <w:szCs w:val="24"/>
          <w:lang w:eastAsia="ro-RO"/>
        </w:rPr>
        <w:t>I.1.Cererea de chemare în judecată</w:t>
      </w:r>
    </w:p>
    <w:p w:rsidRPr="00EB3964" w:rsidR="00323F7B" w:rsidP="00323F7B">
      <w:pPr>
        <w:ind w:firstLine="708"/>
        <w:jc w:val="both"/>
      </w:pPr>
      <w:r w:rsidRPr="00EB3964">
        <w:rPr>
          <w:bCs/>
          <w:iCs/>
        </w:rPr>
        <w:t xml:space="preserve">Prin cererea de chemare în judecată înregistrată pe rolul </w:t>
      </w:r>
      <w:r w:rsidRPr="00EB3964">
        <w:rPr>
          <w:lang w:eastAsia="zh-CN"/>
        </w:rPr>
        <w:t xml:space="preserve">Tribunalului </w:t>
      </w:r>
      <w:r w:rsidR="00D0558F">
        <w:rPr>
          <w:lang w:eastAsia="zh-CN"/>
        </w:rPr>
        <w:t>...X...</w:t>
      </w:r>
      <w:r w:rsidRPr="00EB3964">
        <w:rPr>
          <w:lang w:eastAsia="zh-CN"/>
        </w:rPr>
        <w:t xml:space="preserve"> - Sectia </w:t>
      </w:r>
      <w:r w:rsidR="00D0558F">
        <w:rPr>
          <w:lang w:eastAsia="zh-CN"/>
        </w:rPr>
        <w:t>....</w:t>
      </w:r>
      <w:r w:rsidRPr="00EB3964">
        <w:rPr>
          <w:lang w:eastAsia="zh-CN"/>
        </w:rPr>
        <w:t xml:space="preserve"> de Contencios administrativ şi fiscal </w:t>
      </w:r>
      <w:r w:rsidRPr="00EB3964">
        <w:rPr>
          <w:rFonts w:eastAsia="Calibri"/>
        </w:rPr>
        <w:t>la data de 22.07.2022, sub număr</w:t>
      </w:r>
      <w:r w:rsidRPr="00EB3964">
        <w:rPr>
          <w:rFonts w:eastAsia="Calibri"/>
        </w:rPr>
        <w:t xml:space="preserve">ul </w:t>
      </w:r>
      <w:r w:rsidR="00D0558F">
        <w:rPr>
          <w:rFonts w:eastAsia="Calibri"/>
        </w:rPr>
        <w:t>....../../2022</w:t>
      </w:r>
      <w:r w:rsidRPr="00EB3964">
        <w:rPr>
          <w:rFonts w:eastAsia="Calibri"/>
        </w:rPr>
        <w:t>,</w:t>
      </w:r>
      <w:r w:rsidRPr="00EB3964">
        <w:rPr>
          <w:rFonts w:eastAsia="Calibri"/>
          <w:lang w:eastAsia="en-US"/>
        </w:rPr>
        <w:t xml:space="preserve"> </w:t>
      </w:r>
      <w:r w:rsidRPr="00EB3964">
        <w:t xml:space="preserve">reclamanta </w:t>
      </w:r>
      <w:r w:rsidR="00D0558F">
        <w:t>...Q...</w:t>
      </w:r>
      <w:r w:rsidRPr="00EB3964">
        <w:t xml:space="preserve">, în contradictoriu cu pârâtul Spitalul Clinic </w:t>
      </w:r>
      <w:r w:rsidR="00D0558F">
        <w:t>..W..</w:t>
      </w:r>
      <w:r w:rsidRPr="00EB3964">
        <w:t xml:space="preserve">, a solicitat instanței ca, prin hotărârea ce o va pronunța să dispună, în principal, anularea Hotărârii Consiliului de Administrație al Spitalului Clinic </w:t>
      </w:r>
      <w:r w:rsidR="00D0558F">
        <w:t>..W..</w:t>
      </w:r>
      <w:r w:rsidRPr="00EB3964">
        <w:t xml:space="preserve"> din data de 16.05.2022 privind avizarea nefavorabilă a prelungirii contractului de administrare al acesteia, iar în subsidiar, obligarea pârâtului la comunicarea hotărârii motivate a Consiliului de Administrație al Spitalului Clinic </w:t>
      </w:r>
      <w:r w:rsidR="00405C42">
        <w:t>..W..</w:t>
      </w:r>
      <w:r w:rsidRPr="00EB3964">
        <w:t xml:space="preserve"> din data de 16.05.2022 privind avizarea nefavorabilă a prelungirii contractului de administrare al acesteia și obligarea pârâtului la plata cheltuielilor de judecată.</w:t>
      </w:r>
    </w:p>
    <w:p w:rsidRPr="00EB3964" w:rsidR="00323F7B" w:rsidP="00323F7B">
      <w:pPr>
        <w:ind w:firstLine="708"/>
        <w:jc w:val="both"/>
        <w:rPr>
          <w:bCs/>
        </w:rPr>
      </w:pPr>
      <w:r w:rsidRPr="00EB3964">
        <w:rPr>
          <w:bCs/>
        </w:rPr>
        <w:t xml:space="preserve">În motivare, s-a arătat că, în fapt, ca urmare promovării concursului organizat pentru această funcție, reclamanta a ocupat funcția de șef secție Obstetrică Ginecologie I în cadrul Spitalului Clinic </w:t>
      </w:r>
      <w:r w:rsidR="00D0558F">
        <w:rPr>
          <w:bCs/>
        </w:rPr>
        <w:t>..W..</w:t>
      </w:r>
      <w:r w:rsidRPr="00EB3964">
        <w:rPr>
          <w:bCs/>
        </w:rPr>
        <w:t xml:space="preserve"> în perioada 21.06.2018 - 21.06.2022. </w:t>
      </w:r>
    </w:p>
    <w:p w:rsidRPr="00EB3964" w:rsidR="00323F7B" w:rsidP="00323F7B">
      <w:pPr>
        <w:ind w:firstLine="708"/>
        <w:jc w:val="both"/>
        <w:rPr>
          <w:bCs/>
        </w:rPr>
      </w:pPr>
      <w:r w:rsidRPr="00EB3964">
        <w:rPr>
          <w:bCs/>
        </w:rPr>
        <w:t xml:space="preserve">Aceasta a precizat că, la data de 16.06.2022 i-a fost comunicată decizia Consiliului de administrație al Spitalului Clinic </w:t>
      </w:r>
      <w:r w:rsidR="00D0558F">
        <w:rPr>
          <w:bCs/>
        </w:rPr>
        <w:t>..</w:t>
      </w:r>
      <w:r w:rsidR="00D0558F">
        <w:rPr>
          <w:bCs/>
        </w:rPr>
        <w:t>W..</w:t>
      </w:r>
      <w:r w:rsidRPr="00EB3964">
        <w:rPr>
          <w:bCs/>
        </w:rPr>
        <w:t xml:space="preserve"> de încetare a contractului de administrare prin ajungerea la termen și, indirect, hotărârea de neavizare ca interimar în funcția de șef secție OG I, prin comunicarea deciziei de reîncadrare în funcția de medic. Astfel, cu data încetării contractului să</w:t>
      </w:r>
      <w:r w:rsidRPr="00EB3964">
        <w:rPr>
          <w:bCs/>
        </w:rPr>
        <w:t>u de administrare a fost delegat pentru ocuparea postului un alt coleg.</w:t>
      </w:r>
    </w:p>
    <w:p w:rsidRPr="00EB3964" w:rsidR="00323F7B" w:rsidP="00323F7B">
      <w:pPr>
        <w:ind w:firstLine="708"/>
        <w:jc w:val="both"/>
        <w:rPr>
          <w:bCs/>
        </w:rPr>
      </w:pPr>
      <w:r w:rsidRPr="00EB3964">
        <w:rPr>
          <w:bCs/>
        </w:rPr>
        <w:t>Ulterior, cererile sale adresate Consiliului de Administrație al Spitalului prin care a solicitat să i se comunice motivele neavizării ca interimar în funcția de șef secție Obstetrică Ginecologie I, au primit răspunsuri negative.</w:t>
      </w:r>
    </w:p>
    <w:p w:rsidRPr="00EB3964" w:rsidR="00323F7B" w:rsidP="00323F7B">
      <w:pPr>
        <w:ind w:firstLine="708"/>
        <w:jc w:val="both"/>
        <w:rPr>
          <w:bCs/>
        </w:rPr>
      </w:pPr>
      <w:r w:rsidRPr="00EB3964">
        <w:rPr>
          <w:bCs/>
        </w:rPr>
        <w:t>Reclamanta a afirmat că avizul negativ dat de Consiliul de administraţie este nelegal deoarece nu au intervenit modificări faţă de momentul obţinerii prin concurs a postului de şef de secţie.</w:t>
      </w:r>
    </w:p>
    <w:p w:rsidRPr="00EB3964" w:rsidR="00323F7B" w:rsidP="00323F7B">
      <w:pPr>
        <w:pStyle w:val="NoSpacing"/>
        <w:ind w:firstLine="708"/>
        <w:jc w:val="both"/>
        <w:rPr>
          <w:rFonts w:ascii="Times New Roman" w:hAnsi="Times New Roman"/>
          <w:noProof/>
          <w:sz w:val="24"/>
          <w:szCs w:val="24"/>
        </w:rPr>
      </w:pPr>
      <w:r w:rsidRPr="00EB3964">
        <w:rPr>
          <w:rFonts w:ascii="Times New Roman" w:hAnsi="Times New Roman"/>
          <w:noProof/>
          <w:sz w:val="24"/>
          <w:szCs w:val="24"/>
        </w:rPr>
        <w:t xml:space="preserve">În drept, au fost </w:t>
      </w:r>
      <w:r w:rsidRPr="00EB3964">
        <w:rPr>
          <w:rFonts w:ascii="Times New Roman" w:hAnsi="Times New Roman"/>
          <w:noProof/>
          <w:sz w:val="24"/>
          <w:szCs w:val="24"/>
        </w:rPr>
        <w:t xml:space="preserve">invocate </w:t>
      </w:r>
      <w:r w:rsidRPr="00EB3964">
        <w:rPr>
          <w:rFonts w:ascii="Times New Roman" w:hAnsi="Times New Roman"/>
          <w:bCs/>
          <w:sz w:val="24"/>
          <w:szCs w:val="24"/>
        </w:rPr>
        <w:t>dispozițiilor Legii nr. 95/2006 şi dispozițiile Legii nr. 554/2004,</w:t>
      </w:r>
    </w:p>
    <w:p w:rsidRPr="00EB3964" w:rsidR="00323F7B" w:rsidP="00323F7B">
      <w:pPr>
        <w:widowControl w:val="0"/>
        <w:autoSpaceDE w:val="0"/>
        <w:autoSpaceDN w:val="0"/>
        <w:adjustRightInd w:val="0"/>
        <w:ind w:firstLine="708"/>
        <w:jc w:val="both"/>
        <w:rPr>
          <w:rFonts w:eastAsia="Arial Unicode MS"/>
          <w:color w:val="000000"/>
        </w:rPr>
      </w:pPr>
      <w:r w:rsidRPr="00EB3964">
        <w:t xml:space="preserve">Pârâtul Spitalul Clinic </w:t>
      </w:r>
      <w:r w:rsidR="00D0558F">
        <w:t>..W..</w:t>
      </w:r>
      <w:r w:rsidRPr="00EB3964">
        <w:rPr>
          <w:rFonts w:eastAsia="Calibri"/>
          <w:lang w:eastAsia="en-US"/>
        </w:rPr>
        <w:t xml:space="preserve"> a formulat întâmpinare prin care </w:t>
      </w:r>
      <w:r w:rsidRPr="00EB3964">
        <w:rPr>
          <w:bCs/>
          <w:noProof/>
        </w:rPr>
        <w:t>a solicitat respingerea cererii de chemare în judecată ca neîntemeiată.</w:t>
      </w:r>
    </w:p>
    <w:p w:rsidRPr="00EB3964" w:rsidR="00323F7B" w:rsidP="00323F7B">
      <w:pPr>
        <w:jc w:val="both"/>
        <w:rPr>
          <w:i/>
        </w:rPr>
      </w:pPr>
      <w:r w:rsidRPr="00EB3964">
        <w:rPr>
          <w:rFonts w:eastAsia="Arial Unicode MS"/>
          <w:color w:val="000000"/>
        </w:rPr>
        <w:tab/>
      </w:r>
      <w:r w:rsidRPr="00EB3964">
        <w:rPr>
          <w:i/>
        </w:rPr>
        <w:t>I.2.Hotărârea pronunţată de prima instanţă</w:t>
      </w:r>
    </w:p>
    <w:p w:rsidRPr="00EB3964" w:rsidR="00323F7B" w:rsidP="00323F7B">
      <w:pPr>
        <w:ind w:firstLine="709"/>
        <w:jc w:val="both"/>
        <w:rPr>
          <w:iCs/>
        </w:rPr>
      </w:pPr>
      <w:r w:rsidRPr="00EB3964">
        <w:rPr>
          <w:iCs/>
        </w:rPr>
        <w:t xml:space="preserve">Prin Sentinţa civilă nr. </w:t>
      </w:r>
      <w:r w:rsidR="00D0558F">
        <w:rPr>
          <w:iCs/>
        </w:rPr>
        <w:t>......</w:t>
      </w:r>
      <w:r w:rsidRPr="00EB3964">
        <w:rPr>
          <w:iCs/>
        </w:rPr>
        <w:t xml:space="preserve"> din data de </w:t>
      </w:r>
      <w:r w:rsidR="00405C42">
        <w:rPr>
          <w:iCs/>
        </w:rPr>
        <w:t>.............</w:t>
      </w:r>
      <w:r w:rsidRPr="00EB3964">
        <w:rPr>
          <w:iCs/>
        </w:rPr>
        <w:t xml:space="preserve">, Tribunalul </w:t>
      </w:r>
      <w:r w:rsidR="00D0558F">
        <w:rPr>
          <w:iCs/>
        </w:rPr>
        <w:t>...X...</w:t>
      </w:r>
      <w:r w:rsidRPr="00EB3964">
        <w:rPr>
          <w:iCs/>
        </w:rPr>
        <w:t xml:space="preserve"> - Secţia </w:t>
      </w:r>
      <w:r w:rsidR="00D0558F">
        <w:rPr>
          <w:iCs/>
        </w:rPr>
        <w:t>....</w:t>
      </w:r>
      <w:r w:rsidRPr="00EB3964">
        <w:rPr>
          <w:iCs/>
        </w:rPr>
        <w:t xml:space="preserve"> Contencios administrativ şi fiscal a respins excepția rămânerii fără obiect a acțiunii, a respins capătul principal de cerere, ca neîntemeiat şi a respins capătul subsidiar de cerere, ca rămas fără obiect.</w:t>
      </w:r>
    </w:p>
    <w:p w:rsidRPr="00EB3964" w:rsidR="00323F7B" w:rsidP="00323F7B">
      <w:pPr>
        <w:ind w:firstLine="709"/>
        <w:jc w:val="both"/>
        <w:rPr>
          <w:iCs/>
        </w:rPr>
      </w:pPr>
      <w:r w:rsidRPr="00EB3964">
        <w:rPr>
          <w:iCs/>
        </w:rPr>
        <w:t>Pentru a pronunţa această soluţie, instanţa de fond a reţinut, în esenţă, faptul că dispoziţiile art. 185 alin. (5) din Legea nr. 95/2006 nu reglementează un drept al persoanei al cărui contract de administrare expiră de a i se prelungi în mod automat contractul, ci doar o posibilitate în acest sens a autorității, astfel încât numai aceasta din urmă este în măsură să aprecieze asupra oportunității prelungirii, beneficiind în acest sens de o marjă de apreciere.</w:t>
      </w:r>
    </w:p>
    <w:p w:rsidRPr="00EB3964" w:rsidR="00323F7B" w:rsidP="00323F7B">
      <w:pPr>
        <w:ind w:firstLine="709"/>
        <w:jc w:val="both"/>
        <w:rPr>
          <w:iCs/>
        </w:rPr>
      </w:pPr>
      <w:r w:rsidRPr="00EB3964">
        <w:rPr>
          <w:iCs/>
        </w:rPr>
        <w:t xml:space="preserve">În continuare, instanţa de fond a reţinut că dreptul de apreciere nu a fost exercitat de pârât cu depăşirea limitelor permise de lege, nefiind în prezenţa unui </w:t>
      </w:r>
      <w:r w:rsidRPr="00EB3964">
        <w:rPr>
          <w:i/>
        </w:rPr>
        <w:t>exces de putere</w:t>
      </w:r>
      <w:r w:rsidRPr="00EB3964">
        <w:rPr>
          <w:iCs/>
        </w:rPr>
        <w:t>, în sensul art. 2 lit. n) din Legea nr. 554/2004, tribunalul făcând trimitere la împrejurarea că în cadrul şedinţei Consiliului de administraţie din data de 16 mai 2022 au fost puse în discuţie o serie de aspecte profesionale negative imputate reclamantei.</w:t>
      </w:r>
    </w:p>
    <w:p w:rsidRPr="00EB3964" w:rsidR="00323F7B" w:rsidP="00323F7B">
      <w:pPr>
        <w:ind w:firstLine="709"/>
        <w:jc w:val="both"/>
        <w:rPr>
          <w:iCs/>
        </w:rPr>
      </w:pPr>
      <w:r w:rsidRPr="00EB3964">
        <w:rPr>
          <w:iCs/>
        </w:rPr>
        <w:t>Totodată, tribunalul a menţionat că nu va analiza aspectele imputate reclamantei, dar că ele sunt suficiente pentru a concluziona că hotărârea Consiliului de administrare de a nu aviza prelungirea contractului de administrare nu a fost emisă cu exces de putere.</w:t>
      </w:r>
    </w:p>
    <w:p w:rsidRPr="00EB3964" w:rsidR="00323F7B" w:rsidP="00323F7B">
      <w:pPr>
        <w:ind w:firstLine="709"/>
        <w:jc w:val="both"/>
        <w:rPr>
          <w:i/>
        </w:rPr>
      </w:pPr>
      <w:r w:rsidRPr="00EB3964">
        <w:rPr>
          <w:i/>
        </w:rPr>
        <w:t xml:space="preserve">I.3.Cererea de recurs </w:t>
      </w:r>
    </w:p>
    <w:p w:rsidRPr="00EB3964" w:rsidR="00323F7B" w:rsidP="00323F7B">
      <w:pPr>
        <w:ind w:firstLine="709"/>
        <w:jc w:val="both"/>
        <w:rPr>
          <w:iCs/>
        </w:rPr>
      </w:pPr>
      <w:r w:rsidRPr="00EB3964">
        <w:rPr>
          <w:iCs/>
        </w:rPr>
        <w:t>Împotriva sentinţei de mai sus, a declarat recurs recla</w:t>
      </w:r>
      <w:r w:rsidRPr="00EB3964">
        <w:rPr>
          <w:iCs/>
        </w:rPr>
        <w:t xml:space="preserve">manta </w:t>
      </w:r>
      <w:r w:rsidR="00D0558F">
        <w:rPr>
          <w:iCs/>
        </w:rPr>
        <w:t>...Q...</w:t>
      </w:r>
      <w:r w:rsidRPr="00EB3964">
        <w:rPr>
          <w:iCs/>
        </w:rPr>
        <w:t xml:space="preserve">, solicitând admiterea acestuia, casarea în parte a hotărârii recurate şi, în  rejudecare, admiterea în parte a cererii introductive, în privinţa capătului referitor la anularea hotărârii Consiliului de Administrație al Spitalului Clinic </w:t>
      </w:r>
      <w:r w:rsidR="00D0558F">
        <w:rPr>
          <w:iCs/>
        </w:rPr>
        <w:t>..W..</w:t>
      </w:r>
      <w:r w:rsidRPr="00EB3964">
        <w:rPr>
          <w:iCs/>
        </w:rPr>
        <w:t xml:space="preserve"> din data de 16.05.2022.</w:t>
      </w:r>
    </w:p>
    <w:p w:rsidRPr="00EB3964" w:rsidR="00323F7B" w:rsidP="00323F7B">
      <w:pPr>
        <w:ind w:firstLine="709"/>
        <w:jc w:val="both"/>
        <w:rPr>
          <w:iCs/>
        </w:rPr>
      </w:pPr>
      <w:r w:rsidRPr="00EB3964">
        <w:rPr>
          <w:iCs/>
        </w:rPr>
        <w:t xml:space="preserve">Recurenta a invocat motivele de casare prevăzute de art. 488 alin. (1) pct. 6, 7 şi 8 din Codul de procedură civilă. </w:t>
      </w:r>
    </w:p>
    <w:p w:rsidRPr="00EB3964" w:rsidR="00323F7B" w:rsidP="00323F7B">
      <w:pPr>
        <w:ind w:firstLine="709"/>
        <w:jc w:val="both"/>
        <w:rPr>
          <w:iCs/>
        </w:rPr>
      </w:pPr>
      <w:bookmarkStart w:name="_Hlk205638089" w:id="3"/>
      <w:r w:rsidRPr="00EB3964">
        <w:rPr>
          <w:iCs/>
        </w:rPr>
        <w:t>În dezvoltarea cazului de casare prevăzut de art. 488 alin. (1) pct. 6 din Codul de procedură civilă, recurenta-reclamantă a afirmat că instanţa de fond a nesocotit dispoziţiile art. 425 alin. (1) lit. b) din Codul de procedură civilă, prin aceea că nu a analizat apărările formulate de reclamantă, ci a preluat integral şi fără motivare, susţinerile de la pagina 4 a întâmpinării pârâtei, utilizând inclusiv sintagme neprevăzute de lege, precum „prelungire automată".</w:t>
      </w:r>
    </w:p>
    <w:p w:rsidRPr="00EB3964" w:rsidR="00323F7B" w:rsidP="00323F7B">
      <w:pPr>
        <w:ind w:firstLine="709"/>
        <w:jc w:val="both"/>
        <w:rPr>
          <w:iCs/>
        </w:rPr>
      </w:pPr>
      <w:r w:rsidRPr="00EB3964">
        <w:rPr>
          <w:iCs/>
        </w:rPr>
        <w:t>A mai afirmat recurenta că hotărârea cuprinde şi argumente contradictorii, în sensul că deşi afirmă că nu va analiza aspectele punctuale imputate reclamantei, totuşi tribunalul le reţine în paragraful următor.</w:t>
      </w:r>
    </w:p>
    <w:p w:rsidRPr="00EB3964" w:rsidR="00323F7B" w:rsidP="00323F7B">
      <w:pPr>
        <w:ind w:firstLine="709"/>
        <w:jc w:val="both"/>
        <w:rPr>
          <w:iCs/>
        </w:rPr>
      </w:pPr>
      <w:r w:rsidRPr="00EB3964">
        <w:rPr>
          <w:iCs/>
        </w:rPr>
        <w:t>Totodată, recurenta-reclamantă precizează că instanţa de fond a reţinut doar două din cele patru nemulţumiri la adresa sa prezentate membrilor Consiliului de administraţie, adăugând la acestea nemulţumirile suplimentare menţionate prin întâmpinarea pârâtului.</w:t>
      </w:r>
    </w:p>
    <w:p w:rsidRPr="00EB3964" w:rsidR="00323F7B" w:rsidP="00323F7B">
      <w:pPr>
        <w:ind w:firstLine="709"/>
        <w:jc w:val="both"/>
        <w:rPr>
          <w:iCs/>
        </w:rPr>
      </w:pPr>
      <w:bookmarkEnd w:id="3"/>
      <w:r w:rsidRPr="00EB3964">
        <w:rPr>
          <w:iCs/>
        </w:rPr>
        <w:t>În dezvoltarea cazului de casare prevăzut de art. 488 alin. (1) pct. 7 din Codul de procedură civilă, recurenta-reclamantă a afirmat că hotărârea instanţei este nelegală, fiind dată cu încălcarea autorităţii de lucru judecat.</w:t>
      </w:r>
    </w:p>
    <w:p w:rsidRPr="00EB3964" w:rsidR="00323F7B" w:rsidP="00323F7B">
      <w:pPr>
        <w:ind w:firstLine="709"/>
        <w:jc w:val="both"/>
        <w:rPr>
          <w:iCs/>
        </w:rPr>
      </w:pPr>
      <w:r w:rsidRPr="00EB3964">
        <w:rPr>
          <w:iCs/>
        </w:rPr>
        <w:t xml:space="preserve">În acest sens, a arătat că în privinţa faptei constând în neîndeplinirea sarcinilor de serviciu privind crearea circuitelor Covid şi non-Covid, constatările Inspecţiei Sanitare de Stat au fost infirmate de instanţă printr-o hotărâre judecătorească definitivă, respectiv Decizia civilă nr. </w:t>
      </w:r>
      <w:r w:rsidR="00564B93">
        <w:rPr>
          <w:iCs/>
        </w:rPr>
        <w:t>......</w:t>
      </w:r>
      <w:r w:rsidRPr="00EB3964">
        <w:rPr>
          <w:iCs/>
        </w:rPr>
        <w:t xml:space="preserve"> din </w:t>
      </w:r>
      <w:r w:rsidRPr="00920856">
        <w:rPr>
          <w:iCs/>
        </w:rPr>
        <w:t>23 iunie 2022</w:t>
      </w:r>
      <w:r w:rsidRPr="00EB3964">
        <w:rPr>
          <w:iCs/>
        </w:rPr>
        <w:t xml:space="preserve">, pronunţată de Tribunalul </w:t>
      </w:r>
      <w:r w:rsidR="00D0558F">
        <w:rPr>
          <w:iCs/>
        </w:rPr>
        <w:t>...X...</w:t>
      </w:r>
      <w:r w:rsidRPr="00EB3964">
        <w:rPr>
          <w:iCs/>
        </w:rPr>
        <w:t xml:space="preserve"> - Secţia </w:t>
      </w:r>
      <w:r w:rsidR="00D0558F">
        <w:rPr>
          <w:iCs/>
        </w:rPr>
        <w:t>....</w:t>
      </w:r>
      <w:r w:rsidRPr="00EB3964">
        <w:rPr>
          <w:iCs/>
        </w:rPr>
        <w:t xml:space="preserve"> Contencios administrativ şi fiscal, care beneficiază de autoritate de lucru judecat, în temeiul art. 431 şi art. 435 din Codul de procedură civilă.</w:t>
      </w:r>
    </w:p>
    <w:p w:rsidRPr="00EB3964" w:rsidR="00323F7B" w:rsidP="00323F7B">
      <w:pPr>
        <w:ind w:firstLine="709"/>
        <w:jc w:val="both"/>
        <w:rPr>
          <w:iCs/>
        </w:rPr>
      </w:pPr>
      <w:r w:rsidRPr="00EB3964">
        <w:rPr>
          <w:iCs/>
        </w:rPr>
        <w:t>În dezvoltarea cazului de casare prevăzut de art. 488 alin. (1) pct. 8 din Codul de procedură civilă, recurenta-reclamantă a afirmat că hotărârea atacată a fost dată cu încălcarea sau aplicarea greşită a normelor de drept material</w:t>
      </w:r>
      <w:r w:rsidRPr="00EB3964">
        <w:rPr>
          <w:iCs/>
        </w:rPr>
        <w:t>.</w:t>
      </w:r>
    </w:p>
    <w:p w:rsidRPr="00EB3964" w:rsidR="00323F7B" w:rsidP="00323F7B">
      <w:pPr>
        <w:ind w:firstLine="709"/>
        <w:jc w:val="both"/>
        <w:rPr>
          <w:iCs/>
        </w:rPr>
      </w:pPr>
      <w:r w:rsidRPr="00EB3964">
        <w:rPr>
          <w:iCs/>
        </w:rPr>
        <w:t>În acest sens, a arătat că instanţa de fond a adăugat la lege, deoarece art.185 alin. (4) din Legea nr.95/2006 nu prevede criterii de analiză, precum obţinerea de titular a unui rezultat profesional ridicat, existenţa sau inexistenţa unor nemulţumiri ale managerului (aceste aspecte făcând obiectul procedurii de evaluare anuală) şi nici faptul că analiza se face în funcţie de persoana salariatului şi modalitatea în care aceasta şi-a îndeplinit obligaţiile contractuale.</w:t>
      </w:r>
    </w:p>
    <w:p w:rsidRPr="00EB3964" w:rsidR="00323F7B" w:rsidP="00323F7B">
      <w:pPr>
        <w:ind w:firstLine="709"/>
        <w:jc w:val="both"/>
        <w:rPr>
          <w:iCs/>
        </w:rPr>
      </w:pPr>
      <w:r w:rsidRPr="00EB3964">
        <w:rPr>
          <w:iCs/>
        </w:rPr>
        <w:t>Mai afirmă recurenta că din moment ce a reţinut că autorităţii îi este "recunoscut dreptul de a decide asupra oportunităţii prelungirii contractului autoritatea având capacitatea de a alege dintre mai multe soluţii posibile şi egale în aceeaşi măsură", instanţa de fond trebuia să constate că în lipsa unei analize comparate candidaţilor la numirea în funcţia de şef secţie clinică, pe baza aceloraşi criterii, concluzia logică ce se desprindea era aceea că refuzul desemnării recurentei-reclamanta a fost unul intenţionat.</w:t>
      </w:r>
    </w:p>
    <w:p w:rsidRPr="00EB3964" w:rsidR="00323F7B" w:rsidP="00323F7B">
      <w:pPr>
        <w:ind w:firstLine="709"/>
        <w:jc w:val="both"/>
        <w:rPr>
          <w:iCs/>
        </w:rPr>
      </w:pPr>
      <w:r w:rsidRPr="00EB3964">
        <w:rPr>
          <w:iCs/>
        </w:rPr>
        <w:t>În plus, nu doar criteriul calificativului trebuia analizat, ci şi dacă persoana care candidează este cadru universitar UMF sau dacă a promovat în funcţia de şef secţie ca urmare a unui concurs.</w:t>
      </w:r>
    </w:p>
    <w:p w:rsidRPr="00EB3964" w:rsidR="00323F7B" w:rsidP="00323F7B">
      <w:pPr>
        <w:ind w:firstLine="709"/>
        <w:jc w:val="both"/>
        <w:rPr>
          <w:iCs/>
        </w:rPr>
      </w:pPr>
      <w:r w:rsidRPr="00EB3964">
        <w:rPr>
          <w:iCs/>
        </w:rPr>
        <w:t>Precizează recurenta că nu a susţinut existenţa obligaţiei managerului de a-i prelungi „automat" contractul, ci invocat încălcarea dreptului de a fi desemnată în această funcţie, ca urmare a unei prezentări rău-voitoare a activităţii sale de către managerul instituţiei.</w:t>
      </w:r>
    </w:p>
    <w:p w:rsidRPr="00EB3964" w:rsidR="00323F7B" w:rsidP="00323F7B">
      <w:pPr>
        <w:ind w:firstLine="709"/>
        <w:jc w:val="both"/>
        <w:rPr>
          <w:iCs/>
        </w:rPr>
      </w:pPr>
      <w:r w:rsidRPr="00EB3964">
        <w:rPr>
          <w:iCs/>
        </w:rPr>
        <w:t>Or, pentru a demonstra că informarea membrilor Consiliului de administrare s-a făcut incorect, recurenta a solicitat, iar instanţa de fond trebuia să efectueze, analiza pe fond a aspectelor care i-au fost imputate.</w:t>
      </w:r>
    </w:p>
    <w:p w:rsidRPr="00EB3964" w:rsidR="00323F7B" w:rsidP="00323F7B">
      <w:pPr>
        <w:ind w:firstLine="709"/>
        <w:jc w:val="both"/>
        <w:rPr>
          <w:i/>
        </w:rPr>
      </w:pPr>
      <w:r w:rsidRPr="00EB3964">
        <w:rPr>
          <w:i/>
        </w:rPr>
        <w:t>I.4. Apărările formulate în cauză</w:t>
      </w:r>
    </w:p>
    <w:p w:rsidRPr="00EB3964" w:rsidR="00323F7B" w:rsidP="00323F7B">
      <w:pPr>
        <w:ind w:firstLine="709"/>
        <w:jc w:val="both"/>
        <w:rPr>
          <w:iCs/>
        </w:rPr>
      </w:pPr>
      <w:r w:rsidRPr="00EB3964">
        <w:rPr>
          <w:iCs/>
        </w:rPr>
        <w:t xml:space="preserve">Intimatul-pârât Spitalul Clinic </w:t>
      </w:r>
      <w:r w:rsidR="00D0558F">
        <w:rPr>
          <w:iCs/>
        </w:rPr>
        <w:t>..W..</w:t>
      </w:r>
      <w:r w:rsidRPr="00EB3964">
        <w:rPr>
          <w:iCs/>
        </w:rPr>
        <w:t xml:space="preserve"> nu a depus întâmpinare. </w:t>
      </w:r>
    </w:p>
    <w:p w:rsidRPr="00EB3964" w:rsidR="00323F7B" w:rsidP="00323F7B">
      <w:pPr>
        <w:ind w:firstLine="709"/>
        <w:jc w:val="both"/>
        <w:rPr>
          <w:b/>
          <w:bCs/>
          <w:iCs/>
        </w:rPr>
      </w:pPr>
      <w:r w:rsidRPr="00EB3964">
        <w:rPr>
          <w:b/>
          <w:bCs/>
          <w:iCs/>
        </w:rPr>
        <w:t>II.  Soluţia şi considerentele Curţii</w:t>
      </w:r>
    </w:p>
    <w:p w:rsidRPr="00EB3964" w:rsidR="00323F7B" w:rsidP="00323F7B">
      <w:pPr>
        <w:ind w:firstLine="709"/>
        <w:jc w:val="both"/>
        <w:rPr>
          <w:iCs/>
        </w:rPr>
      </w:pPr>
      <w:r w:rsidRPr="00EB3964">
        <w:rPr>
          <w:iCs/>
        </w:rPr>
        <w:t>Analizând cererea de recurs, din perspectiva motivelor invocate de recurenta-reclamantă, a situației de fapt stabilite de prima instanță și a dispozițiilor legale  incidente, Curtea constată că aceasta fondată, urmând a fi admisă, pentru argumentele ce vor fi expuse în cele de urmează.</w:t>
      </w:r>
    </w:p>
    <w:p w:rsidRPr="00EB3964" w:rsidR="00323F7B" w:rsidP="00323F7B">
      <w:pPr>
        <w:ind w:firstLine="709"/>
        <w:jc w:val="both"/>
        <w:rPr>
          <w:i/>
        </w:rPr>
      </w:pPr>
      <w:r w:rsidRPr="00EB3964">
        <w:rPr>
          <w:i/>
        </w:rPr>
        <w:t>II.1. Aspecte de fapt si de drept relevante</w:t>
      </w:r>
    </w:p>
    <w:p w:rsidRPr="00EB3964" w:rsidR="00323F7B" w:rsidP="00323F7B">
      <w:pPr>
        <w:ind w:firstLine="709"/>
        <w:jc w:val="both"/>
        <w:rPr>
          <w:i/>
        </w:rPr>
      </w:pPr>
      <w:bookmarkStart w:name="_Hlk205641933" w:id="4"/>
      <w:r w:rsidRPr="00EB3964">
        <w:rPr>
          <w:i/>
        </w:rPr>
        <w:t>a. Motivul de casare prevăzut de art. 488 alin. (1) pct. 6 din Codul de procedură civilă („hotărârea nu cuprinde motivele pe care se întemeiază sau când cuprinde motive contradictorii ori numai motive străine de natura cauzei”)</w:t>
      </w:r>
    </w:p>
    <w:p w:rsidRPr="00EB3964" w:rsidR="00323F7B" w:rsidP="00323F7B">
      <w:pPr>
        <w:ind w:firstLine="708"/>
        <w:jc w:val="both"/>
        <w:rPr>
          <w:iCs/>
        </w:rPr>
      </w:pPr>
      <w:r w:rsidRPr="00EB3964">
        <w:rPr>
          <w:iCs/>
        </w:rPr>
        <w:t xml:space="preserve">O primă critică subsumată acestui motiv de casare vizează faptul că </w:t>
      </w:r>
      <w:bookmarkEnd w:id="4"/>
      <w:r w:rsidRPr="00EB3964">
        <w:rPr>
          <w:iCs/>
        </w:rPr>
        <w:t>instanţa de fond ar fi nesocotit dispoziţiile art. 425 alin. (1) lit. b) din Codul de procedură civilă, prin aceea că nu a analizat apărările reclamantei, ci a preluat integral şi fără motivare susţinerile de la pagina 4 a întâmpinării pârâtului, utilizând inclusiv sintagme neprevăzute de lege, precum „prelungire automată".</w:t>
      </w:r>
    </w:p>
    <w:p w:rsidRPr="00EB3964" w:rsidR="00323F7B" w:rsidP="00323F7B">
      <w:pPr>
        <w:ind w:firstLine="708"/>
        <w:jc w:val="both"/>
        <w:rPr>
          <w:iCs/>
        </w:rPr>
      </w:pPr>
      <w:r w:rsidRPr="00EB3964">
        <w:rPr>
          <w:iCs/>
        </w:rPr>
        <w:t>Verificând sentinţa atacată, Curtea constată că motivarea instanţei de fond nu s-a rezumat la preluarea unor aspecte din cuprinsul întâmpinării depuse de pârât, cum în mod eronat apreciază recurenta-reclamantă, ci a constat în prezentarea unui amplu raţionament logico-juridic propriu, prin intermediul căruia a analizat limitele controlului de legalitate pe care îl poate exercita asupra actului administrativ dedus judecăţii, efectuând şi prezentând în continuare rezultatul acestui control.</w:t>
      </w:r>
    </w:p>
    <w:p w:rsidRPr="00EB3964" w:rsidR="00323F7B" w:rsidP="00323F7B">
      <w:pPr>
        <w:ind w:firstLine="708"/>
        <w:jc w:val="both"/>
        <w:rPr>
          <w:iCs/>
        </w:rPr>
      </w:pPr>
      <w:r w:rsidRPr="00EB3964">
        <w:rPr>
          <w:iCs/>
        </w:rPr>
        <w:t>Ceea ce instanţa de fond a preluat din cuprinsul întâmpinării reprezintă doar faptele imputate reclamantei în cadrul şedinţei Consiliului de administraţie, în calitatea acesteia de şef al Secţiei de Obstretică-Ginecologie I, această operaţiune încadrându-se însă în limitele necesare expunerii situaţiei de fapt deduse din</w:t>
      </w:r>
      <w:r w:rsidRPr="00EB3964">
        <w:rPr>
          <w:iCs/>
        </w:rPr>
        <w:t xml:space="preserve"> actele supuse controlului de legalitate.</w:t>
      </w:r>
    </w:p>
    <w:p w:rsidRPr="00EB3964" w:rsidR="00323F7B" w:rsidP="00323F7B">
      <w:pPr>
        <w:ind w:firstLine="708"/>
        <w:jc w:val="both"/>
        <w:rPr>
          <w:iCs/>
        </w:rPr>
      </w:pPr>
      <w:r w:rsidRPr="00EB3964">
        <w:rPr>
          <w:iCs/>
        </w:rPr>
        <w:t>Ca atare, critica recurentei este nefondată.</w:t>
      </w:r>
    </w:p>
    <w:p w:rsidRPr="00EB3964" w:rsidR="00323F7B" w:rsidP="00323F7B">
      <w:pPr>
        <w:ind w:firstLine="708"/>
        <w:jc w:val="both"/>
        <w:rPr>
          <w:iCs/>
        </w:rPr>
      </w:pPr>
      <w:r w:rsidRPr="00EB3964">
        <w:rPr>
          <w:iCs/>
        </w:rPr>
        <w:t xml:space="preserve">O a doua critică subsumată aceluiaşi caz de casare vizează faptul că hotărârea atacată ar cuprinde </w:t>
      </w:r>
      <w:r w:rsidRPr="00EB3964">
        <w:rPr>
          <w:iCs/>
        </w:rPr>
        <w:t>argumente contradictorii, în sensul că deşi afirmă că nu va analiza aspectele punctuale imputate reclamantei, totuşi tribunalul reţine incidenţa acestora în paragraful următor.</w:t>
      </w:r>
    </w:p>
    <w:p w:rsidRPr="00EB3964" w:rsidR="00323F7B" w:rsidP="00323F7B">
      <w:pPr>
        <w:ind w:firstLine="708"/>
        <w:jc w:val="both"/>
        <w:rPr>
          <w:iCs/>
        </w:rPr>
      </w:pPr>
      <w:r w:rsidRPr="00EB3964">
        <w:rPr>
          <w:iCs/>
        </w:rPr>
        <w:t>Şi această critică este nefondată.</w:t>
      </w:r>
    </w:p>
    <w:p w:rsidRPr="00EB3964" w:rsidR="00323F7B" w:rsidP="00323F7B">
      <w:pPr>
        <w:ind w:firstLine="708"/>
        <w:jc w:val="both"/>
        <w:rPr>
          <w:iCs/>
        </w:rPr>
      </w:pPr>
      <w:r w:rsidRPr="00EB3964">
        <w:rPr>
          <w:iCs/>
        </w:rPr>
        <w:t>În acest sens, Curtea constată că, ulterior enumerării abaterilor imputate recurentei-reclamante şi a precizării faptului că nu le va analiza punctual, instanţa de fond reţine că punerea în discuţie a acestor aspecte în cadrul Consiliului de administraţie dovedeşte că membrii acestuia nu au acţionat arbitrar, ci şi-au bazat decizia de a emite aviz negativ pe anumite fapte concrete, indiferent dacă acestea erau reale sau nu.</w:t>
      </w:r>
    </w:p>
    <w:p w:rsidRPr="00EB3964" w:rsidR="00323F7B" w:rsidP="00323F7B">
      <w:pPr>
        <w:ind w:firstLine="708"/>
        <w:jc w:val="both"/>
        <w:rPr>
          <w:iCs/>
        </w:rPr>
      </w:pPr>
      <w:r w:rsidRPr="00EB3964">
        <w:rPr>
          <w:iCs/>
        </w:rPr>
        <w:t xml:space="preserve"> Constată Curtea că raţionamentul instanţei de fond este coerent, între premisă şi consecinţă existând o legătură logică, chiar dacă recurenta şi instanţa de fond au viziuni diferite asupra gradului necesar de complexitate a acestei legături.</w:t>
      </w:r>
    </w:p>
    <w:p w:rsidRPr="00EB3964" w:rsidR="00323F7B" w:rsidP="00323F7B">
      <w:pPr>
        <w:ind w:firstLine="709"/>
        <w:jc w:val="both"/>
        <w:rPr>
          <w:iCs/>
        </w:rPr>
      </w:pPr>
      <w:r w:rsidRPr="00EB3964">
        <w:rPr>
          <w:iCs/>
        </w:rPr>
        <w:t>O ultimă critică formulată de recurentă se referă la faptul că instanţa de fond a reţinut doar două din cele patru nemulţumiri prezentate membrilor Consiliului de administraţie, adăugând la acestea faptele imputate de pârât prin întâmpinare.</w:t>
      </w:r>
    </w:p>
    <w:p w:rsidRPr="00EB3964" w:rsidR="00323F7B" w:rsidP="00323F7B">
      <w:pPr>
        <w:ind w:firstLine="720"/>
        <w:jc w:val="both"/>
        <w:rPr>
          <w:rFonts w:eastAsia="Calibri"/>
          <w:bCs/>
          <w:color w:val="000000"/>
        </w:rPr>
      </w:pPr>
      <w:r w:rsidRPr="00EB3964">
        <w:rPr>
          <w:rFonts w:eastAsia="Calibri"/>
          <w:bCs/>
          <w:color w:val="000000"/>
        </w:rPr>
        <w:t>Critica recurentei este fondată.</w:t>
      </w:r>
    </w:p>
    <w:p w:rsidRPr="00EB3964" w:rsidR="00323F7B" w:rsidP="00323F7B">
      <w:pPr>
        <w:ind w:firstLine="720"/>
        <w:jc w:val="both"/>
        <w:rPr>
          <w:rFonts w:eastAsia="Calibri"/>
          <w:bCs/>
          <w:color w:val="000000"/>
        </w:rPr>
      </w:pPr>
      <w:r w:rsidRPr="00EB3964">
        <w:rPr>
          <w:rFonts w:eastAsia="Calibri"/>
          <w:bCs/>
          <w:color w:val="000000"/>
        </w:rPr>
        <w:t xml:space="preserve">În acest sens, Curtea reţine că, într-adevăr, deşi potrivit Procesului verbal al şedinţei Consiliului de administraţiei din data de 16 mai 2022 (vol. I, filele 107-116 dosar de fond) recurentei i s-au imputat patru fapte (schimbarea atitudinii după ocuparea postului de şef de secţie, neîndeplinirea sarcinilor de serviciu privind crearea circuitelor Covid şi non-Covid, existenţa unei plângeri penale pe numele său şi obţinerea calificativului „BINE”), prin sentinţa atacată tribunalul a avut în vedere inclusiv faptele suplimentare invocate de pârât prin întâmpinare (împiedicarea accesului în spital şi efectuarea gărzilor pentru medici care desfăşurau activitate medicală în perioada stării de urgenţă, tergiversarea introducerii circuitelor în spital pe motiv că nu este de acord cu circuitul nou-născutului, refuzul de a introduce în platforma informatică </w:t>
      </w:r>
      <w:r w:rsidR="00075157">
        <w:rPr>
          <w:rFonts w:eastAsia="Calibri"/>
          <w:bCs/>
          <w:color w:val="000000"/>
        </w:rPr>
        <w:t>............</w:t>
      </w:r>
      <w:r w:rsidRPr="00EB3964">
        <w:rPr>
          <w:rFonts w:eastAsia="Calibri"/>
          <w:bCs/>
          <w:color w:val="000000"/>
        </w:rPr>
        <w:t xml:space="preserve"> infecţiile asociate activităţii medicale, introducerea în gărzi a unui angajat al secţiei Obstretica-ginecologie II), depăşind astfel limitele actului administrativ dedus judecăţii, astfel cum rezultau din conţinutul acestuia.</w:t>
      </w:r>
    </w:p>
    <w:p w:rsidRPr="00EB3964" w:rsidR="00323F7B" w:rsidP="00323F7B">
      <w:pPr>
        <w:ind w:firstLine="720"/>
        <w:jc w:val="both"/>
        <w:rPr>
          <w:rFonts w:eastAsia="Calibri"/>
          <w:bCs/>
          <w:color w:val="000000"/>
        </w:rPr>
      </w:pPr>
      <w:r w:rsidRPr="00EB3964">
        <w:rPr>
          <w:rFonts w:eastAsia="Calibri"/>
          <w:bCs/>
          <w:color w:val="000000"/>
        </w:rPr>
        <w:t>Procedând astfel, instanţa de fond şi-a întemeiat soluţia pe considerente străine cauzei, aspect ce atrage incidenţa cazului de casare prevăzut de art. 488 alin. (1) pct. 6 din Codul de procedură civilă.</w:t>
      </w:r>
    </w:p>
    <w:p w:rsidRPr="00EB3964" w:rsidR="00323F7B" w:rsidP="00323F7B">
      <w:pPr>
        <w:ind w:firstLine="720"/>
        <w:jc w:val="both"/>
        <w:rPr>
          <w:rFonts w:eastAsia="Calibri"/>
          <w:bCs/>
          <w:i/>
          <w:iCs/>
          <w:color w:val="000000"/>
        </w:rPr>
      </w:pPr>
      <w:r w:rsidRPr="00EB3964">
        <w:rPr>
          <w:rFonts w:eastAsia="Calibri"/>
          <w:bCs/>
          <w:i/>
          <w:iCs/>
          <w:color w:val="000000"/>
        </w:rPr>
        <w:t>b. Motivul de casare prevăzut de art. 488 alin. (1) pct. 8 din Codul de procedură civilă („hotărârea a fost dată cu încălcarea sau aplicarea greşită a normelor de drept material”)</w:t>
      </w:r>
    </w:p>
    <w:p w:rsidRPr="00EB3964" w:rsidR="00323F7B" w:rsidP="00323F7B">
      <w:pPr>
        <w:ind w:firstLine="720"/>
        <w:jc w:val="both"/>
        <w:rPr>
          <w:rFonts w:eastAsia="Calibri"/>
          <w:bCs/>
          <w:color w:val="000000"/>
        </w:rPr>
      </w:pPr>
      <w:r w:rsidRPr="00EB3964">
        <w:rPr>
          <w:rFonts w:eastAsia="Calibri"/>
          <w:bCs/>
          <w:color w:val="000000"/>
        </w:rPr>
        <w:t>Principala critică subsumată de recurentă acestui motiv de casare vizează faptul că aceasta nu a susţinut, cum în mod eronat a reţinut instanţa de fond, existenţa obligaţiei managerului de a-i prelungi contractul, ci invocat încălcarea dreptului său de a fi desemnată în această funcţie, ca urmare a unei prezentări rău-voitoare a activităţii sale de către managerul instituţiei. În continuare, arată că pentru a demonstra că informarea membrilor Consiliului de administrare s-a făcut incorect, a solicitat, iar instanţa de fond trebuia să efectueze, analiza pe fond a aspectelor care i-au fost imputate.</w:t>
      </w:r>
    </w:p>
    <w:p w:rsidRPr="00EB3964" w:rsidR="00323F7B" w:rsidP="00323F7B">
      <w:pPr>
        <w:ind w:firstLine="720"/>
        <w:jc w:val="both"/>
        <w:rPr>
          <w:rFonts w:eastAsia="Calibri"/>
          <w:bCs/>
          <w:color w:val="000000"/>
        </w:rPr>
      </w:pPr>
      <w:r w:rsidRPr="00EB3964">
        <w:rPr>
          <w:rFonts w:eastAsia="Calibri"/>
          <w:bCs/>
          <w:color w:val="000000"/>
        </w:rPr>
        <w:t xml:space="preserve">Din ansamblul cererii de recurs, rezultă că recurenta se referă, în mod direct, la greşita interpretare a art. 185 alin. (5) din Legea nr. 95/2006 şi, în mod indirect, la modul de interpretare a noţiunii de </w:t>
      </w:r>
      <w:r w:rsidRPr="00EB3964">
        <w:rPr>
          <w:rFonts w:eastAsia="Calibri"/>
          <w:bCs/>
          <w:i/>
          <w:iCs/>
          <w:color w:val="000000"/>
        </w:rPr>
        <w:t>exces de putere</w:t>
      </w:r>
      <w:r w:rsidRPr="00EB3964">
        <w:rPr>
          <w:rFonts w:eastAsia="Calibri"/>
          <w:bCs/>
          <w:color w:val="000000"/>
        </w:rPr>
        <w:t xml:space="preserve"> prevăzută de art. 2 alin. (1) lit. n) din Legea nr. 554/2004.</w:t>
      </w:r>
    </w:p>
    <w:p w:rsidRPr="00EB3964" w:rsidR="00323F7B" w:rsidP="00323F7B">
      <w:pPr>
        <w:ind w:firstLine="720"/>
        <w:jc w:val="both"/>
        <w:rPr>
          <w:rFonts w:eastAsia="Calibri"/>
          <w:bCs/>
          <w:color w:val="000000"/>
        </w:rPr>
      </w:pPr>
      <w:r w:rsidRPr="00EB3964">
        <w:rPr>
          <w:rFonts w:eastAsia="Calibri"/>
          <w:bCs/>
          <w:color w:val="000000"/>
        </w:rPr>
        <w:t>Critica recurentei este fondată.</w:t>
      </w:r>
    </w:p>
    <w:p w:rsidRPr="00EB3964" w:rsidR="00323F7B" w:rsidP="00323F7B">
      <w:pPr>
        <w:ind w:firstLine="720"/>
        <w:jc w:val="both"/>
        <w:rPr>
          <w:rFonts w:eastAsia="Calibri"/>
          <w:bCs/>
          <w:color w:val="000000"/>
        </w:rPr>
      </w:pPr>
      <w:r w:rsidRPr="00EB3964">
        <w:rPr>
          <w:rFonts w:eastAsia="Calibri"/>
          <w:bCs/>
          <w:color w:val="000000"/>
        </w:rPr>
        <w:t>În acest sens, Curtea reţine că, potrivit art. 185 alin. (5) din Legea nr. 95/2006, primele două teze, „La numirea în funcţie, şefii de secţie, de laborator şi de serviciu medical vor încheia cu spitalul public, reprezentat de managerul acestuia, un contract de administrare cu o durată de 4 ani, în cuprinsul căruia sunt prevăzuţi indicatorii de performanţă asumaţi. Contractul de administrare poate fi prelungit la expirarea acestuia pe o perioadă de 3 luni, de maximum două ori, perioadă în care se organizează concursul de ocupare a funcţiei.”</w:t>
      </w:r>
    </w:p>
    <w:p w:rsidRPr="00EB3964" w:rsidR="00323F7B" w:rsidP="00323F7B">
      <w:pPr>
        <w:ind w:firstLine="720"/>
        <w:jc w:val="both"/>
        <w:rPr>
          <w:rFonts w:eastAsia="Calibri"/>
          <w:bCs/>
          <w:color w:val="000000"/>
        </w:rPr>
      </w:pPr>
      <w:r w:rsidRPr="00EB3964">
        <w:rPr>
          <w:rFonts w:eastAsia="Calibri"/>
          <w:bCs/>
          <w:color w:val="000000"/>
        </w:rPr>
        <w:t>Interpretând sintagma ”poate fi prelungit”, instanţa de fond a apreciat că aceasta consacră un drept exclusiv în favoarea autorităţii publice, respectiv acela de a decide asupra oportunităţii prelungirii contractului de administrare, nu şi în favoarea celeilalte părţi din contract, respectiv angajatul care a ocupat funcţia de şef de secţie.</w:t>
      </w:r>
    </w:p>
    <w:p w:rsidRPr="00EB3964" w:rsidR="00323F7B" w:rsidP="00323F7B">
      <w:pPr>
        <w:ind w:firstLine="720"/>
        <w:jc w:val="both"/>
        <w:rPr>
          <w:rFonts w:eastAsia="Calibri"/>
          <w:bCs/>
          <w:color w:val="000000"/>
        </w:rPr>
      </w:pPr>
      <w:r w:rsidRPr="00EB3964">
        <w:rPr>
          <w:rFonts w:eastAsia="Calibri"/>
          <w:bCs/>
          <w:color w:val="000000"/>
        </w:rPr>
        <w:t>Constatarea instanţei de fond este eronată.</w:t>
      </w:r>
    </w:p>
    <w:p w:rsidRPr="00EB3964" w:rsidR="00323F7B" w:rsidP="00323F7B">
      <w:pPr>
        <w:ind w:firstLine="720"/>
        <w:jc w:val="both"/>
        <w:rPr>
          <w:rFonts w:eastAsia="Calibri"/>
          <w:bCs/>
          <w:color w:val="000000"/>
        </w:rPr>
      </w:pPr>
      <w:r w:rsidRPr="00EB3964">
        <w:rPr>
          <w:rFonts w:eastAsia="Calibri"/>
          <w:bCs/>
          <w:color w:val="000000"/>
        </w:rPr>
        <w:t>În acest sens, Curtea reţine că atât încheierea, cât şi prelungirea contractului de administrare, reprezintă rezultatul voinţelor concordante ale celor două părţi, contractul fiind un act juridic bilateral şi nu unilateral, după cum rezultă atât din dispoziţiile speciale citate mai sus, potrivit cărora „şefii de secţie (...) vor încheia cu spitalul public (...) un contract de administrare ”, cât şi din prevederile generale ale art. 1116 din Codul civil, potrivit cărora „Contractul este acordul de voinţe dintre două sau mai multe persoane cu intenţia de a constitui, modifica sau stinge un raport juridic.”</w:t>
      </w:r>
    </w:p>
    <w:p w:rsidRPr="00EB3964" w:rsidR="00323F7B" w:rsidP="00323F7B">
      <w:pPr>
        <w:ind w:firstLine="720"/>
        <w:jc w:val="both"/>
        <w:rPr>
          <w:rFonts w:eastAsia="Calibri"/>
          <w:bCs/>
          <w:color w:val="000000"/>
        </w:rPr>
      </w:pPr>
      <w:r w:rsidRPr="00EB3964">
        <w:rPr>
          <w:rFonts w:eastAsia="Calibri"/>
          <w:bCs/>
          <w:color w:val="000000"/>
        </w:rPr>
        <w:t>Din această perspectivă, prelungirea contractului reprezintă o posibilitate pentru ambele părţi, nu doar pentru una din ele, materializarea acesteia fiind însă dependentă de acordul cocontractantului.</w:t>
      </w:r>
    </w:p>
    <w:p w:rsidRPr="00EB3964" w:rsidR="00323F7B" w:rsidP="00323F7B">
      <w:pPr>
        <w:ind w:firstLine="720"/>
        <w:jc w:val="both"/>
        <w:rPr>
          <w:rFonts w:eastAsia="Calibri"/>
          <w:bCs/>
          <w:color w:val="000000"/>
        </w:rPr>
      </w:pPr>
      <w:r w:rsidRPr="00EB3964">
        <w:rPr>
          <w:rFonts w:eastAsia="Calibri"/>
          <w:bCs/>
          <w:color w:val="000000"/>
        </w:rPr>
        <w:t>Problema care se ridică în speţă este aceea de a stabili dacă dreptul de opţiune al părţilor, respectiv de a accepta sau nu propunerea celeilalte părţi de prelungire a contractului, este unul absolut, lăsat la latitudinea exclusivă a acestora şi deci nesusceptibil de control judecătoresc sau dacă, dimpotrivă, el este unul supus unor anumite limitări.</w:t>
      </w:r>
    </w:p>
    <w:p w:rsidRPr="00EB3964" w:rsidR="00323F7B" w:rsidP="00323F7B">
      <w:pPr>
        <w:ind w:firstLine="720"/>
        <w:jc w:val="both"/>
        <w:rPr>
          <w:rFonts w:eastAsia="Calibri"/>
          <w:bCs/>
          <w:color w:val="000000"/>
        </w:rPr>
      </w:pPr>
      <w:r w:rsidRPr="00EB3964">
        <w:rPr>
          <w:rFonts w:eastAsia="Calibri"/>
          <w:bCs/>
          <w:color w:val="000000"/>
        </w:rPr>
        <w:t xml:space="preserve">Potrivit considerentelor instanţei de fond, nerecurate de părţi, dreptul de opţiune al autorităţii publice nu este unul absolut, aceasta benefiind de o marjă largă de apreciere, limitată însă de obligaţia de a nu fi exercitată cu </w:t>
      </w:r>
      <w:r w:rsidRPr="00EB3964">
        <w:rPr>
          <w:rFonts w:eastAsia="Calibri"/>
          <w:bCs/>
          <w:i/>
          <w:iCs/>
          <w:color w:val="000000"/>
        </w:rPr>
        <w:t>exces de putere</w:t>
      </w:r>
      <w:r w:rsidRPr="00EB3964">
        <w:rPr>
          <w:rFonts w:eastAsia="Calibri"/>
          <w:bCs/>
          <w:color w:val="000000"/>
        </w:rPr>
        <w:t>,  în sensul definiţiei date acestei noţiuni de art. 2 alin. (1) lit. n) din Legea nr. 554/2004, potrivit căruia excesul de putere reprezintă „exercitarea dreptului de apreciere al autorităţilor publice prin încălcarea limitelor competenţei prevăzute de lege sau prin încălcarea drepturilor şi libertăţilor cetăţenilor”.</w:t>
      </w:r>
    </w:p>
    <w:p w:rsidRPr="00EB3964" w:rsidR="00323F7B" w:rsidP="00323F7B">
      <w:pPr>
        <w:ind w:firstLine="720"/>
        <w:jc w:val="both"/>
        <w:rPr>
          <w:rFonts w:eastAsia="Calibri"/>
          <w:bCs/>
          <w:color w:val="000000"/>
        </w:rPr>
      </w:pPr>
      <w:r w:rsidRPr="00EB3964">
        <w:rPr>
          <w:rFonts w:eastAsia="Calibri"/>
          <w:bCs/>
          <w:color w:val="000000"/>
        </w:rPr>
        <w:t xml:space="preserve">Analizând modul în care intimatul-pârât şi-a exercitat dreptul de apreciere, instanţa de fond a concluzionat că nu s-a intrat în sfera noţiunii de </w:t>
      </w:r>
      <w:r w:rsidRPr="00EB3964">
        <w:rPr>
          <w:rFonts w:eastAsia="Calibri"/>
          <w:bCs/>
          <w:i/>
          <w:iCs/>
          <w:color w:val="000000"/>
        </w:rPr>
        <w:t>exces de putere</w:t>
      </w:r>
      <w:r w:rsidRPr="00EB3964">
        <w:rPr>
          <w:rFonts w:eastAsia="Calibri"/>
          <w:bCs/>
          <w:color w:val="000000"/>
        </w:rPr>
        <w:t>, deoarece decizia de aviza negativ prelungirea contractului s-a bazat pe punerea în discuţia membrilor Consiliului de administraţie a anumitor aspecte ale activităţii şi comportamentului recurentei-reclamante.</w:t>
      </w:r>
    </w:p>
    <w:p w:rsidRPr="00EB3964" w:rsidR="00323F7B" w:rsidP="00323F7B">
      <w:pPr>
        <w:ind w:firstLine="720"/>
        <w:jc w:val="both"/>
        <w:rPr>
          <w:rFonts w:eastAsia="Calibri"/>
          <w:bCs/>
          <w:color w:val="000000"/>
        </w:rPr>
      </w:pPr>
      <w:r w:rsidRPr="00EB3964">
        <w:rPr>
          <w:rFonts w:eastAsia="Calibri"/>
          <w:bCs/>
          <w:color w:val="000000"/>
        </w:rPr>
        <w:t>Curtea constată, spre deosebire de instanţa de fond, că pentru verificarea respectării limitelor de exercitare de către o autoritate publică a dreptului de apreciere nu este suficientă reţinerea existenţei unui proces de vot asupra aspectelor de fapt şi de drept relevante pentru luarea deciziei, ci este necesar să se verifice dacă un astfel de proces s-a bazat pe o analiză efectivă a aspectelor sesizate şi dacă există indicii suficiente încât să se concluzioneze că această analiză s-a realizat pe premise factuale şi legale corecte, având ca scop realizarea competenţelor şi prerogativelor respectivei autorităţi administrative.</w:t>
      </w:r>
    </w:p>
    <w:p w:rsidRPr="00EB3964" w:rsidR="00323F7B" w:rsidP="00323F7B">
      <w:pPr>
        <w:ind w:firstLine="720"/>
        <w:jc w:val="both"/>
        <w:rPr>
          <w:rFonts w:eastAsia="Calibri"/>
          <w:bCs/>
          <w:color w:val="000000"/>
        </w:rPr>
      </w:pPr>
      <w:r w:rsidRPr="00EB3964">
        <w:rPr>
          <w:rFonts w:eastAsia="Calibri"/>
          <w:bCs/>
          <w:color w:val="000000"/>
        </w:rPr>
        <w:t>În acest sens, simpla împrejurare că anumite aspecte profesionale şi personale negative imputate recurentei-reclamante au fost puse în discuţie nu este suficientă prin ea însăşi să ducă la concluzia efectivităţii procesului de analiză, instanţa fiind datoare să verifice existenţa unui suport factual şi legal suficient încât să determine o astfel de concluzie.</w:t>
      </w:r>
    </w:p>
    <w:p w:rsidRPr="00EB3964" w:rsidR="00323F7B" w:rsidP="00323F7B">
      <w:pPr>
        <w:ind w:firstLine="720"/>
        <w:jc w:val="both"/>
        <w:rPr>
          <w:rFonts w:eastAsia="Calibri"/>
          <w:bCs/>
          <w:color w:val="000000"/>
        </w:rPr>
      </w:pPr>
      <w:r w:rsidRPr="00EB3964">
        <w:rPr>
          <w:rFonts w:eastAsia="Calibri"/>
          <w:bCs/>
          <w:color w:val="000000"/>
        </w:rPr>
        <w:t>Or, o astfel de analiză nu a fost efectuată de instanţa de fond, aceasta precizând expres că nu va cerceta punctual fiecare faptă imputată recurentei-reclamante.</w:t>
      </w:r>
    </w:p>
    <w:p w:rsidRPr="00EB3964" w:rsidR="00323F7B" w:rsidP="00323F7B">
      <w:pPr>
        <w:ind w:firstLine="720"/>
        <w:jc w:val="both"/>
        <w:rPr>
          <w:rFonts w:eastAsia="Calibri"/>
          <w:bCs/>
          <w:color w:val="000000"/>
        </w:rPr>
      </w:pPr>
      <w:r w:rsidRPr="00EB3964">
        <w:rPr>
          <w:rFonts w:eastAsia="Calibri"/>
          <w:bCs/>
          <w:color w:val="000000"/>
        </w:rPr>
        <w:t>Această modalitate de soluţionare a cauzei echivalează cu o necercetare a fondului, recurenta-reclamantă fiind privată de posibilitatea de a proba principalul motiv de nelegalitate invocat prin cererea de chemare în judecată, constând în formularea cu rea-credinţă a unor acuzaţii la adresa sa de către managerul instituţiei care a provocat astfel inducerea în eroare a membrilor Consiliului de administraţie.</w:t>
      </w:r>
    </w:p>
    <w:p w:rsidRPr="00EB3964" w:rsidR="00323F7B" w:rsidP="00323F7B">
      <w:pPr>
        <w:ind w:firstLine="720"/>
        <w:jc w:val="both"/>
        <w:rPr>
          <w:rFonts w:eastAsia="Calibri"/>
          <w:bCs/>
          <w:color w:val="000000"/>
        </w:rPr>
      </w:pPr>
      <w:r w:rsidRPr="00EB3964">
        <w:rPr>
          <w:rFonts w:eastAsia="Calibri"/>
          <w:bCs/>
          <w:color w:val="000000"/>
        </w:rPr>
        <w:t xml:space="preserve"> În raport de cele de mai sus, Curtea constată incidenţa cazului de casare prevăzut art. 488 alin. (1) pct. 8 din Codul de procedură civilă, aspect care determină casarea sentinţei atacate în ceea ce priveşte soluţia pronunţată asupra capătului de cerere privind anularea Hotărârii Consiliului de Administrație al Spitalului Clinic </w:t>
      </w:r>
      <w:r w:rsidR="00D0558F">
        <w:rPr>
          <w:rFonts w:eastAsia="Calibri"/>
          <w:bCs/>
          <w:color w:val="000000"/>
        </w:rPr>
        <w:t>..W..</w:t>
      </w:r>
      <w:r w:rsidRPr="00EB3964">
        <w:rPr>
          <w:rFonts w:eastAsia="Calibri"/>
          <w:bCs/>
          <w:color w:val="000000"/>
        </w:rPr>
        <w:t xml:space="preserve"> din data de 16.05.2022.</w:t>
      </w:r>
    </w:p>
    <w:p w:rsidRPr="00EB3964" w:rsidR="00323F7B" w:rsidP="00323F7B">
      <w:pPr>
        <w:ind w:firstLine="720"/>
        <w:jc w:val="both"/>
        <w:rPr>
          <w:rFonts w:eastAsia="Calibri"/>
          <w:bCs/>
          <w:color w:val="000000"/>
        </w:rPr>
      </w:pPr>
      <w:r w:rsidRPr="00EB3964">
        <w:rPr>
          <w:rFonts w:eastAsia="Calibri"/>
          <w:bCs/>
          <w:color w:val="000000"/>
        </w:rPr>
        <w:t>În continuare, dată fiind necercetarea fondului cauzei, precum şi necesitatea respectării dreptului părţilor de acces la două grade de jurisdicţie, recunoscut de art. 20 alin. (1) din Legea nr. 554/2004, Curtea constată că soluţia care se impune este de trimitere a cauzei spre rejudecare aceleiaşi instanţei de fond.</w:t>
      </w:r>
    </w:p>
    <w:p w:rsidRPr="00EB3964" w:rsidR="00323F7B" w:rsidP="00323F7B">
      <w:pPr>
        <w:ind w:firstLine="720"/>
        <w:jc w:val="both"/>
        <w:rPr>
          <w:rFonts w:eastAsia="Calibri"/>
          <w:bCs/>
          <w:color w:val="000000"/>
        </w:rPr>
      </w:pPr>
      <w:r w:rsidRPr="00EB3964">
        <w:rPr>
          <w:rFonts w:eastAsia="Calibri"/>
          <w:bCs/>
          <w:color w:val="000000"/>
        </w:rPr>
        <w:t>În acest context, devine inutilă cercetarea celorlalte critici de nelegalitate formulate de recurentă, inclusiv a celei subsumate cazului de casare prevăzut de art. 488 alin. (1) pct. 7 din Codul de procedură civilă, cu atât mai mult cu cât în privinţa acestui din urmă caz criticile se refereau la temeinicia uneia din abaterile imputate recurentei, care nu a fost însă analizată de prima instanţă.</w:t>
      </w:r>
    </w:p>
    <w:p w:rsidRPr="00EB3964" w:rsidR="00323F7B" w:rsidP="00323F7B">
      <w:pPr>
        <w:ind w:firstLine="720"/>
        <w:jc w:val="both"/>
        <w:rPr>
          <w:rFonts w:eastAsia="Calibri"/>
          <w:bCs/>
          <w:i/>
        </w:rPr>
      </w:pPr>
      <w:r w:rsidRPr="00EB3964">
        <w:rPr>
          <w:rFonts w:eastAsia="Calibri"/>
          <w:bCs/>
          <w:i/>
        </w:rPr>
        <w:t>II.2.Temeiul legal al soluției</w:t>
      </w:r>
    </w:p>
    <w:p w:rsidRPr="00EB3964" w:rsidR="00323F7B" w:rsidP="00323F7B">
      <w:pPr>
        <w:ind w:firstLine="708"/>
        <w:jc w:val="both"/>
      </w:pPr>
      <w:r w:rsidRPr="00EB3964">
        <w:rPr>
          <w:rFonts w:eastAsia="Calibri"/>
          <w:bCs/>
        </w:rPr>
        <w:t xml:space="preserve">Față de cele de mai sus, în baza art. 496 alin. (1) şi (2), raportat la art. 498 alin. (1) din Codul de procedură civilă şi la art. 20 alin. (3) din Legea nr. 554/2004, Curtea va admite recursul declarat de recurenta-reclamantă </w:t>
      </w:r>
      <w:r w:rsidR="00D0558F">
        <w:rPr>
          <w:rStyle w:val="Strong"/>
        </w:rPr>
        <w:t>...Q...</w:t>
      </w:r>
      <w:r w:rsidRPr="00EB3964">
        <w:rPr>
          <w:rStyle w:val="Strong"/>
        </w:rPr>
        <w:t xml:space="preserve">, </w:t>
      </w:r>
      <w:r w:rsidRPr="00EB3964">
        <w:t xml:space="preserve">împotriva Sentinţei civile nr. </w:t>
      </w:r>
      <w:r w:rsidR="00D0558F">
        <w:t>......</w:t>
      </w:r>
      <w:r w:rsidRPr="00EB3964">
        <w:t xml:space="preserve"> din data de </w:t>
      </w:r>
      <w:r w:rsidR="00405C42">
        <w:t>.............</w:t>
      </w:r>
      <w:r w:rsidRPr="00EB3964">
        <w:t xml:space="preserve">, pronunţată de </w:t>
      </w:r>
      <w:r w:rsidRPr="00EB3964">
        <w:rPr>
          <w:lang w:eastAsia="zh-CN"/>
        </w:rPr>
        <w:t xml:space="preserve">Tribunalului </w:t>
      </w:r>
      <w:r w:rsidR="00D0558F">
        <w:rPr>
          <w:lang w:eastAsia="zh-CN"/>
        </w:rPr>
        <w:t>...X...</w:t>
      </w:r>
      <w:r w:rsidRPr="00EB3964">
        <w:rPr>
          <w:lang w:eastAsia="zh-CN"/>
        </w:rPr>
        <w:t xml:space="preserve"> - Secţia </w:t>
      </w:r>
      <w:r w:rsidR="00D0558F">
        <w:rPr>
          <w:lang w:eastAsia="zh-CN"/>
        </w:rPr>
        <w:t>....</w:t>
      </w:r>
      <w:r w:rsidRPr="00EB3964">
        <w:rPr>
          <w:lang w:eastAsia="zh-CN"/>
        </w:rPr>
        <w:t xml:space="preserve"> de Contencios administrativ şi fiscal</w:t>
      </w:r>
      <w:r w:rsidRPr="00EB3964">
        <w:t>, în dosarul nr.</w:t>
      </w:r>
      <w:r w:rsidR="00D0558F">
        <w:rPr>
          <w:bCs/>
        </w:rPr>
        <w:t>....../../2022</w:t>
      </w:r>
      <w:r w:rsidRPr="00EB3964">
        <w:rPr>
          <w:bCs/>
        </w:rPr>
        <w:t xml:space="preserve">,  va </w:t>
      </w:r>
      <w:r w:rsidRPr="00EB3964">
        <w:t xml:space="preserve">casa sentinţa atacată şi va dispune trimiterea cauzei spre rejudecare aceleiaşi instanţe de fond. </w:t>
      </w:r>
    </w:p>
    <w:p w:rsidRPr="00EB3964" w:rsidR="00323F7B" w:rsidP="00323F7B">
      <w:pPr>
        <w:ind w:firstLine="708"/>
        <w:jc w:val="both"/>
        <w:rPr>
          <w:b/>
          <w:color w:val="FF0000"/>
        </w:rPr>
      </w:pPr>
    </w:p>
    <w:p w:rsidRPr="00323F7B" w:rsidR="00323F7B" w:rsidP="00323F7B">
      <w:pPr>
        <w:jc w:val="center"/>
        <w:rPr>
          <w:b/>
          <w:color w:val="000000"/>
        </w:rPr>
      </w:pPr>
      <w:r w:rsidRPr="00323F7B">
        <w:rPr>
          <w:b/>
          <w:color w:val="000000"/>
        </w:rPr>
        <w:t>PENTRU ACESTE MOTIVE</w:t>
      </w:r>
    </w:p>
    <w:p w:rsidRPr="00323F7B" w:rsidR="00323F7B" w:rsidP="00323F7B">
      <w:pPr>
        <w:jc w:val="center"/>
        <w:rPr>
          <w:b/>
          <w:color w:val="000000"/>
        </w:rPr>
      </w:pPr>
      <w:r w:rsidRPr="00323F7B">
        <w:rPr>
          <w:b/>
          <w:color w:val="000000"/>
        </w:rPr>
        <w:t>ÎN NUMELE LEGII</w:t>
      </w:r>
    </w:p>
    <w:p w:rsidRPr="00323F7B" w:rsidR="00323F7B" w:rsidP="00323F7B">
      <w:pPr>
        <w:jc w:val="center"/>
        <w:rPr>
          <w:b/>
          <w:color w:val="000000"/>
        </w:rPr>
      </w:pPr>
      <w:r w:rsidRPr="00323F7B">
        <w:rPr>
          <w:b/>
          <w:color w:val="000000"/>
        </w:rPr>
        <w:t>DECIDE:</w:t>
      </w:r>
    </w:p>
    <w:p w:rsidRPr="00323F7B" w:rsidR="00323F7B" w:rsidP="00323F7B">
      <w:pPr>
        <w:jc w:val="center"/>
        <w:rPr>
          <w:b/>
          <w:color w:val="000000"/>
        </w:rPr>
      </w:pPr>
    </w:p>
    <w:p w:rsidRPr="00EB3964" w:rsidR="00323F7B" w:rsidP="00323F7B">
      <w:pPr>
        <w:ind w:firstLine="708"/>
        <w:jc w:val="both"/>
      </w:pPr>
      <w:r w:rsidRPr="00EB3964">
        <w:t xml:space="preserve">Admite recursul declarat  de recurenta-reclamantă </w:t>
      </w:r>
      <w:r w:rsidR="00D0558F">
        <w:rPr>
          <w:rStyle w:val="Strong"/>
        </w:rPr>
        <w:t>...Q...</w:t>
      </w:r>
      <w:r w:rsidRPr="00EB3964">
        <w:rPr>
          <w:rStyle w:val="Strong"/>
        </w:rPr>
        <w:t xml:space="preserve">, </w:t>
      </w:r>
      <w:r w:rsidRPr="00EB3964">
        <w:t xml:space="preserve">cu domiciliul ales la Cab. Av. </w:t>
      </w:r>
      <w:r w:rsidR="00582B7B">
        <w:t>.................</w:t>
      </w:r>
      <w:r w:rsidRPr="00EB3964">
        <w:t xml:space="preserve"> din </w:t>
      </w:r>
      <w:r w:rsidR="00582B7B">
        <w:t>.......................................</w:t>
      </w:r>
      <w:r w:rsidRPr="00EB3964">
        <w:t xml:space="preserve"> </w:t>
      </w:r>
      <w:r w:rsidRPr="00EB3964">
        <w:rPr>
          <w:rStyle w:val="Strong"/>
        </w:rPr>
        <w:t xml:space="preserve"> </w:t>
      </w:r>
      <w:r w:rsidRPr="00EB3964">
        <w:t xml:space="preserve">împotriva Sentinţei civile nr. </w:t>
      </w:r>
      <w:r w:rsidR="00D0558F">
        <w:t>......</w:t>
      </w:r>
      <w:r w:rsidRPr="00EB3964">
        <w:t xml:space="preserve"> din data de </w:t>
      </w:r>
      <w:r w:rsidR="00D0558F">
        <w:t>.............</w:t>
      </w:r>
      <w:r w:rsidRPr="00EB3964">
        <w:t xml:space="preserve">, pronunţată de </w:t>
      </w:r>
      <w:r w:rsidRPr="00EB3964">
        <w:rPr>
          <w:lang w:eastAsia="zh-CN"/>
        </w:rPr>
        <w:t xml:space="preserve">Tribunalului </w:t>
      </w:r>
      <w:r w:rsidR="00D0558F">
        <w:rPr>
          <w:lang w:eastAsia="zh-CN"/>
        </w:rPr>
        <w:t>...X...</w:t>
      </w:r>
      <w:r w:rsidRPr="00EB3964">
        <w:rPr>
          <w:lang w:eastAsia="zh-CN"/>
        </w:rPr>
        <w:t xml:space="preserve"> - Secţia </w:t>
      </w:r>
      <w:r w:rsidR="00D0558F">
        <w:rPr>
          <w:lang w:eastAsia="zh-CN"/>
        </w:rPr>
        <w:t>....</w:t>
      </w:r>
      <w:r w:rsidRPr="00EB3964">
        <w:rPr>
          <w:lang w:eastAsia="zh-CN"/>
        </w:rPr>
        <w:t xml:space="preserve"> de Contencios administrativ şi fiscal</w:t>
      </w:r>
      <w:r w:rsidRPr="00EB3964">
        <w:t>, în dosarul nr.</w:t>
      </w:r>
      <w:r w:rsidR="00D0558F">
        <w:rPr>
          <w:b/>
        </w:rPr>
        <w:t>....../../2022</w:t>
      </w:r>
      <w:r w:rsidRPr="00EB3964">
        <w:rPr>
          <w:b/>
        </w:rPr>
        <w:t xml:space="preserve">, </w:t>
      </w:r>
      <w:r w:rsidRPr="00EB3964">
        <w:t xml:space="preserve">în contradictoriu cu intimatul-pârât </w:t>
      </w:r>
      <w:r w:rsidRPr="00EB3964">
        <w:rPr>
          <w:rStyle w:val="Strong"/>
        </w:rPr>
        <w:t xml:space="preserve">Spitalul Clinic </w:t>
      </w:r>
      <w:r w:rsidR="00D0558F">
        <w:rPr>
          <w:rStyle w:val="Strong"/>
        </w:rPr>
        <w:t>..W..</w:t>
      </w:r>
      <w:r w:rsidRPr="00EB3964">
        <w:rPr>
          <w:rStyle w:val="Strong"/>
        </w:rPr>
        <w:t xml:space="preserve">, </w:t>
      </w:r>
      <w:r w:rsidRPr="00EB3964">
        <w:t xml:space="preserve">cu sediul în </w:t>
      </w:r>
      <w:r w:rsidR="00582B7B">
        <w:t>..................................</w:t>
      </w:r>
      <w:r w:rsidRPr="00EB3964">
        <w:t xml:space="preserve">. </w:t>
      </w:r>
    </w:p>
    <w:p w:rsidRPr="00EB3964" w:rsidR="00323F7B" w:rsidP="00323F7B">
      <w:pPr>
        <w:ind w:firstLine="708"/>
        <w:jc w:val="both"/>
      </w:pPr>
      <w:r w:rsidRPr="00EB3964">
        <w:t xml:space="preserve">Casează sentinţa atacată şi dispune trimiterea cauzei spre rejudecare aceleiaşi instanţe de fond. </w:t>
      </w:r>
    </w:p>
    <w:p w:rsidRPr="00EB3964" w:rsidR="00323F7B" w:rsidP="00323F7B">
      <w:pPr>
        <w:ind w:firstLine="708"/>
        <w:jc w:val="both"/>
      </w:pPr>
      <w:r w:rsidRPr="00EB3964">
        <w:t xml:space="preserve">Definitivă. </w:t>
      </w:r>
    </w:p>
    <w:p w:rsidRPr="00EB3964" w:rsidR="00323F7B" w:rsidP="00323F7B">
      <w:pPr>
        <w:ind w:firstLine="708"/>
        <w:jc w:val="both"/>
      </w:pPr>
      <w:r w:rsidRPr="00EB3964">
        <w:t xml:space="preserve">Pronunţată prin punerea soluţiei la dispoziţia părţilor, prin intermediul grefei instanţei, azi, </w:t>
      </w:r>
      <w:r w:rsidR="000275CF">
        <w:t>.................</w:t>
      </w:r>
      <w:r w:rsidRPr="00EB3964">
        <w:t>.</w:t>
      </w:r>
    </w:p>
    <w:p w:rsidRPr="00323F7B" w:rsidR="00323F7B" w:rsidP="00323F7B">
      <w:pPr>
        <w:ind w:firstLine="708"/>
        <w:jc w:val="both"/>
        <w:rPr>
          <w:color w:val="000000"/>
        </w:rPr>
      </w:pPr>
    </w:p>
    <w:p w:rsidRPr="00323F7B" w:rsidR="00323F7B" w:rsidP="00323F7B">
      <w:pPr>
        <w:jc w:val="both"/>
        <w:rPr>
          <w:b/>
          <w:color w:val="000000"/>
        </w:rPr>
      </w:pPr>
      <w:r w:rsidRPr="00323F7B">
        <w:rPr>
          <w:color w:val="000000"/>
        </w:rPr>
        <w:t xml:space="preserve">                 </w:t>
      </w:r>
      <w:r w:rsidRPr="00323F7B">
        <w:rPr>
          <w:b/>
          <w:color w:val="000000"/>
        </w:rPr>
        <w:t xml:space="preserve">PREŞEDINTE,             JUDECĂTOR,                       JUDECĂTOR,   </w:t>
      </w:r>
    </w:p>
    <w:p w:rsidRPr="00323F7B" w:rsidR="00323F7B" w:rsidP="00323F7B">
      <w:pPr>
        <w:rPr>
          <w:b/>
          <w:color w:val="000000"/>
        </w:rPr>
      </w:pPr>
      <w:r w:rsidRPr="00323F7B">
        <w:rPr>
          <w:b/>
          <w:color w:val="000000"/>
        </w:rPr>
        <w:t xml:space="preserve">                 </w:t>
      </w:r>
      <w:r w:rsidR="00CA78F6">
        <w:rPr>
          <w:b/>
          <w:color w:val="000000"/>
        </w:rPr>
        <w:t xml:space="preserve">      </w:t>
      </w:r>
      <w:r w:rsidR="000275CF">
        <w:rPr>
          <w:b/>
          <w:color w:val="000000"/>
        </w:rPr>
        <w:t>A0005</w:t>
      </w:r>
      <w:r w:rsidRPr="00323F7B">
        <w:rPr>
          <w:b/>
          <w:color w:val="000000"/>
        </w:rPr>
        <w:t xml:space="preserve">          </w:t>
      </w:r>
      <w:r w:rsidR="00CA78F6">
        <w:rPr>
          <w:b/>
          <w:color w:val="000000"/>
        </w:rPr>
        <w:t xml:space="preserve">              </w:t>
      </w:r>
      <w:r w:rsidR="000275CF">
        <w:rPr>
          <w:b/>
          <w:color w:val="000000"/>
        </w:rPr>
        <w:t>.................</w:t>
      </w:r>
      <w:r w:rsidRPr="00323F7B">
        <w:rPr>
          <w:b/>
          <w:color w:val="000000"/>
        </w:rPr>
        <w:t xml:space="preserve">      </w:t>
      </w:r>
      <w:r w:rsidR="00CA78F6">
        <w:rPr>
          <w:b/>
          <w:color w:val="000000"/>
        </w:rPr>
        <w:t xml:space="preserve">                           .................</w:t>
      </w:r>
      <w:r w:rsidRPr="00323F7B">
        <w:rPr>
          <w:b/>
          <w:color w:val="000000"/>
        </w:rPr>
        <w:t xml:space="preserve"> </w:t>
      </w:r>
    </w:p>
    <w:p w:rsidRPr="00323F7B" w:rsidR="00323F7B" w:rsidP="00323F7B">
      <w:pPr>
        <w:rPr>
          <w:b/>
          <w:color w:val="000000"/>
        </w:rPr>
      </w:pPr>
    </w:p>
    <w:p w:rsidRPr="00323F7B" w:rsidR="00323F7B" w:rsidP="00323F7B">
      <w:pPr>
        <w:pStyle w:val="BodyText"/>
        <w:spacing w:line="240" w:lineRule="auto"/>
        <w:rPr>
          <w:b/>
          <w:noProof w:val="0"/>
          <w:color w:val="000000"/>
          <w:szCs w:val="24"/>
          <w:lang w:val="ro-RO" w:eastAsia="en-US"/>
        </w:rPr>
      </w:pPr>
      <w:r w:rsidRPr="00323F7B">
        <w:rPr>
          <w:b/>
          <w:noProof w:val="0"/>
          <w:color w:val="000000"/>
          <w:szCs w:val="24"/>
          <w:lang w:val="ro-RO" w:eastAsia="en-US"/>
        </w:rPr>
        <w:t xml:space="preserve">                      </w:t>
        <w:tab/>
        <w:tab/>
        <w:tab/>
        <w:tab/>
        <w:tab/>
        <w:tab/>
        <w:tab/>
        <w:tab/>
        <w:t xml:space="preserve">      </w:t>
      </w:r>
    </w:p>
    <w:p w:rsidRPr="00323F7B" w:rsidR="00323F7B" w:rsidP="00323F7B">
      <w:pPr>
        <w:pStyle w:val="BodyText"/>
        <w:spacing w:line="240" w:lineRule="auto"/>
        <w:rPr>
          <w:b/>
          <w:noProof w:val="0"/>
          <w:color w:val="000000"/>
          <w:szCs w:val="24"/>
          <w:lang w:val="ro-RO" w:eastAsia="en-US"/>
        </w:rPr>
      </w:pPr>
      <w:r w:rsidRPr="00323F7B">
        <w:rPr>
          <w:b/>
          <w:noProof w:val="0"/>
          <w:color w:val="000000"/>
          <w:szCs w:val="24"/>
          <w:lang w:val="ro-RO" w:eastAsia="en-US"/>
        </w:rPr>
        <w:t xml:space="preserve">                                                                                                            </w:t>
      </w:r>
    </w:p>
    <w:p w:rsidRPr="00323F7B" w:rsidR="00323F7B" w:rsidP="00323F7B">
      <w:pPr>
        <w:pStyle w:val="BodyText"/>
        <w:spacing w:line="240" w:lineRule="auto"/>
        <w:rPr>
          <w:b/>
          <w:noProof w:val="0"/>
          <w:color w:val="000000"/>
          <w:szCs w:val="24"/>
          <w:lang w:val="ro-RO" w:eastAsia="en-US"/>
        </w:rPr>
      </w:pPr>
      <w:r w:rsidRPr="00323F7B">
        <w:rPr>
          <w:b/>
          <w:noProof w:val="0"/>
          <w:color w:val="000000"/>
          <w:szCs w:val="24"/>
          <w:lang w:val="ro-RO" w:eastAsia="en-US"/>
        </w:rPr>
        <w:t xml:space="preserve">                                                                                                                  GREFIER</w:t>
      </w:r>
    </w:p>
    <w:p w:rsidRPr="00323F7B" w:rsidR="00323F7B" w:rsidP="00323F7B">
      <w:pPr>
        <w:ind w:right="-125" w:firstLine="672"/>
        <w:jc w:val="both"/>
        <w:rPr>
          <w:b/>
          <w:color w:val="000000"/>
        </w:rPr>
      </w:pPr>
      <w:r w:rsidRPr="00323F7B">
        <w:rPr>
          <w:b/>
          <w:color w:val="000000"/>
        </w:rPr>
        <w:t xml:space="preserve">    </w:t>
        <w:tab/>
        <w:tab/>
        <w:tab/>
        <w:tab/>
        <w:tab/>
        <w:tab/>
        <w:tab/>
        <w:tab/>
        <w:t xml:space="preserve"> </w:t>
      </w:r>
      <w:r w:rsidR="00CA78F6">
        <w:rPr>
          <w:b/>
          <w:color w:val="000000"/>
        </w:rPr>
        <w:t xml:space="preserve">       </w:t>
      </w:r>
      <w:r w:rsidR="000275CF">
        <w:rPr>
          <w:b/>
          <w:color w:val="000000"/>
        </w:rPr>
        <w:t>.................</w:t>
      </w:r>
    </w:p>
    <w:p w:rsidRPr="00323F7B" w:rsidR="00323F7B" w:rsidP="00323F7B">
      <w:pPr>
        <w:ind w:right="-125" w:firstLine="672"/>
        <w:jc w:val="both"/>
        <w:rPr>
          <w:b/>
          <w:color w:val="000000"/>
        </w:rPr>
      </w:pPr>
    </w:p>
    <w:p w:rsidRPr="00323F7B" w:rsidR="00323F7B" w:rsidP="00323F7B">
      <w:pPr>
        <w:rPr>
          <w:b/>
          <w:color w:val="000000"/>
        </w:rPr>
      </w:pPr>
    </w:p>
    <w:p w:rsidRPr="00EB3964" w:rsidR="00323F7B" w:rsidP="00323F7B">
      <w:pPr>
        <w:widowControl w:val="0"/>
        <w:autoSpaceDE w:val="0"/>
        <w:autoSpaceDN w:val="0"/>
        <w:adjustRightInd w:val="0"/>
        <w:jc w:val="both"/>
      </w:pPr>
    </w:p>
    <w:p w:rsidRPr="00EB3964" w:rsidR="00323F7B" w:rsidP="00323F7B"/>
    <w:p w:rsidRPr="00EB3964" w:rsidR="00323F7B" w:rsidP="00323F7B"/>
    <w:p w:rsidRPr="00EB3964" w:rsidR="00323F7B" w:rsidP="00323F7B"/>
    <w:p w:rsidRPr="00EB3964" w:rsidR="00323F7B" w:rsidP="00323F7B">
      <w:pPr>
        <w:jc w:val="both"/>
      </w:pPr>
    </w:p>
    <w:p w:rsidRPr="00EB3964" w:rsidR="00323F7B" w:rsidP="00323F7B">
      <w:pPr>
        <w:jc w:val="both"/>
      </w:pPr>
      <w:r w:rsidRPr="00EB3964">
        <w:t xml:space="preserve">Red </w:t>
      </w:r>
      <w:r w:rsidR="00F72CC7">
        <w:t xml:space="preserve">A0005 </w:t>
      </w:r>
      <w:r w:rsidRPr="00EB3964">
        <w:t>– 4 ex./</w:t>
      </w:r>
      <w:r w:rsidR="00F72CC7">
        <w:t>.........</w:t>
      </w:r>
    </w:p>
    <w:p w:rsidR="00323F7B" w:rsidP="00323F7B">
      <w:r w:rsidRPr="00EB3964">
        <w:t xml:space="preserve">Tribunalul </w:t>
      </w:r>
      <w:r w:rsidR="00D0558F">
        <w:t>...X...</w:t>
      </w:r>
      <w:r w:rsidRPr="00EB3964">
        <w:t xml:space="preserve">  - Secţia </w:t>
      </w:r>
      <w:r w:rsidR="00F72CC7">
        <w:t>..........</w:t>
      </w:r>
      <w:r w:rsidRPr="00EB3964">
        <w:t xml:space="preserve"> CAF– jud. </w:t>
      </w:r>
      <w:r w:rsidR="00F72CC7">
        <w:t>........................</w:t>
      </w:r>
    </w:p>
    <w:p w:rsidRPr="00EB3964" w:rsidR="00323F7B" w:rsidP="00323F7B">
      <w:r w:rsidRPr="00EB3964">
        <w:t xml:space="preserve">Comunicat 4 exemplare la data de </w:t>
      </w:r>
    </w:p>
    <w:p w:rsidRPr="00EB3964" w:rsidR="00323F7B" w:rsidP="00323F7B"/>
    <w:p w:rsidRPr="00323F7B" w:rsidR="00090D1C" w:rsidP="00323F7B"/>
    <w:sectPr w:rsidSect="00323F7B">
      <w:footerReference w:type="default" r:id="rId4"/>
      <w:pgSz w:w="11906" w:h="16838"/>
      <w:pgMar w:top="1304" w:right="1274" w:bottom="1304" w:left="136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08A">
    <w:pPr>
      <w:pStyle w:val="Footer"/>
      <w:jc w:val="right"/>
    </w:pPr>
    <w:r>
      <w:fldChar w:fldCharType="begin"/>
    </w:r>
    <w:r>
      <w:instrText>PAGE   \* MERGEFORMAT</w:instrText>
    </w:r>
    <w:r>
      <w:fldChar w:fldCharType="separate"/>
    </w:r>
    <w:r>
      <w:t>2</w:t>
    </w:r>
    <w:r>
      <w:fldChar w:fldCharType="end"/>
    </w:r>
  </w:p>
  <w:p w:rsidR="003A508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275CF"/>
    <w:rsid w:val="000654FD"/>
    <w:rsid w:val="00074F1D"/>
    <w:rsid w:val="00075157"/>
    <w:rsid w:val="00084103"/>
    <w:rsid w:val="00090D1C"/>
    <w:rsid w:val="00190DF5"/>
    <w:rsid w:val="00230098"/>
    <w:rsid w:val="00236F8B"/>
    <w:rsid w:val="00310770"/>
    <w:rsid w:val="00323F7B"/>
    <w:rsid w:val="003676FC"/>
    <w:rsid w:val="003A508A"/>
    <w:rsid w:val="00405C42"/>
    <w:rsid w:val="00434264"/>
    <w:rsid w:val="004362D5"/>
    <w:rsid w:val="00444EB7"/>
    <w:rsid w:val="00483536"/>
    <w:rsid w:val="00564B93"/>
    <w:rsid w:val="00582B7B"/>
    <w:rsid w:val="005E0080"/>
    <w:rsid w:val="005E4446"/>
    <w:rsid w:val="00640476"/>
    <w:rsid w:val="008D6F98"/>
    <w:rsid w:val="00902C7A"/>
    <w:rsid w:val="00920856"/>
    <w:rsid w:val="009537FD"/>
    <w:rsid w:val="00982CB8"/>
    <w:rsid w:val="009847E9"/>
    <w:rsid w:val="009876B0"/>
    <w:rsid w:val="009B7961"/>
    <w:rsid w:val="00A56F73"/>
    <w:rsid w:val="00A74B82"/>
    <w:rsid w:val="00BC4A1A"/>
    <w:rsid w:val="00BC5260"/>
    <w:rsid w:val="00BF0E6F"/>
    <w:rsid w:val="00CA78F6"/>
    <w:rsid w:val="00D0558F"/>
    <w:rsid w:val="00EB3964"/>
    <w:rsid w:val="00F035C2"/>
    <w:rsid w:val="00F6586E"/>
    <w:rsid w:val="00F72CC7"/>
  </w:rsids>
  <w:docVars>
    <w:docVar w:name="url" w:val="https://cabuc.just.ro/ecris_cdms/document_upload.aspx?id_document=200000005207396&amp;id_departament=54&amp;id_sesiune=6132643&amp;id_user=86&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22"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BodyText">
    <w:name w:val="Body Text"/>
    <w:basedOn w:val="Normal"/>
    <w:link w:val="BodyTextChar"/>
    <w:unhideWhenUsed/>
    <w:rsid w:val="00323F7B"/>
    <w:pPr>
      <w:widowControl w:val="0"/>
      <w:spacing w:line="288" w:lineRule="auto"/>
    </w:pPr>
    <w:rPr>
      <w:noProof/>
      <w:szCs w:val="20"/>
      <w:lang w:val="en-US" w:eastAsia="en-US"/>
    </w:rPr>
  </w:style>
  <w:style w:type="character" w:customStyle="1" w:styleId="BodyTextChar">
    <w:name w:val="Body Text Char"/>
    <w:link w:val="BodyText"/>
    <w:rsid w:val="00323F7B"/>
    <w:rPr>
      <w:noProof/>
      <w:sz w:val="24"/>
      <w:lang w:val="en-US" w:eastAsia="en-US"/>
    </w:rPr>
  </w:style>
  <w:style w:type="paragraph" w:styleId="NoSpacing">
    <w:name w:val="No Spacing"/>
    <w:uiPriority w:val="1"/>
    <w:qFormat/>
    <w:rsid w:val="00323F7B"/>
    <w:rPr>
      <w:rFonts w:ascii="Calibri" w:eastAsia="Calibri" w:hAnsi="Calibri"/>
      <w:sz w:val="22"/>
      <w:szCs w:val="22"/>
      <w:lang w:val="ro-RO" w:eastAsia="en-US" w:bidi="ar-SA"/>
    </w:rPr>
  </w:style>
  <w:style w:type="character" w:styleId="Strong">
    <w:name w:val="Strong"/>
    <w:uiPriority w:val="22"/>
    <w:qFormat/>
    <w:rsid w:val="00323F7B"/>
    <w:rPr>
      <w:b/>
      <w:bCs/>
    </w:rPr>
  </w:style>
  <w:style w:type="paragraph" w:styleId="Footer">
    <w:name w:val="footer"/>
    <w:basedOn w:val="Normal"/>
    <w:link w:val="FooterChar"/>
    <w:uiPriority w:val="99"/>
    <w:unhideWhenUsed/>
    <w:rsid w:val="00323F7B"/>
    <w:pPr>
      <w:tabs>
        <w:tab w:val="center" w:pos="4536"/>
        <w:tab w:val="right" w:pos="9072"/>
      </w:tabs>
    </w:pPr>
    <w:rPr>
      <w:rFonts w:ascii="Arial" w:hAnsi="Arial"/>
      <w:sz w:val="28"/>
    </w:rPr>
  </w:style>
  <w:style w:type="character" w:customStyle="1" w:styleId="FooterChar">
    <w:name w:val="Footer Char"/>
    <w:link w:val="Footer"/>
    <w:uiPriority w:val="99"/>
    <w:rsid w:val="00323F7B"/>
    <w:rPr>
      <w:rFonts w:ascii="Arial" w:hAnsi="Arial"/>
      <w:sz w:val="28"/>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18</ap:TotalTime>
  <ap:Pages>6</ap:Pages>
  <ap:Words>3341</ap:Words>
  <ap:Characters>19048</ap:Characters>
  <ap:Application>Microsoft Office Word</ap:Application>
  <ap:DocSecurity>0</ap:DocSecurity>
  <ap:Lines>158</ap:Lines>
  <ap:Paragraphs>44</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22345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