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Hot.15</w:t>
      </w:r>
    </w:p>
    <w:p>
      <w:pPr>
        <w:pStyle w:val="Normal"/>
        <w:rPr>
          <w:b/>
        </w:rPr>
      </w:pPr>
      <w:r>
        <w:rPr>
          <w:b/>
        </w:rPr>
        <w:t>Dosar nr. D1</w:t>
      </w:r>
    </w:p>
    <w:p>
      <w:pPr>
        <w:pStyle w:val="Normal"/>
        <w:rPr>
          <w:b/>
        </w:rPr>
      </w:pPr>
      <w:r>
        <w:rPr>
          <w:b/>
        </w:rPr>
      </w:r>
    </w:p>
    <w:p>
      <w:pPr>
        <w:pStyle w:val="Normal"/>
        <w:rPr>
          <w:b/>
        </w:rPr>
      </w:pPr>
      <w:r>
        <w:rPr>
          <w:b/>
        </w:rPr>
      </w:r>
    </w:p>
    <w:p>
      <w:pPr>
        <w:pStyle w:val="Normal"/>
        <w:keepNext w:val="true"/>
        <w:numPr>
          <w:ilvl w:val="0"/>
          <w:numId w:val="0"/>
        </w:numPr>
        <w:jc w:val="center"/>
        <w:outlineLvl w:val="2"/>
        <w:rPr>
          <w:b/>
        </w:rPr>
      </w:pPr>
      <w:r>
        <w:rPr>
          <w:b/>
        </w:rPr>
        <w:t>ROMÂNIA</w:t>
      </w:r>
    </w:p>
    <w:p>
      <w:pPr>
        <w:pStyle w:val="Normal"/>
        <w:jc w:val="center"/>
        <w:rPr>
          <w:b/>
        </w:rPr>
      </w:pPr>
      <w:r>
        <w:rPr>
          <w:b/>
        </w:rPr>
        <w:t>CURTEA DE APEL ...</w:t>
      </w:r>
    </w:p>
    <w:p>
      <w:pPr>
        <w:pStyle w:val="Normal"/>
        <w:jc w:val="center"/>
        <w:rPr>
          <w:b/>
        </w:rPr>
      </w:pPr>
      <w:r>
        <w:rPr>
          <w:b/>
        </w:rPr>
        <w:t>SECŢIA ...</w:t>
      </w:r>
    </w:p>
    <w:p>
      <w:pPr>
        <w:pStyle w:val="Normal"/>
        <w:jc w:val="center"/>
        <w:rPr>
          <w:b/>
        </w:rPr>
      </w:pPr>
      <w:r>
        <w:rPr>
          <w:b/>
        </w:rPr>
      </w:r>
    </w:p>
    <w:p>
      <w:pPr>
        <w:pStyle w:val="Normal"/>
        <w:jc w:val="center"/>
        <w:rPr>
          <w:b/>
          <w:lang w:val="it-IT"/>
        </w:rPr>
      </w:pPr>
      <w:r>
        <w:rPr>
          <w:b/>
        </w:rPr>
        <w:t>DECIZIA PENALĂ NR. ...</w:t>
      </w:r>
    </w:p>
    <w:p>
      <w:pPr>
        <w:pStyle w:val="Normal"/>
        <w:rPr>
          <w:b/>
        </w:rPr>
      </w:pPr>
      <w:r>
        <w:rPr>
          <w:b/>
        </w:rPr>
      </w:r>
    </w:p>
    <w:p>
      <w:pPr>
        <w:pStyle w:val="Normal"/>
        <w:jc w:val="center"/>
        <w:rPr>
          <w:b/>
        </w:rPr>
      </w:pPr>
      <w:r>
        <w:rPr>
          <w:b/>
        </w:rPr>
        <w:t>Şedinţa publică din data de ...</w:t>
      </w:r>
    </w:p>
    <w:p>
      <w:pPr>
        <w:pStyle w:val="Normal"/>
        <w:jc w:val="center"/>
        <w:rPr>
          <w:b/>
        </w:rPr>
      </w:pPr>
      <w:r>
        <w:rPr>
          <w:b/>
        </w:rPr>
      </w:r>
    </w:p>
    <w:p>
      <w:pPr>
        <w:pStyle w:val="Normal"/>
        <w:jc w:val="center"/>
        <w:rPr>
          <w:b/>
        </w:rPr>
      </w:pPr>
      <w:r>
        <w:rPr>
          <w:b/>
        </w:rPr>
        <w:t>Instanţa constituită din:</w:t>
      </w:r>
    </w:p>
    <w:p>
      <w:pPr>
        <w:pStyle w:val="Normal"/>
        <w:jc w:val="center"/>
        <w:rPr>
          <w:b/>
        </w:rPr>
      </w:pPr>
      <w:r>
        <w:rPr>
          <w:b/>
        </w:rPr>
        <w:t>PREŞEDINTE: A0013</w:t>
      </w:r>
    </w:p>
    <w:p>
      <w:pPr>
        <w:pStyle w:val="Normal"/>
        <w:jc w:val="center"/>
        <w:rPr>
          <w:b/>
        </w:rPr>
      </w:pPr>
      <w:r>
        <w:rPr>
          <w:b/>
        </w:rPr>
        <w:t>JUDECĂTOR: ...</w:t>
      </w:r>
    </w:p>
    <w:p>
      <w:pPr>
        <w:pStyle w:val="Normal"/>
        <w:jc w:val="center"/>
        <w:rPr>
          <w:b/>
        </w:rPr>
      </w:pPr>
      <w:r>
        <w:rPr>
          <w:b/>
        </w:rPr>
        <w:t>GREFIER: ...</w:t>
      </w:r>
    </w:p>
    <w:p>
      <w:pPr>
        <w:pStyle w:val="Normal"/>
        <w:rPr>
          <w:b/>
        </w:rPr>
      </w:pPr>
      <w:r>
        <w:rPr>
          <w:b/>
        </w:rPr>
      </w:r>
    </w:p>
    <w:p>
      <w:pPr>
        <w:pStyle w:val="Normal"/>
        <w:jc w:val="center"/>
        <w:rPr>
          <w:b/>
        </w:rPr>
      </w:pPr>
      <w:r>
        <w:rPr>
          <w:b/>
        </w:rPr>
      </w:r>
    </w:p>
    <w:p>
      <w:pPr>
        <w:pStyle w:val="Normal"/>
        <w:ind w:firstLine="709"/>
        <w:jc w:val="both"/>
        <w:rPr/>
      </w:pPr>
      <w:r>
        <w:rPr/>
        <w:t xml:space="preserve">Pe rol se află soluţionarea apelului formulat de </w:t>
      </w:r>
      <w:r>
        <w:rPr>
          <w:b/>
        </w:rPr>
        <w:t>revizuentul-apelant R1</w:t>
      </w:r>
      <w:r>
        <w:rPr/>
        <w:t xml:space="preserve"> împotriva </w:t>
      </w:r>
      <w:r>
        <w:rPr>
          <w:b/>
        </w:rPr>
        <w:t>sentinţei penale nr. SP1 din data de ...</w:t>
      </w:r>
      <w:r>
        <w:rPr/>
        <w:t>, pronunţată de JUDECATORIA.... în dosarul nr. D1.</w:t>
      </w:r>
    </w:p>
    <w:p>
      <w:pPr>
        <w:pStyle w:val="Normal"/>
        <w:ind w:firstLine="708"/>
        <w:jc w:val="both"/>
        <w:rPr/>
      </w:pPr>
      <w:r>
        <w:rPr/>
        <w:t>Dezbaterile au avut loc în şedinţa publică din data de 24 octombrie 2024, susţinerile fiind consemnate în cuprinsul încheierii de şedinţă de la acea dată, care face parte integrantă din prezenta decizie, la şedinţa de judecată participând reprezentantul Ministerului Public – Parchetul de pe lângă Curtea de Apel ... procuror ...</w:t>
      </w:r>
      <w:r>
        <w:rPr>
          <w:i/>
        </w:rPr>
        <w:t xml:space="preserve">, </w:t>
      </w:r>
      <w:r>
        <w:rPr/>
        <w:t xml:space="preserve">când, în temeiul art. 391 alin. (1) din Codul de procedură penală, Curtea a stabilit pronunţarea pentru astăzi ..., când, în aceeași compunere, a decis următoarele: </w:t>
      </w:r>
    </w:p>
    <w:p>
      <w:pPr>
        <w:pStyle w:val="Normal"/>
        <w:ind w:firstLine="708"/>
        <w:jc w:val="both"/>
        <w:rPr>
          <w:i/>
          <w:i/>
        </w:rPr>
      </w:pPr>
      <w:r>
        <w:rPr>
          <w:i/>
        </w:rPr>
      </w:r>
    </w:p>
    <w:p>
      <w:pPr>
        <w:pStyle w:val="Normal"/>
        <w:jc w:val="center"/>
        <w:rPr>
          <w:b/>
        </w:rPr>
      </w:pPr>
      <w:r>
        <w:rPr>
          <w:b/>
        </w:rPr>
        <w:t>CURTEA DE APEL,</w:t>
      </w:r>
    </w:p>
    <w:p>
      <w:pPr>
        <w:pStyle w:val="Normal"/>
        <w:jc w:val="center"/>
        <w:rPr/>
      </w:pPr>
      <w:r>
        <w:rPr/>
      </w:r>
    </w:p>
    <w:p>
      <w:pPr>
        <w:pStyle w:val="Normal"/>
        <w:ind w:firstLine="708"/>
        <w:jc w:val="both"/>
        <w:rPr>
          <w:b/>
        </w:rPr>
      </w:pPr>
      <w:r>
        <w:rPr>
          <w:b/>
        </w:rPr>
        <w:t>Deliberând asupra apelului penal de faţă, constată următoarele:</w:t>
      </w:r>
    </w:p>
    <w:p>
      <w:pPr>
        <w:pStyle w:val="Normal"/>
        <w:ind w:firstLine="708"/>
        <w:jc w:val="both"/>
        <w:rPr>
          <w:b/>
        </w:rPr>
      </w:pPr>
      <w:r>
        <w:rPr>
          <w:b/>
        </w:rPr>
      </w:r>
    </w:p>
    <w:p>
      <w:pPr>
        <w:pStyle w:val="Normal"/>
        <w:ind w:firstLine="708"/>
        <w:jc w:val="both"/>
        <w:rPr>
          <w:b/>
        </w:rPr>
      </w:pPr>
      <w:r>
        <w:rPr>
          <w:b/>
        </w:rPr>
        <w:t>Prin sentinţa penală nr. SP1 din data de ..., pronunțată în dosarul nr. D1, JUDECATORIA.... a dispus următoarele:</w:t>
      </w:r>
    </w:p>
    <w:p>
      <w:pPr>
        <w:pStyle w:val="Normal"/>
        <w:ind w:firstLine="708"/>
        <w:jc w:val="both"/>
        <w:rPr/>
      </w:pPr>
      <w:r>
        <w:rPr/>
        <w:t>„</w:t>
      </w:r>
      <w:r>
        <w:rPr/>
        <w:t>Respinge, ca inadmisibilă în principiu, cererea de revizuire formulată de către revizuentul R1  încarcerat în prezent în penitenciarul ....., împotriva dosarului penal nr. D2 aflat pe rolul Judecǎtoriei ....”</w:t>
      </w:r>
    </w:p>
    <w:p>
      <w:pPr>
        <w:pStyle w:val="Normal"/>
        <w:ind w:firstLine="708"/>
        <w:jc w:val="both"/>
        <w:rPr>
          <w:b/>
        </w:rPr>
      </w:pPr>
      <w:r>
        <w:rPr>
          <w:b/>
        </w:rPr>
      </w:r>
    </w:p>
    <w:p>
      <w:pPr>
        <w:pStyle w:val="Normal"/>
        <w:ind w:firstLine="708"/>
        <w:jc w:val="both"/>
        <w:rPr>
          <w:b/>
        </w:rPr>
      </w:pPr>
      <w:r>
        <w:rPr>
          <w:b/>
        </w:rPr>
        <w:t xml:space="preserve">Pentru a pronunţa această soluție, Judecătoria ... a reținut în considerentele hotărârii date, în esență, următoarea situație de fapt și de drept: </w:t>
      </w:r>
    </w:p>
    <w:p>
      <w:pPr>
        <w:pStyle w:val="Normal"/>
        <w:ind w:firstLine="708"/>
        <w:jc w:val="both"/>
        <w:rPr>
          <w:b/>
        </w:rPr>
      </w:pPr>
      <w:r>
        <w:rPr/>
        <w:t>Instanţa a observat cǎ dosarul penal nr. D2 este un dosar în curs de judecatǎ în fond aflat pe rolul Judecǎtoriei ... care are termen la data de 03.07.2024, nejudecat. Încǎ nu a fost datǎ o soluţie în cauzǎ, nici mǎcar o soluţie nedefinitivǎ în fond.</w:t>
      </w:r>
    </w:p>
    <w:p>
      <w:pPr>
        <w:pStyle w:val="Normal"/>
        <w:ind w:firstLine="708"/>
        <w:jc w:val="both"/>
        <w:rPr>
          <w:b/>
        </w:rPr>
      </w:pPr>
      <w:r>
        <w:rPr/>
        <w:t>În drept, instanţa a reţinut că revizuirea constituie acea cale extraordinară de atac prin folosirea căreia se pot înlătura erorile judiciare cu privire la faptele reținute printr-o hotărâre judecătorească definitivă.</w:t>
      </w:r>
    </w:p>
    <w:p>
      <w:pPr>
        <w:pStyle w:val="Normal"/>
        <w:ind w:firstLine="708"/>
        <w:jc w:val="both"/>
        <w:rPr>
          <w:b/>
        </w:rPr>
      </w:pPr>
      <w:r>
        <w:rPr/>
        <w:t>Fiind o cale de atac extraordinară, revizuirea poate privi exclusiv hotărârile determinate de art. 452 C.proc.pen. și numai pentru cazurile prevăzute de art. 453 C.proc.pen., respectiv art. 465 C.proc.pen., singurele apte a provoca o reexaminare în fapt a cauzei penale.</w:t>
      </w:r>
    </w:p>
    <w:p>
      <w:pPr>
        <w:pStyle w:val="Normal"/>
        <w:ind w:firstLine="708"/>
        <w:jc w:val="both"/>
        <w:rPr>
          <w:b/>
        </w:rPr>
      </w:pPr>
      <w:r>
        <w:rPr/>
        <w:t>Judecarea cererii de revizuire presupune parcurgerea a două etape: un filtru de admisibilitate în principiu a cererii de revizuire și rejudecarea cauzei, după admiterea în principiu.</w:t>
      </w:r>
    </w:p>
    <w:p>
      <w:pPr>
        <w:pStyle w:val="Normal"/>
        <w:ind w:firstLine="708"/>
        <w:jc w:val="both"/>
        <w:rPr>
          <w:b/>
        </w:rPr>
      </w:pPr>
      <w:r>
        <w:rPr/>
        <w:t>De asemenea, instanţa a reţinut incidenţa dispozițiilor art. 459 alin. 3 C.proc.pen., cu ocazia examinării admisibilității în principiu a cererii de revizuire.</w:t>
      </w:r>
    </w:p>
    <w:p>
      <w:pPr>
        <w:pStyle w:val="Normal"/>
        <w:ind w:firstLine="708"/>
        <w:jc w:val="both"/>
        <w:rPr>
          <w:b/>
        </w:rPr>
      </w:pPr>
      <w:r>
        <w:rPr/>
        <w:t>Având în vedere toate considerentele de fapt şi de drept mai sus-expuse, constatând că în cauză nu sunt îndeplinite condițiile de admisibilitate prevăzute de art. 452 alin. 1 C.proc.pen., respectiv cǎ revizuirea nu se referǎ la o hotǎrâre penalǎ definitivǎ, instanța a respins, ca inadmisibilă în principiu, cererea de revizuire formulată de către revizuentul R1 din prezentul dosar.</w:t>
      </w:r>
    </w:p>
    <w:p>
      <w:pPr>
        <w:pStyle w:val="Normal"/>
        <w:ind w:firstLine="708"/>
        <w:jc w:val="both"/>
        <w:rPr>
          <w:b/>
        </w:rPr>
      </w:pPr>
      <w:r>
        <w:rPr/>
        <w:t>În temeiul dispozițiilor art. 275 alin. 2 C.proc.pen., instanța a obligat pe revizuentul R1 la plata sumei de 200 lei, cu titlu de cheltuieli judiciare către stat.</w:t>
      </w:r>
    </w:p>
    <w:p>
      <w:pPr>
        <w:pStyle w:val="Normal"/>
        <w:tabs>
          <w:tab w:val="clear" w:pos="720"/>
          <w:tab w:val="left" w:leader="none" w:pos="1185"/>
        </w:tabs>
        <w:jc w:val="both"/>
        <w:rPr>
          <w:lang w:val="en-US"/>
        </w:rPr>
      </w:pPr>
      <w:r>
        <w:rPr>
          <w:lang w:val="en-US"/>
        </w:rPr>
        <w:tab/>
        <w:tab/>
      </w:r>
    </w:p>
    <w:p>
      <w:pPr>
        <w:pStyle w:val="Normal"/>
        <w:ind w:firstLine="708"/>
        <w:jc w:val="both"/>
        <w:rPr/>
      </w:pPr>
      <w:r>
        <w:rPr>
          <w:b/>
        </w:rPr>
        <w:t xml:space="preserve">Împotriva sentinţei penale nr. SP1 din data de ..., pronunţată de Judecătoria ... în dosarul nr. </w:t>
      </w:r>
      <w:r>
        <w:rPr>
          <w:b/>
          <w:color w:val="000000"/>
        </w:rPr>
        <w:t>D1</w:t>
      </w:r>
      <w:r>
        <w:rPr>
          <w:b/>
        </w:rPr>
        <w:t>, au formulat apel revizuientul R1.</w:t>
      </w:r>
    </w:p>
    <w:p>
      <w:pPr>
        <w:pStyle w:val="Normal"/>
        <w:ind w:firstLine="708"/>
        <w:jc w:val="both"/>
        <w:rPr/>
      </w:pPr>
      <w:r>
        <w:rPr/>
        <w:t>Apelul nu a fost motivat în scris.</w:t>
      </w:r>
    </w:p>
    <w:p>
      <w:pPr>
        <w:pStyle w:val="Normal"/>
        <w:ind w:firstLine="708"/>
        <w:jc w:val="both"/>
        <w:rPr/>
      </w:pPr>
      <w:r>
        <w:rPr/>
        <w:t>La termenul de judecată din data de 24.10.2024, apelantul R1, prezent prin videoconferinţă, a arătat că nu el a declarat apelul formulat în prezenta cauză.</w:t>
      </w:r>
    </w:p>
    <w:p>
      <w:pPr>
        <w:pStyle w:val="Normal"/>
        <w:jc w:val="both"/>
        <w:rPr>
          <w:b/>
          <w:i/>
          <w:i/>
        </w:rPr>
      </w:pPr>
      <w:r>
        <w:rPr>
          <w:b/>
          <w:i/>
        </w:rPr>
      </w:r>
    </w:p>
    <w:p>
      <w:pPr>
        <w:pStyle w:val="Normal"/>
        <w:ind w:firstLine="708"/>
        <w:jc w:val="both"/>
        <w:rPr>
          <w:b/>
          <w:i/>
          <w:i/>
        </w:rPr>
      </w:pPr>
      <w:r>
        <w:rPr>
          <w:b/>
          <w:i/>
        </w:rPr>
        <w:t xml:space="preserve">Analizând apelul formulat, Curtea constată următoarele: </w:t>
      </w:r>
    </w:p>
    <w:p>
      <w:pPr>
        <w:pStyle w:val="Normal"/>
        <w:ind w:firstLine="720"/>
        <w:jc w:val="both"/>
        <w:rPr/>
      </w:pPr>
      <w:r>
        <w:rPr/>
        <w:t>Cu titlu preliminar, cu privire la susținerea revizuentului apelant în sensul că nu a formulat personal apel împotriva sentinței pronunțate de JUDECATORIA...., Curtea reține, analizând dovada de comunicare a sentinței penale nr. SP1/... pronunțate de JUDECATORIA...., aflată la fila 60 dosar instanța de fond și fila 3 dosar instanța de control judiciar, că sentința pronunțată a fost comunicată, la data de 01.07.2024, revizuentului R1, aflat în Penitenciarul ....., acesta semnând personal de primire a comunicării, făcând cu acea ocazie mențiunea olografă ”fac apel”.</w:t>
      </w:r>
    </w:p>
    <w:p>
      <w:pPr>
        <w:pStyle w:val="Normal"/>
        <w:ind w:firstLine="720"/>
        <w:jc w:val="both"/>
        <w:rPr/>
      </w:pPr>
      <w:r>
        <w:rPr/>
        <w:t xml:space="preserve">Curtea apreciază ca fiind nesincere precizările revizuentului în sensul că nu a declarat el apel împotriva sentinței pronunțate de instanța de fond, câtă vreme revizuentul a semnat personal de primire a hotărârii și a consemnat  ”fac apel” pe dovada de comunicare, în prezența agentului de penitenciar. </w:t>
      </w:r>
    </w:p>
    <w:p>
      <w:pPr>
        <w:pStyle w:val="Normal"/>
        <w:ind w:firstLine="708"/>
        <w:jc w:val="both"/>
        <w:rPr>
          <w:b/>
          <w:i/>
          <w:i/>
        </w:rPr>
      </w:pPr>
      <w:r>
        <w:rPr/>
        <w:t>Pe fondul apelului, Curtea reține că revizuentul R1 a formulat prezenta cerere de revizuire cu privire la dosarul penal nr. D2, aflat pe rolul Judecătoriei ... în curs de soluționare la momentul respectiv, invocând cazul de revizuire prevăzute de art. 453 şi 456 din Codul de procedură penală.</w:t>
      </w:r>
    </w:p>
    <w:p>
      <w:pPr>
        <w:pStyle w:val="Normal"/>
        <w:tabs>
          <w:tab w:val="clear" w:pos="720"/>
          <w:tab w:val="left" w:leader="none" w:pos="0"/>
        </w:tabs>
        <w:ind w:right="-108"/>
        <w:jc w:val="both"/>
        <w:rPr/>
      </w:pPr>
      <w:r>
        <w:rPr/>
        <w:tab/>
        <w:t>În mod corect și temeinic argumentat a reținut instanța de fond împrejurarea că prezenta cerere de revizuire promovată este inadmisibilă în principiu, în condițiile în care în cauză nu sunt îndeplinite condițiile de admisibilitate prevăzute de art. 452 alin. (1) din Codul de procedură penală, respectiv faptul că revizuirea nu se referă la o hotărâre penală definitivă.</w:t>
      </w:r>
    </w:p>
    <w:p>
      <w:pPr>
        <w:pStyle w:val="Normal"/>
        <w:tabs>
          <w:tab w:val="clear" w:pos="720"/>
          <w:tab w:val="left" w:leader="none" w:pos="709"/>
        </w:tabs>
        <w:ind w:firstLine="709"/>
        <w:jc w:val="both"/>
        <w:rPr/>
      </w:pPr>
      <w:r>
        <w:rPr/>
        <w:t>Astfel, instanța de fond a reținut faptul că, potrivit fişei ECRIS ataşate cauzei, dosarul penal nr. D2 era un dosar în curs de judecată în fața instanței de fond, aflat pe rolul Judecătoriei ..., ce are termen la data de 03.07.2024, nejudecat, cererea de revizuire referindu-se la un dosar în curs de soluționare.</w:t>
        <w:tab/>
      </w:r>
    </w:p>
    <w:p>
      <w:pPr>
        <w:pStyle w:val="Normal"/>
        <w:tabs>
          <w:tab w:val="clear" w:pos="720"/>
          <w:tab w:val="left" w:leader="none" w:pos="0"/>
        </w:tabs>
        <w:ind w:right="-108"/>
        <w:jc w:val="both"/>
        <w:rPr/>
      </w:pPr>
      <w:r>
        <w:rPr/>
        <w:tab/>
        <w:t>Curtea își însușește integral motivația judecătorului fondului, fiind examinat în mod punctual și riguros de ce cererea de revizuire formulată nu este aptă să depășească filtrul analizei admisibilității unei astfel de cereri.</w:t>
      </w:r>
    </w:p>
    <w:p>
      <w:pPr>
        <w:pStyle w:val="Normal"/>
        <w:ind w:firstLine="708"/>
        <w:jc w:val="both"/>
        <w:rPr/>
      </w:pPr>
      <w:r>
        <w:rPr/>
        <w:t>Reține și instanța de apel faptul că legea permite posibilitatea unei noi analize prin intermediul căii de atac a</w:t>
      </w:r>
      <w:r>
        <w:rPr>
          <w:b/>
        </w:rPr>
        <w:t xml:space="preserve"> </w:t>
      </w:r>
      <w:r>
        <w:rPr/>
        <w:t>revizuirii, care este o cale extraordinară de atac de reformare a unei hotărâri judecătoreşti definitive care conţine o rezolvare a fondului cauzei,</w:t>
      </w:r>
      <w:r>
        <w:rPr>
          <w:rFonts w:ascii="Arial" w:hAnsi="Arial"/>
          <w:color w:val="000000"/>
        </w:rPr>
        <w:t xml:space="preserve"> </w:t>
      </w:r>
      <w:r>
        <w:rPr/>
        <w:t>adică acele hotărâri prin care s-a rezolvat raportul juridic de drept substanţial, pronunţându-se o soluţie de condamnare, de achitare ori de încetare a procesului penal, fiind un mijloc procesual prin care sunt atacate hotărârile judecătoreşti definitive care conţin grave erori de fapt. Instanţa care a pronunţat o hotărâre definitivă ce conţine o gravă eroare de fapt este chemată să o retragă în realizarea principului aflării adevărului şi cu înfrângerea principiului autorităţii lucrului judecat.</w:t>
      </w:r>
    </w:p>
    <w:p>
      <w:pPr>
        <w:pStyle w:val="Normal"/>
        <w:tabs>
          <w:tab w:val="clear" w:pos="720"/>
          <w:tab w:val="left" w:leader="none" w:pos="0"/>
        </w:tabs>
        <w:ind w:right="-108"/>
        <w:jc w:val="both"/>
        <w:rPr/>
      </w:pPr>
      <w:r>
        <w:rPr/>
        <w:tab/>
        <w:t>În mod corect, a reținut judecătorul fondului faptul că în cauză nu există o hotărâre judecătorească definitivă prin care să se fi rezolvat fondul cauzei și care să poată face obiectul unei cereri de revizuire.</w:t>
      </w:r>
    </w:p>
    <w:p>
      <w:pPr>
        <w:pStyle w:val="Normal"/>
        <w:ind w:firstLine="709"/>
        <w:jc w:val="both"/>
        <w:rPr/>
      </w:pPr>
      <w:r>
        <w:rPr/>
        <w:t>Prin urmare, apreciind ca fundamentate considerentele hotărârii atacate, ce este justă și corect ancorată în dispozițiile legale incidente Curtea, în temeiul art. 421 alin. (1) pct 1 lit. b din Codul de procedură penală, va respinge, ca nefondat,</w:t>
      </w:r>
      <w:r>
        <w:rPr>
          <w:i/>
        </w:rPr>
        <w:t xml:space="preserve"> </w:t>
      </w:r>
      <w:r>
        <w:rPr/>
        <w:t>apelul formulat de condamnatul R1 împotriva sentinţei penale nr. SP1/..., pronunţată de JUDECATORIA.... în dosarul nr. D1</w:t>
      </w:r>
      <w:r>
        <w:rPr>
          <w:i/>
        </w:rPr>
        <w:t xml:space="preserve">, </w:t>
      </w:r>
      <w:r>
        <w:rPr/>
        <w:t>pe care o va menține.</w:t>
      </w:r>
    </w:p>
    <w:p>
      <w:pPr>
        <w:pStyle w:val="Normal"/>
        <w:ind w:firstLine="720"/>
        <w:jc w:val="both"/>
        <w:rPr/>
      </w:pPr>
      <w:r>
        <w:rPr/>
        <w:t>Reținând culpa procesuală a revizuentului în promovarea prezentului demers judiciar, în temeiul art. 275 alin. (2) din Codul de procedură procedură penală, va obliga contestatorul la plata sumei de 400 lei reprezentând cheltuieli judiciare către stat.</w:t>
      </w:r>
    </w:p>
    <w:p>
      <w:pPr>
        <w:pStyle w:val="Normal"/>
        <w:ind w:firstLine="720"/>
        <w:jc w:val="both"/>
        <w:rPr/>
      </w:pPr>
      <w:r>
        <w:rPr/>
        <w:t>În temeiul art. 275 alin. (6) din Codul de procedură penală</w:t>
      </w:r>
      <w:r>
        <w:rPr>
          <w:b/>
        </w:rPr>
        <w:t>,</w:t>
      </w:r>
      <w:r>
        <w:rPr/>
        <w:t xml:space="preserve"> suma de 720 lei reprezentând onorariul apărătorului desemnat din oficiu pentru apelant, av. ..., conform delegației nr. ...7/02.10.2024, va rămâne în sarcina statului și se va avansa Baroului ... din fondul Ministerului Justiției.</w:t>
      </w:r>
    </w:p>
    <w:p>
      <w:pPr>
        <w:pStyle w:val="Normal"/>
        <w:jc w:val="both"/>
        <w:rPr/>
      </w:pPr>
      <w:r>
        <w:rPr/>
      </w:r>
    </w:p>
    <w:p>
      <w:pPr>
        <w:pStyle w:val="Normal"/>
        <w:jc w:val="center"/>
        <w:rPr>
          <w:b/>
        </w:rPr>
      </w:pPr>
      <w:r>
        <w:rPr>
          <w:b/>
        </w:rPr>
        <w:t>PENTRU ACESTE MOTIVE</w:t>
      </w:r>
    </w:p>
    <w:p>
      <w:pPr>
        <w:pStyle w:val="Normal"/>
        <w:jc w:val="center"/>
        <w:rPr>
          <w:b/>
        </w:rPr>
      </w:pPr>
      <w:r>
        <w:rPr>
          <w:b/>
        </w:rPr>
        <w:t>ÎN NUMELE LEGII</w:t>
      </w:r>
    </w:p>
    <w:p>
      <w:pPr>
        <w:pStyle w:val="Normal"/>
        <w:jc w:val="center"/>
        <w:rPr>
          <w:b/>
        </w:rPr>
      </w:pPr>
      <w:r>
        <w:rPr>
          <w:b/>
        </w:rPr>
        <w:t>D E C I D E:</w:t>
      </w:r>
    </w:p>
    <w:p>
      <w:pPr>
        <w:pStyle w:val="Normal"/>
        <w:rPr>
          <w:b/>
        </w:rPr>
      </w:pPr>
      <w:r>
        <w:rPr>
          <w:b/>
        </w:rPr>
      </w:r>
    </w:p>
    <w:p>
      <w:pPr>
        <w:pStyle w:val="Normal"/>
        <w:ind w:firstLine="709"/>
        <w:jc w:val="both"/>
        <w:rPr>
          <w:b/>
        </w:rPr>
      </w:pPr>
      <w:r>
        <w:rPr/>
        <w:t xml:space="preserve">În temeiul </w:t>
      </w:r>
      <w:r>
        <w:rPr>
          <w:b/>
        </w:rPr>
        <w:t>art. 421 alin. (1) pct. 1 lit. b) din Codul de procedură penală</w:t>
      </w:r>
      <w:r>
        <w:rPr/>
        <w:t xml:space="preserve"> respinge, ca nefondat,</w:t>
      </w:r>
      <w:r>
        <w:rPr>
          <w:i/>
        </w:rPr>
        <w:t xml:space="preserve"> </w:t>
      </w:r>
      <w:r>
        <w:rPr/>
        <w:t xml:space="preserve">apelul formulat de </w:t>
      </w:r>
      <w:r>
        <w:rPr>
          <w:b/>
        </w:rPr>
        <w:t xml:space="preserve">condamnatul R1, </w:t>
      </w:r>
      <w:r>
        <w:rPr/>
        <w:t>fiul lui ... și ..., născut la data de ...</w:t>
      </w:r>
      <w:r>
        <w:rPr>
          <w:b/>
        </w:rPr>
        <w:t xml:space="preserve">, </w:t>
      </w:r>
      <w:r>
        <w:rPr/>
        <w:t>încarcerat în prezent în penitenciarul .....,</w:t>
      </w:r>
      <w:r>
        <w:rPr>
          <w:b/>
        </w:rPr>
        <w:t xml:space="preserve"> </w:t>
      </w:r>
      <w:r>
        <w:rPr/>
        <w:t xml:space="preserve">împotriva </w:t>
      </w:r>
      <w:r>
        <w:rPr>
          <w:b/>
        </w:rPr>
        <w:t>sentinţei penale nr. SP1/..., pronunţată de JUDECATORIA.... în dosarul nr. D1</w:t>
      </w:r>
      <w:r>
        <w:rPr>
          <w:b/>
          <w:i/>
        </w:rPr>
        <w:t>,</w:t>
      </w:r>
      <w:r>
        <w:rPr/>
        <w:t xml:space="preserve"> </w:t>
      </w:r>
      <w:r>
        <w:rPr>
          <w:b/>
          <w:i/>
        </w:rPr>
        <w:t xml:space="preserve"> </w:t>
      </w:r>
      <w:r>
        <w:rPr/>
        <w:t>sentinţă pe care o menține.</w:t>
      </w:r>
    </w:p>
    <w:p>
      <w:pPr>
        <w:pStyle w:val="Normal"/>
        <w:ind w:firstLine="720"/>
        <w:jc w:val="both"/>
        <w:rPr/>
      </w:pPr>
      <w:r>
        <w:rPr/>
        <w:t xml:space="preserve">În temeiul </w:t>
      </w:r>
      <w:r>
        <w:rPr>
          <w:b/>
        </w:rPr>
        <w:t>art. 275 alin. (2) din Codul de procedură penală</w:t>
      </w:r>
      <w:r>
        <w:rPr/>
        <w:t>, obligă contestatorul la plata sumei de 400 lei reprezentând cheltuieli judiciare către stat.</w:t>
      </w:r>
    </w:p>
    <w:p>
      <w:pPr>
        <w:pStyle w:val="Normal"/>
        <w:ind w:firstLine="720"/>
        <w:jc w:val="both"/>
        <w:rPr/>
      </w:pPr>
      <w:r>
        <w:rPr/>
        <w:t xml:space="preserve">În temeiul </w:t>
      </w:r>
      <w:r>
        <w:rPr>
          <w:b/>
        </w:rPr>
        <w:t>art. 275 alin. (6) din Codul de procedură penală,</w:t>
      </w:r>
      <w:r>
        <w:rPr/>
        <w:t xml:space="preserve"> suma de 720 lei reprezentând onorariul apărătorului desemnat din oficiu pentru apelant, av. ..., conform delegației nr. ...7/02.10.2024, rămâne în sarcina statului și se avansează Baroului ... din fondul Ministerului Justiției.</w:t>
      </w:r>
    </w:p>
    <w:p>
      <w:pPr>
        <w:pStyle w:val="Normal"/>
        <w:ind w:firstLine="720"/>
        <w:jc w:val="both"/>
        <w:rPr/>
      </w:pPr>
      <w:r>
        <w:rPr/>
        <w:t>Definitivă.</w:t>
      </w:r>
    </w:p>
    <w:p>
      <w:pPr>
        <w:pStyle w:val="Normal"/>
        <w:ind w:firstLine="709"/>
        <w:jc w:val="both"/>
        <w:rPr/>
      </w:pPr>
      <w:r>
        <w:rPr/>
        <w:t>Pronunţată astăzi, ..., prin punerea soluţiei la dispoziţia apelantului şi a procurorului prin intermediul grefei instanţei.</w:t>
      </w:r>
    </w:p>
    <w:p>
      <w:pPr>
        <w:pStyle w:val="Normal"/>
        <w:jc w:val="center"/>
        <w:rPr/>
      </w:pPr>
      <w:r>
        <w:rPr/>
      </w:r>
    </w:p>
    <w:p>
      <w:pPr>
        <w:pStyle w:val="Normal"/>
        <w:jc w:val="center"/>
        <w:rPr>
          <w:b/>
        </w:rPr>
      </w:pPr>
      <w:r>
        <w:rPr>
          <w:b/>
        </w:rPr>
        <w:t>PREȘEDINTE,                                                                    JUDECĂTOR,</w:t>
      </w:r>
    </w:p>
    <w:p>
      <w:pPr>
        <w:pStyle w:val="Normal"/>
        <w:jc w:val="center"/>
        <w:rPr>
          <w:b/>
        </w:rPr>
      </w:pPr>
      <w:r>
        <w:rPr>
          <w:b/>
        </w:rPr>
        <w:t xml:space="preserve">              </w:t>
      </w:r>
      <w:r>
        <w:rPr>
          <w:b/>
        </w:rPr>
        <w:t>A0013                                                                                          ....</w:t>
      </w:r>
    </w:p>
    <w:p>
      <w:pPr>
        <w:pStyle w:val="Normal"/>
        <w:rPr>
          <w:b/>
        </w:rPr>
      </w:pPr>
      <w:r>
        <w:rPr>
          <w:b/>
        </w:rPr>
        <w:t xml:space="preserve">    </w:t>
      </w:r>
    </w:p>
    <w:p>
      <w:pPr>
        <w:pStyle w:val="Normal"/>
        <w:jc w:val="center"/>
        <w:rPr>
          <w:b/>
        </w:rPr>
      </w:pPr>
      <w:r>
        <w:rPr>
          <w:b/>
        </w:rPr>
        <w:t>Grefier,</w:t>
      </w:r>
    </w:p>
    <w:p>
      <w:pPr>
        <w:pStyle w:val="Normal"/>
        <w:jc w:val="center"/>
        <w:rPr>
          <w:b/>
        </w:rPr>
      </w:pPr>
      <w:r>
        <w:rPr>
          <w:b/>
        </w:rPr>
        <w:t>.....</w:t>
      </w:r>
    </w:p>
    <w:p>
      <w:pPr>
        <w:pStyle w:val="Normal"/>
        <w:tabs>
          <w:tab w:val="clear" w:pos="720"/>
          <w:tab w:val="left" w:leader="none" w:pos="3915"/>
        </w:tabs>
        <w:rPr>
          <w:sz w:val="16"/>
        </w:rPr>
      </w:pPr>
      <w:r>
        <w:rPr>
          <w:sz w:val="16"/>
        </w:rPr>
      </w:r>
    </w:p>
    <w:p>
      <w:pPr>
        <w:pStyle w:val="Normal"/>
        <w:rPr>
          <w:sz w:val="16"/>
        </w:rPr>
      </w:pPr>
      <w:r>
        <w:rPr>
          <w:sz w:val="16"/>
        </w:rPr>
      </w:r>
    </w:p>
    <w:p>
      <w:pPr>
        <w:pStyle w:val="Normal"/>
        <w:rPr>
          <w:sz w:val="16"/>
        </w:rPr>
      </w:pPr>
      <w:r>
        <w:rPr>
          <w:sz w:val="16"/>
        </w:rPr>
      </w:r>
    </w:p>
    <w:p>
      <w:pPr>
        <w:pStyle w:val="Normal"/>
        <w:rPr>
          <w:i/>
          <w:i/>
          <w:sz w:val="16"/>
        </w:rPr>
      </w:pPr>
      <w:r>
        <w:rPr>
          <w:i/>
          <w:sz w:val="16"/>
        </w:rPr>
        <w:t>dec. red./tehnored. jud. A0013</w:t>
      </w:r>
    </w:p>
    <w:p>
      <w:pPr>
        <w:pStyle w:val="Normal"/>
        <w:rPr>
          <w:i/>
          <w:i/>
          <w:sz w:val="16"/>
        </w:rPr>
      </w:pPr>
      <w:r>
        <w:rPr>
          <w:i/>
          <w:sz w:val="16"/>
        </w:rPr>
        <w:t>2 ex./5...</w:t>
      </w:r>
    </w:p>
    <w:p>
      <w:pPr>
        <w:pStyle w:val="Normal"/>
        <w:rPr>
          <w:i/>
          <w:i/>
          <w:sz w:val="16"/>
        </w:rPr>
      </w:pPr>
      <w:r>
        <w:rPr>
          <w:i/>
          <w:sz w:val="16"/>
        </w:rPr>
        <w:t>Judecătoria ...</w:t>
      </w:r>
    </w:p>
    <w:p>
      <w:pPr>
        <w:pStyle w:val="Normal"/>
        <w:rPr>
          <w:i/>
          <w:i/>
        </w:rPr>
      </w:pPr>
      <w:r>
        <w:rPr>
          <w:i/>
          <w:sz w:val="16"/>
        </w:rPr>
        <w:t xml:space="preserve">                         </w:t>
      </w:r>
    </w:p>
    <w:sectPr>
      <w:footerReference w:type="default" r:id="rId2"/>
      <w:type w:val="nextPage"/>
      <w:pgSz w:w="11906" w:h="16838"/>
      <w:pgMar w:top="1417" w:right="1417" w:bottom="1417" w:left="1417"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Liberation Sans">
    <w:altName w:val="Arial"/>
    <w:charset w:val="00"/>
    <w:family w:val="swiss"/>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3</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TextnBalonCaracter">
    <w:name w:val="Text în Balon Caracter"/>
    <w:link w:val="BalloonText"/>
    <w:qFormat/>
    <w:rPr>
      <w:rFonts w:ascii="Tahoma" w:hAnsi="Tahoma"/>
      <w:sz w:val="16"/>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BalloonText">
    <w:name w:val="Balloon Text"/>
    <w:basedOn w:val="Normal"/>
    <w:link w:val="TextnBalonCaracter"/>
    <w:qFormat/>
    <w:pPr/>
    <w:rPr>
      <w:rFonts w:ascii="Tahoma" w:hAnsi="Tahoma"/>
      <w:sz w:val="16"/>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32</ap:TotalTime>
  <ap:Application>LibreOffice/24.2.7.2$Linux_X86_64 LibreOffice_project/420$Build-2</ap:Application>
  <ap:AppVersion>15.0000</ap:AppVersion>
  <ap:Pages>3</ap:Pages>
  <ap:Words>1295</ap:Words>
  <ap:Characters>7192</ap:Characters>
  <ap:CharactersWithSpaces>8644</ap:CharactersWithSpaces>
  <ap:Paragraphs>59</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2024-11-05T12:02:00.0000000Z</lastPrinted>
  <revision/>
  <dc:subject/>
  <dc:title/>
  <keywords/>
  <category/>
  <contentStatus/>
  <dc:identifier/>
  <version/>
</coreProperties>
</file>