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264B0" w14:paraId="0BA859F9" w14:textId="1621319D">
      <w:pPr>
        <w:jc w:val="center"/>
        <w:rPr>
          <w:rStyle w:val="Fontdeparagrafimplicit"/>
          <w:b/>
        </w:rPr>
      </w:pPr>
      <w:r>
        <w:rPr>
          <w:rStyle w:val="Fontdeparagrafimplicit"/>
          <w:b/>
        </w:rPr>
        <w:t xml:space="preserve">                                                                                                 Hotărârea 17</w:t>
      </w:r>
    </w:p>
    <w:p w:rsidR="00240F1E" w14:paraId="6FEC9710" w14:textId="1750A3CB">
      <w:pPr>
        <w:jc w:val="center"/>
        <w:rPr>
          <w:rStyle w:val="Fontdeparagrafimplicit"/>
          <w:b/>
        </w:rPr>
      </w:pPr>
      <w:r>
        <w:rPr>
          <w:rStyle w:val="Fontdeparagrafimplicit"/>
          <w:b/>
        </w:rPr>
        <w:t>R O M Â N I A</w:t>
      </w:r>
    </w:p>
    <w:p w:rsidR="00240F1E" w14:paraId="626C37A6" w14:textId="1608E8E5">
      <w:pPr>
        <w:jc w:val="center"/>
        <w:rPr>
          <w:rStyle w:val="Fontdeparagrafimplicit"/>
          <w:b/>
        </w:rPr>
      </w:pPr>
      <w:r>
        <w:rPr>
          <w:rStyle w:val="Fontdeparagrafimplicit"/>
          <w:b/>
        </w:rPr>
        <w:t xml:space="preserve">CURTEA DE APEL </w:t>
      </w:r>
      <w:r w:rsidR="0014112D">
        <w:rPr>
          <w:rStyle w:val="Fontdeparagrafimplicit"/>
          <w:b/>
        </w:rPr>
        <w:t>...X...</w:t>
      </w:r>
    </w:p>
    <w:p w:rsidR="00240F1E" w14:paraId="6C9FB870" w14:textId="6084A92A">
      <w:pPr>
        <w:jc w:val="center"/>
        <w:rPr>
          <w:rStyle w:val="Fontdeparagrafimplicit"/>
          <w:b/>
        </w:rPr>
      </w:pPr>
      <w:r>
        <w:rPr>
          <w:rStyle w:val="Fontdeparagrafimplicit"/>
          <w:b/>
        </w:rPr>
        <w:t xml:space="preserve">SECŢIA </w:t>
      </w:r>
      <w:r w:rsidR="0014112D">
        <w:rPr>
          <w:rStyle w:val="Fontdeparagrafimplicit"/>
          <w:b/>
        </w:rPr>
        <w:t>........</w:t>
      </w:r>
      <w:r>
        <w:rPr>
          <w:rStyle w:val="Fontdeparagrafimplicit"/>
          <w:b/>
        </w:rPr>
        <w:t xml:space="preserve"> CONTENCIOS ADMINISTRATIV ŞI FISCAL</w:t>
      </w:r>
    </w:p>
    <w:p w:rsidR="00240F1E" w14:paraId="4673986C" w14:textId="77777777">
      <w:pPr>
        <w:rPr>
          <w:rStyle w:val="Fontdeparagrafimplicit"/>
          <w:b/>
        </w:rPr>
      </w:pPr>
    </w:p>
    <w:p w:rsidR="00240F1E" w14:paraId="5BAB4B43" w14:textId="1B872F31">
      <w:pPr>
        <w:rPr>
          <w:rStyle w:val="Fontdeparagrafimplicit"/>
          <w:b/>
        </w:rPr>
      </w:pPr>
      <w:r>
        <w:rPr>
          <w:rStyle w:val="Fontdeparagrafimplicit"/>
          <w:b/>
        </w:rPr>
        <w:t>DOSAR NR.</w:t>
      </w:r>
      <w:r w:rsidR="0014112D">
        <w:rPr>
          <w:rStyle w:val="Fontdeparagrafimplicit"/>
          <w:b/>
        </w:rPr>
        <w:t>...../.../2024</w:t>
      </w:r>
    </w:p>
    <w:p w:rsidR="00240F1E" w14:paraId="557335FC" w14:textId="77777777">
      <w:pPr>
        <w:jc w:val="center"/>
        <w:rPr>
          <w:rStyle w:val="Fontdeparagrafimplicit"/>
          <w:b/>
        </w:rPr>
      </w:pPr>
    </w:p>
    <w:p w:rsidR="00240F1E" w14:paraId="3FEAECEC" w14:textId="335504B7">
      <w:pPr>
        <w:jc w:val="center"/>
        <w:rPr>
          <w:rStyle w:val="Fontdeparagrafimplicit"/>
          <w:b/>
        </w:rPr>
      </w:pPr>
      <w:r>
        <w:rPr>
          <w:rStyle w:val="Fontdeparagrafimplicit"/>
          <w:b/>
        </w:rPr>
        <w:t>DECIZIA  CIVILĂ NR.</w:t>
      </w:r>
      <w:r w:rsidR="0014112D">
        <w:rPr>
          <w:rStyle w:val="Fontdeparagrafimplicit"/>
          <w:b/>
        </w:rPr>
        <w:t>.....</w:t>
      </w:r>
    </w:p>
    <w:p w:rsidR="00240F1E" w14:paraId="328FF48C" w14:textId="40A8B546">
      <w:pPr>
        <w:jc w:val="center"/>
        <w:rPr>
          <w:rStyle w:val="Fontdeparagrafimplicit"/>
          <w:b/>
        </w:rPr>
      </w:pPr>
      <w:r>
        <w:rPr>
          <w:rStyle w:val="Fontdeparagrafimplicit"/>
          <w:b/>
        </w:rPr>
        <w:t xml:space="preserve">ŞEDINŢA PUBLICĂ  DE LA </w:t>
      </w:r>
      <w:r w:rsidR="0014112D">
        <w:rPr>
          <w:rStyle w:val="Fontdeparagrafimplicit"/>
          <w:b/>
        </w:rPr>
        <w:t>................</w:t>
      </w:r>
    </w:p>
    <w:p w:rsidR="00240F1E" w14:paraId="57A57E64" w14:textId="77777777">
      <w:pPr>
        <w:jc w:val="center"/>
        <w:rPr>
          <w:rStyle w:val="Fontdeparagrafimplicit"/>
          <w:b/>
        </w:rPr>
      </w:pPr>
      <w:r>
        <w:rPr>
          <w:rStyle w:val="Fontdeparagrafimplicit"/>
          <w:b/>
        </w:rPr>
        <w:t>CURTEA CONSTITUITĂ DIN:</w:t>
      </w:r>
    </w:p>
    <w:p w:rsidR="00240F1E" w14:paraId="02EEB2E0" w14:textId="4256E6E7">
      <w:pPr>
        <w:jc w:val="center"/>
        <w:rPr>
          <w:rStyle w:val="Fontdeparagrafimplicit"/>
          <w:b/>
        </w:rPr>
      </w:pPr>
      <w:r>
        <w:rPr>
          <w:rStyle w:val="Fontdeparagrafimplicit"/>
          <w:b/>
        </w:rPr>
        <w:t xml:space="preserve">PREŞEDINTE -  </w:t>
      </w:r>
      <w:r w:rsidR="0014112D">
        <w:rPr>
          <w:rStyle w:val="Fontdeparagrafimplicit"/>
          <w:b/>
        </w:rPr>
        <w:t>A0005</w:t>
      </w:r>
    </w:p>
    <w:p w:rsidR="00240F1E" w14:paraId="1A50E81C" w14:textId="3B0EA1EB">
      <w:pPr>
        <w:jc w:val="center"/>
        <w:rPr>
          <w:rStyle w:val="Fontdeparagrafimplicit"/>
          <w:b/>
        </w:rPr>
      </w:pPr>
      <w:r>
        <w:rPr>
          <w:rStyle w:val="Fontdeparagrafimplicit"/>
          <w:b/>
        </w:rPr>
        <w:t xml:space="preserve">JUDECĂTOR -  </w:t>
      </w:r>
      <w:r w:rsidR="0014112D">
        <w:rPr>
          <w:rStyle w:val="Fontdeparagrafimplicit"/>
          <w:b/>
        </w:rPr>
        <w:t>................</w:t>
      </w:r>
    </w:p>
    <w:p w:rsidR="00240F1E" w14:paraId="2CE53E83" w14:textId="766143B4">
      <w:pPr>
        <w:jc w:val="center"/>
        <w:rPr>
          <w:rStyle w:val="Fontdeparagrafimplicit"/>
          <w:b/>
        </w:rPr>
      </w:pPr>
      <w:r>
        <w:rPr>
          <w:rStyle w:val="Fontdeparagrafimplicit"/>
          <w:b/>
        </w:rPr>
        <w:t xml:space="preserve">JUDECĂTOR -  </w:t>
      </w:r>
      <w:r w:rsidR="0014112D">
        <w:rPr>
          <w:rStyle w:val="Fontdeparagrafimplicit"/>
          <w:b/>
        </w:rPr>
        <w:t>................</w:t>
      </w:r>
    </w:p>
    <w:p w:rsidR="00240F1E" w14:paraId="719BE4E1" w14:textId="238DDEE6">
      <w:pPr>
        <w:jc w:val="center"/>
        <w:rPr>
          <w:rStyle w:val="Fontdeparagrafimplicit"/>
          <w:b/>
        </w:rPr>
      </w:pPr>
      <w:r>
        <w:rPr>
          <w:rStyle w:val="Fontdeparagrafimplicit"/>
          <w:b/>
        </w:rPr>
        <w:t xml:space="preserve">GREFIER -  </w:t>
      </w:r>
      <w:r w:rsidR="0014112D">
        <w:rPr>
          <w:rStyle w:val="Fontdeparagrafimplicit"/>
          <w:b/>
        </w:rPr>
        <w:t>................</w:t>
      </w:r>
    </w:p>
    <w:p w:rsidR="00240F1E" w14:paraId="04A87BE9" w14:textId="77777777">
      <w:pPr>
        <w:jc w:val="center"/>
        <w:rPr>
          <w:rStyle w:val="Fontdeparagrafimplicit"/>
          <w:b/>
        </w:rPr>
      </w:pPr>
    </w:p>
    <w:p w:rsidR="00240F1E" w14:paraId="4EA649F9" w14:textId="65FDAEB8">
      <w:pPr>
        <w:tabs>
          <w:tab w:val="left" w:pos="709"/>
        </w:tabs>
        <w:jc w:val="both"/>
      </w:pPr>
      <w:r>
        <w:t xml:space="preserve">           Pe rol judecarea cauzei de contencios administrativ şi fiscal privind r</w:t>
      </w:r>
      <w:r>
        <w:t xml:space="preserve">ecursul declarat de recurentul-reclamant </w:t>
      </w:r>
      <w:r w:rsidR="00812DED">
        <w:rPr>
          <w:rStyle w:val="Fontdeparagrafimplicit"/>
          <w:b/>
        </w:rPr>
        <w:t>...Y...</w:t>
      </w:r>
      <w:r>
        <w:t xml:space="preserve">, împotriva sentinţei civile nr. </w:t>
      </w:r>
      <w:r w:rsidR="00812DED">
        <w:t>..... din ...............</w:t>
      </w:r>
      <w:r>
        <w:t xml:space="preserve">, pronunţată de Tribunalul </w:t>
      </w:r>
      <w:r w:rsidR="00812DED">
        <w:t>...A...</w:t>
      </w:r>
      <w:r>
        <w:t xml:space="preserve"> – secţia civilă, în dosarul nr. </w:t>
      </w:r>
      <w:r w:rsidR="0014112D">
        <w:t>...../.../2024</w:t>
      </w:r>
      <w:r>
        <w:t xml:space="preserve">, în contradictoriu cu </w:t>
      </w:r>
      <w:bookmarkStart w:name="_Hlk177115571" w:id="0"/>
      <w:r>
        <w:t xml:space="preserve">intimaţii-pârâţi </w:t>
      </w:r>
      <w:r>
        <w:rPr>
          <w:rStyle w:val="Fontdeparagrafimplicit"/>
          <w:b/>
        </w:rPr>
        <w:t xml:space="preserve">Municipiul </w:t>
      </w:r>
      <w:r w:rsidR="00812DED">
        <w:rPr>
          <w:rStyle w:val="Fontdeparagrafimplicit"/>
          <w:b/>
        </w:rPr>
        <w:t>...B...</w:t>
      </w:r>
      <w:r>
        <w:rPr>
          <w:rStyle w:val="Fontdeparagrafimplicit"/>
          <w:b/>
        </w:rPr>
        <w:t>, Consiliul</w:t>
      </w:r>
      <w:r>
        <w:rPr>
          <w:rStyle w:val="Fontdeparagrafimplicit"/>
          <w:b/>
        </w:rPr>
        <w:t xml:space="preserve"> Local </w:t>
      </w:r>
      <w:r w:rsidR="00812DED">
        <w:rPr>
          <w:rStyle w:val="Fontdeparagrafimplicit"/>
          <w:b/>
        </w:rPr>
        <w:t>...B...</w:t>
      </w:r>
      <w:r>
        <w:rPr>
          <w:rStyle w:val="Fontdeparagrafimplicit"/>
          <w:b/>
        </w:rPr>
        <w:t xml:space="preserve">, Primarul Municipiului </w:t>
      </w:r>
      <w:r w:rsidR="00812DED">
        <w:rPr>
          <w:rStyle w:val="Fontdeparagrafimplicit"/>
          <w:b/>
        </w:rPr>
        <w:t>...B...</w:t>
      </w:r>
      <w:r>
        <w:rPr>
          <w:rStyle w:val="Fontdeparagrafimplicit"/>
          <w:b/>
        </w:rPr>
        <w:t xml:space="preserve"> şi Direcţia de Asistenţă Socială </w:t>
      </w:r>
      <w:r w:rsidR="00812DED">
        <w:rPr>
          <w:rStyle w:val="Fontdeparagrafimplicit"/>
          <w:b/>
        </w:rPr>
        <w:t>...B...</w:t>
      </w:r>
      <w:bookmarkEnd w:id="0"/>
      <w:r>
        <w:t>, având ca obiect „suspendare executare act administrativ”.</w:t>
      </w:r>
    </w:p>
    <w:p w:rsidR="00240F1E" w14:paraId="5C70B55D" w14:textId="758FF4C9">
      <w:pPr>
        <w:ind w:right="23"/>
        <w:jc w:val="both"/>
      </w:pPr>
      <w:r>
        <w:rPr>
          <w:rStyle w:val="Fontdeparagrafimplicit"/>
          <w:b/>
        </w:rPr>
        <w:tab/>
      </w:r>
      <w:r>
        <w:t xml:space="preserve">La apelul  nominal făcut în şedinţă publică, în ordinea listei de şedinţă, au răspuns recurentul-reclamant </w:t>
      </w:r>
      <w:r w:rsidR="00812DED">
        <w:t>...Y...</w:t>
      </w:r>
      <w:r>
        <w:t xml:space="preserve">, prin avocat în baza împuternicirii avocaţiale aflată  la dosar şi intimaţii-pârâţi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toţi prin avocat, în baza împuternicirii avocaţia</w:t>
      </w:r>
      <w:r>
        <w:t xml:space="preserve">le pe care o depune la dosar. </w:t>
      </w:r>
    </w:p>
    <w:p w:rsidR="00240F1E" w14:paraId="6AEA9DCE" w14:textId="77777777">
      <w:pPr>
        <w:jc w:val="both"/>
      </w:pPr>
      <w:r>
        <w:t xml:space="preserve">           Procedura de citare este legal îndeplinită.</w:t>
      </w:r>
    </w:p>
    <w:p w:rsidR="00240F1E" w14:paraId="45B4CCB0" w14:textId="1E3D64FD">
      <w:pPr>
        <w:jc w:val="both"/>
      </w:pPr>
      <w:r>
        <w:t xml:space="preserve">           S-a făcut referatul cauzei de către grefierul de şedinţă, care învederează Curţii faptul că la data de 22.04.2024 prin serviciul registratură s-a depus de cătr</w:t>
      </w:r>
      <w:r>
        <w:t xml:space="preserve">e intimaţii-pârâţi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întâmpinare 2 exemplare email cât şi dovada cheltuielilor de judecată.</w:t>
      </w:r>
    </w:p>
    <w:p w:rsidR="00240F1E" w14:paraId="441D68A9" w14:textId="35BB33D4">
      <w:pPr>
        <w:jc w:val="both"/>
      </w:pPr>
      <w:r>
        <w:tab/>
        <w:t xml:space="preserve">Recurentul-reclamant </w:t>
      </w:r>
      <w:r w:rsidR="00812DED">
        <w:t>...Y...</w:t>
      </w:r>
      <w:r>
        <w:t>, prin avocat depune</w:t>
      </w:r>
      <w:r>
        <w:t xml:space="preserve"> la dosar nota de cheltuieli reprezentând  onorariu de avocat şi cheltuieli de deplasare.</w:t>
      </w:r>
    </w:p>
    <w:p w:rsidR="00240F1E" w14:paraId="3744E460" w14:textId="77777777">
      <w:pPr>
        <w:jc w:val="both"/>
      </w:pPr>
      <w:r>
        <w:tab/>
        <w:t>Curtea comunică recurentului-reclamant prin avocat un exemplar al întâmpinării depuse la dosarul cauzei de către  intimaţii-pârâţi.</w:t>
      </w:r>
    </w:p>
    <w:p w:rsidR="00240F1E" w14:paraId="68FA0D91" w14:textId="77777777">
      <w:pPr>
        <w:jc w:val="both"/>
      </w:pPr>
      <w:r>
        <w:tab/>
        <w:t>Recurentul-reclamant prin avocat</w:t>
      </w:r>
      <w:r>
        <w:t xml:space="preserve"> învederează Curţii faptul că nu doreşte amânarea pentru a lua cunoştinţă de conţinutul întâmpinării ci doreşte să se judece cauza.</w:t>
      </w:r>
    </w:p>
    <w:p w:rsidR="00240F1E" w14:paraId="5BE75395" w14:textId="77777777">
      <w:pPr>
        <w:jc w:val="both"/>
      </w:pPr>
      <w:r>
        <w:tab/>
        <w:t>La interpelarea expresă a Curţii dacă mai sunt cereri prealabile de formulat sau excepţii de invocat, părţile având cuvântu</w:t>
      </w:r>
      <w:r>
        <w:t>l pe rând prin avocat, arată că nu au cereri prealabile de formulat sau excepţii de invocat.</w:t>
      </w:r>
    </w:p>
    <w:p w:rsidR="00240F1E" w14:paraId="547E6826" w14:textId="77777777">
      <w:pPr>
        <w:jc w:val="both"/>
      </w:pPr>
      <w:r>
        <w:tab/>
        <w:t>Nemaifiind cereri prealabile de formulat sau excepţii de invocat Curtea acordă cuvântul pe probe.</w:t>
      </w:r>
    </w:p>
    <w:p w:rsidR="00240F1E" w14:paraId="106E5EA9" w14:textId="77777777">
      <w:pPr>
        <w:jc w:val="both"/>
      </w:pPr>
      <w:r>
        <w:t xml:space="preserve">            Recurentul-reclamant prin avocat  solicită  încuviin</w:t>
      </w:r>
      <w:r>
        <w:t>ţarea   probei cu înscrisurile aflate la dosarul cauzei şi să se aibă în vedere cheltuielile de judecată la care a făcut referire.</w:t>
      </w:r>
    </w:p>
    <w:p w:rsidR="00240F1E" w14:paraId="75323F99" w14:textId="58F0E6EB">
      <w:pPr>
        <w:jc w:val="both"/>
      </w:pPr>
      <w:r>
        <w:tab/>
        <w:t xml:space="preserve">Intimaţii-pârâţi Municipiul </w:t>
      </w:r>
      <w:r w:rsidR="00812DED">
        <w:t>...B...</w:t>
      </w:r>
      <w:r>
        <w:t xml:space="preserve">, Consiliul Local </w:t>
      </w:r>
      <w:r w:rsidR="00812DED">
        <w:t>...B...</w:t>
      </w:r>
      <w:r>
        <w:t xml:space="preserve">, Primarul Municipiului </w:t>
      </w:r>
      <w:r w:rsidR="00812DED">
        <w:t>...B...</w:t>
      </w:r>
      <w:r>
        <w:t xml:space="preserve"> şi Direcţia de Asistenţă Socială</w:t>
      </w:r>
      <w:r>
        <w:t xml:space="preserve"> </w:t>
      </w:r>
      <w:r w:rsidR="00812DED">
        <w:t>...B...</w:t>
      </w:r>
      <w:r>
        <w:t xml:space="preserve">, prin avocat precizează  faptul că au depus cheltuielile de judecată prin email  fiind cele de la Tribunalul </w:t>
      </w:r>
      <w:r w:rsidR="00812DED">
        <w:t>...A...</w:t>
      </w:r>
      <w:r>
        <w:t>, întrucât pentru cele din faţa Curţii de Apel nu s-a efectuat plata, deci nu poate face dovada decât pe cale separată ulterior. So</w:t>
      </w:r>
      <w:r>
        <w:t>licită încuviințarea probei cu înscrisurile aflate la dosarul cauzei.</w:t>
      </w:r>
    </w:p>
    <w:p w:rsidR="00240F1E" w14:paraId="23BED85B" w14:textId="77777777">
      <w:pPr>
        <w:jc w:val="both"/>
      </w:pPr>
      <w:r>
        <w:tab/>
        <w:t xml:space="preserve">Curtea comunică recurentului-reclamant prin avocat cuantumul cheltuielilor de judecată depuse de intimaţii-pârâţi în sumă de 8444 lei cu TVA ajungând la o sumă aproximativă  de 10.000 </w:t>
      </w:r>
      <w:r>
        <w:t>lei.</w:t>
      </w:r>
    </w:p>
    <w:p w:rsidR="00240F1E" w14:paraId="6B7ED3A1" w14:textId="77777777">
      <w:pPr>
        <w:ind w:right="23" w:firstLine="708"/>
        <w:jc w:val="both"/>
      </w:pPr>
      <w:r>
        <w:t>Curtea, în urma deliberării asupra probatoriului solicitat, apreciază ca fiind concludentă şi utilă cauzei proba cu înscrisurile depuse la dosar şi o admite în temeiul art.255 şi următoarele NCPC.</w:t>
      </w:r>
    </w:p>
    <w:p w:rsidR="00240F1E" w14:paraId="7B89A6A5" w14:textId="77777777">
      <w:pPr>
        <w:ind w:firstLine="708"/>
        <w:jc w:val="both"/>
      </w:pPr>
      <w:r>
        <w:t>Nemaifiind cereri de formulat, excepţii de invocat sau</w:t>
      </w:r>
      <w:r>
        <w:t xml:space="preserve"> probe de administrat, Curtea constată cauza în stare de judecată şi acordă cuvântul pe recursul formulat. </w:t>
      </w:r>
    </w:p>
    <w:p w:rsidR="00240F1E" w14:paraId="6ACAFC27" w14:textId="77777777">
      <w:pPr>
        <w:jc w:val="both"/>
      </w:pPr>
      <w:r>
        <w:tab/>
        <w:t>Recurentul-reclamant, prin avocat, solicită admiterea recursului  astfel cum a fost formulat pentru motivele expuse pe larg în cuprinsul cererii de</w:t>
      </w:r>
      <w:r>
        <w:t xml:space="preserve"> recurs, cu precizarea că se va referi în pledoaria sa mai întâi la excepție, apoi la argumentele de fond, urmând să detalieze punctual  principalele argumente pentru fiecare motiv.</w:t>
      </w:r>
    </w:p>
    <w:p w:rsidR="00240F1E" w14:paraId="083859E2" w14:textId="77777777">
      <w:pPr>
        <w:jc w:val="both"/>
      </w:pPr>
      <w:r>
        <w:t xml:space="preserve"> </w:t>
      </w:r>
      <w:r>
        <w:tab/>
        <w:t>În ceea ce privește admiterea excepției lipsei calității procesuale pasi</w:t>
      </w:r>
      <w:r>
        <w:t>ve, instanţa de fond practic a stabilit că raporturile în acest litigiu de contencios administrativ se stabilesc strict între emitentul și destinatarul actului și atât.</w:t>
      </w:r>
    </w:p>
    <w:p w:rsidR="00240F1E" w14:paraId="74DCF45C" w14:textId="3E902410">
      <w:pPr>
        <w:jc w:val="both"/>
      </w:pPr>
      <w:r>
        <w:tab/>
        <w:t xml:space="preserve"> Or, în acest sens, are dispoziții exprese în codul administrativ care au fost interpr</w:t>
      </w:r>
      <w:r>
        <w:t xml:space="preserve">etate eronat și care stabilesc contrarul, în special, articolul 96 alin.3, care prevede că Municipiul </w:t>
      </w:r>
      <w:r w:rsidR="00812DED">
        <w:t>...B...</w:t>
      </w:r>
      <w:r>
        <w:t xml:space="preserve"> este persoana juridică titulară a drepturilor și obligațiilor care decurg din raportul juridic cu persoanele fizice, asta în primul rând. Și în al</w:t>
      </w:r>
      <w:r>
        <w:t xml:space="preserve"> doilea rând, având în vedere, tocmai discutând despre pretenţiile pecuniare ale părților, municipiul </w:t>
      </w:r>
      <w:r w:rsidR="00812DED">
        <w:t>...B...</w:t>
      </w:r>
      <w:r>
        <w:t xml:space="preserve"> este singura persoană juridică de drept public împrocesată, în litigiu, care are și patrimoniu propriu și care poate să suporte cheltuieli de jude</w:t>
      </w:r>
      <w:r>
        <w:t>cată în cauză.</w:t>
      </w:r>
    </w:p>
    <w:p w:rsidR="00240F1E" w14:paraId="5B9775A4" w14:textId="16153E83">
      <w:pPr>
        <w:ind w:firstLine="708"/>
        <w:jc w:val="both"/>
      </w:pPr>
      <w:r>
        <w:t xml:space="preserve"> Astfel, din punctul său de vedere, în ceea ce privește municipiul </w:t>
      </w:r>
      <w:r w:rsidR="00812DED">
        <w:t>...B...</w:t>
      </w:r>
      <w:r>
        <w:t>, argumentele sunt extrem de clare, că trebuie împrocesată și există două principale argumente, cele pe care le-a prezentat anterior,</w:t>
      </w:r>
    </w:p>
    <w:p w:rsidR="00240F1E" w14:paraId="5C88F71B" w14:textId="77777777">
      <w:pPr>
        <w:ind w:firstLine="708"/>
        <w:jc w:val="both"/>
      </w:pPr>
      <w:r>
        <w:t>În ceea ce privește Consiliul Loc</w:t>
      </w:r>
      <w:r>
        <w:t>al, consideră că articolul 129 alin. (2), litera D și alin. 27 sunt edificatoare în acest sens, pentru că Consiliul Local este autoritatea care are legal atribuții în ceea ce privește gestionarea serviciului de asistență socială la nivelul fiecărui municip</w:t>
      </w:r>
      <w:r>
        <w:t xml:space="preserve">iu. </w:t>
      </w:r>
    </w:p>
    <w:p w:rsidR="00240F1E" w14:paraId="0D7CC18B" w14:textId="77777777">
      <w:pPr>
        <w:ind w:firstLine="708"/>
        <w:jc w:val="both"/>
      </w:pPr>
      <w:r>
        <w:t>Or, faptul că alege sau nu să constituie în subordinea sa niște direcții sau servicii care să gestioneze mai îndeaproape această chestiune nu face ca faptul, că legal ei sunt cei responsabili de gestionarea lui, să nu mai prezinte relevanță, sunt orga</w:t>
      </w:r>
      <w:r>
        <w:t>nizate în subordine, trebuie să răspundă pentru toate actele Direcției de Asistență Socială.</w:t>
      </w:r>
    </w:p>
    <w:p w:rsidR="00240F1E" w14:paraId="0619B935" w14:textId="77777777">
      <w:pPr>
        <w:jc w:val="both"/>
      </w:pPr>
      <w:r>
        <w:tab/>
        <w:t xml:space="preserve">La interpelarea expresă a Curţii dacă această direcție are personalitate juridică şi dacă este subordinea Consiliului Local, </w:t>
      </w:r>
    </w:p>
    <w:p w:rsidR="00240F1E" w14:paraId="23E2D337" w14:textId="3427D6A5">
      <w:pPr>
        <w:ind w:firstLine="708"/>
        <w:jc w:val="both"/>
      </w:pPr>
      <w:r>
        <w:t xml:space="preserve">Intimaţii-pârâţi Municipiul </w:t>
      </w:r>
      <w:r w:rsidR="00812DED">
        <w:t>...B...</w:t>
      </w:r>
      <w:r>
        <w:t>,</w:t>
      </w:r>
      <w:r>
        <w:t xml:space="preserve"> Consiliul Local </w:t>
      </w:r>
      <w:r w:rsidR="00812DED">
        <w:t>...B...</w:t>
      </w:r>
      <w:r>
        <w:t xml:space="preserve">, Primarul Municipiului </w:t>
      </w:r>
      <w:r w:rsidR="00812DED">
        <w:t>...B...</w:t>
      </w:r>
      <w:r>
        <w:t xml:space="preserve"> şi Direcţia de Asistenţă Socială </w:t>
      </w:r>
      <w:r w:rsidR="00812DED">
        <w:t>...B...</w:t>
      </w:r>
      <w:r>
        <w:t>, prin avocat, arată că da, are personalitate juridică şi este subordinea Consiliului Local.</w:t>
      </w:r>
    </w:p>
    <w:p w:rsidR="00240F1E" w14:paraId="4FCD97DB" w14:textId="125E1207">
      <w:pPr>
        <w:ind w:firstLine="708"/>
        <w:jc w:val="both"/>
      </w:pPr>
      <w:r>
        <w:t>Curtea ia act de precizarea  intimaților-pârâți, prin avocat, că Di</w:t>
      </w:r>
      <w:r>
        <w:t xml:space="preserve">recţia de Asistenţă Socială </w:t>
      </w:r>
      <w:r w:rsidR="00812DED">
        <w:t>...B...</w:t>
      </w:r>
      <w:r>
        <w:t xml:space="preserve"> este o instituție publică.</w:t>
      </w:r>
    </w:p>
    <w:p w:rsidR="00240F1E" w14:paraId="1D479336" w14:textId="50B32556">
      <w:pPr>
        <w:ind w:firstLine="708"/>
        <w:jc w:val="both"/>
      </w:pPr>
      <w:r>
        <w:t xml:space="preserve">Recurentul-reclamant prin avocat învederează faptul că înţelege acest aspect şi tocmai de aceea a depus și hotărârea pe care a găsit-o la Tribunalul </w:t>
      </w:r>
      <w:r w:rsidR="00F375E0">
        <w:t>...C...</w:t>
      </w:r>
      <w:r>
        <w:t>, în care o situație era identică, do</w:t>
      </w:r>
      <w:r>
        <w:t>ar că era vorba de serviciul public de gestionare a parcărilor și Tribunalul a validat teza sa și a spus că atât timp cât Consiliul Local potrivi legii trebuie să răspundă de organizarea acestui serviciu, are și el personalitate, nu neagă răspunderea servi</w:t>
      </w:r>
      <w:r>
        <w:t>ciului/direcției care se află subordine.</w:t>
      </w:r>
    </w:p>
    <w:p w:rsidR="00240F1E" w14:paraId="5DE7529C" w14:textId="0E7D55D0">
      <w:pPr>
        <w:ind w:firstLine="708"/>
        <w:jc w:val="both"/>
      </w:pPr>
      <w:r>
        <w:t xml:space="preserve">În ceea ce privește argumentele de fond, respectiv îndeplinirea celor două condiții pentru suspendarea deciziei de detașare, astfel cum a subliniat și în fața Tribunalului </w:t>
      </w:r>
      <w:r w:rsidR="00812DED">
        <w:t>...A...</w:t>
      </w:r>
      <w:r>
        <w:t>, starea de fapt este destul de clar</w:t>
      </w:r>
      <w:r>
        <w:t xml:space="preserve">ă, are un om cu pregătire în domeniul informaticii și cu o diplomă de licență în drept,  lucrează într-un compartiment subdimensionat în care mai are un singur alt coleg care trebuie să gestioneze întregul aparat de specialitate al primarului din punct de </w:t>
      </w:r>
      <w:r>
        <w:t xml:space="preserve">vedere tehnic și informatic, care a fost ales pentru motive pe care nu le știe, să fie detașat în cadrul unui direcții pentru care nu are niciun fel de pregătire profesională, pe o perioadă incertă, primind un salariu mai mic. </w:t>
      </w:r>
    </w:p>
    <w:p w:rsidR="00240F1E" w14:paraId="0E591C44" w14:textId="77777777">
      <w:pPr>
        <w:ind w:firstLine="708"/>
        <w:jc w:val="both"/>
      </w:pPr>
      <w:r>
        <w:t>Totuși, instanța de fond a c</w:t>
      </w:r>
      <w:r>
        <w:t xml:space="preserve">onsiderat că nu există niciun fel de aparență de nelegalitate și nici o pagubă, cel puțin la o primă vedere și la o pipăire a fondului, care să rezulte până și numai </w:t>
      </w:r>
      <w:r>
        <w:t>din această stare de fapt. Din perspectiva sa este evident că nu este doar în prezența unu</w:t>
      </w:r>
      <w:r>
        <w:t>i caz temeinic justificat, a unui element al pagubei iminente, ci din contră, are patru, respectiv două, argumente pentru îndeplinirea fiecăreia dintre cele două condiții și din perspectiva sa, în măsura în care instanța va constata că doar una este îndepl</w:t>
      </w:r>
      <w:r>
        <w:t xml:space="preserve">inită, este suficient pentru ca această cerere să fie admisă. </w:t>
      </w:r>
    </w:p>
    <w:p w:rsidR="00240F1E" w14:paraId="0B9E1E45" w14:textId="77777777">
      <w:pPr>
        <w:ind w:firstLine="708"/>
        <w:jc w:val="both"/>
      </w:pPr>
      <w:r>
        <w:t>În ceea ce privește cazul temeinic justificat, a prezentat patru motive mari pentru care această cerere se impune a fi admisă.</w:t>
      </w:r>
    </w:p>
    <w:p w:rsidR="00240F1E" w14:paraId="4BFBEE12" w14:textId="77777777">
      <w:pPr>
        <w:ind w:firstLine="708"/>
        <w:jc w:val="both"/>
      </w:pPr>
      <w:r>
        <w:t>Cea mai evidentă este durata incerta a măsurii, practic, legea est</w:t>
      </w:r>
      <w:r>
        <w:t>e extrem de clară în acest sens, actul administrativ de modificare a raporturilor de serviciu trebuie să conține în mod obligatoriu perioada pentru care se dispune.  Sancțiunea prevăzută de lege în acest sens fiind nulitatea, actul lasă  să se vadă evident</w:t>
      </w:r>
      <w:r>
        <w:t xml:space="preserve"> cât de gravă este nerespectarea acestei condiții în optica legiuitorului. În situația de față, să stipulezi că măsura detașării se dispune pe o perioadă de până la șase luni, e la fel de determinat cu a condamna un om la închisoare de la 10 la 20 de ani s</w:t>
      </w:r>
      <w:r>
        <w:t>au detenția pe viată.</w:t>
      </w:r>
    </w:p>
    <w:p w:rsidR="00240F1E" w14:paraId="1AE8FA70" w14:textId="77777777">
      <w:pPr>
        <w:ind w:firstLine="708"/>
        <w:jc w:val="both"/>
      </w:pPr>
      <w:r>
        <w:t xml:space="preserve"> În mod evident, nu se  vorbeşte de o măsură determinată sau de durată care să fie efectiv stabilită și tocmai în acest sens a formulat și o adresă către ANFP ca să vadă dacă măcar în optica acestei autorități condiția este îndeplinit</w:t>
      </w:r>
      <w:r>
        <w:t xml:space="preserve">ă și răspunsul lor a fost de asemenea că nu. </w:t>
      </w:r>
    </w:p>
    <w:p w:rsidR="00240F1E" w14:paraId="76DC629E" w14:textId="5004B405">
      <w:pPr>
        <w:ind w:firstLine="708"/>
        <w:jc w:val="both"/>
      </w:pPr>
      <w:r>
        <w:t xml:space="preserve">Tocmai argumentul instanței de fond în sensul legalității acestei măsuri arată de ce de fapt actul nu este legal și respectiv Tribunalul </w:t>
      </w:r>
      <w:r w:rsidR="00812DED">
        <w:t>...A...</w:t>
      </w:r>
      <w:r>
        <w:t xml:space="preserve"> a spus că această metodă de stabilire a duratei, adică de a nu st</w:t>
      </w:r>
      <w:r>
        <w:t>abili durata, dă autorității prerogativa de a putea să revină asupra măsurii. Or, tocmai asta încearcă legea să împiedice prin a stabili o durată certă.  Nu se pot modifica unilateral raporturile de muncă după bunul plac al instituțiilor publice.</w:t>
      </w:r>
    </w:p>
    <w:p w:rsidR="00240F1E" w14:paraId="7FC02F9F" w14:textId="77777777">
      <w:pPr>
        <w:jc w:val="both"/>
      </w:pPr>
      <w:r>
        <w:tab/>
        <w:t>La inter</w:t>
      </w:r>
      <w:r>
        <w:t>pelarea expresă a Curţii dacă în situaţia ipotetică în care ar fi fost stabilită durata detaşării la două luni și după două luni se emitea o nouă dispoziție de detașare pe încă două luni și apoi încă una pe încă două luni, ar fi fost vreo diferență între s</w:t>
      </w:r>
      <w:r>
        <w:t>ituația de acum, în sensul că ar fi existat o certitudine mai mare,</w:t>
      </w:r>
    </w:p>
    <w:p w:rsidR="00240F1E" w14:paraId="0AEFDA14" w14:textId="77777777">
      <w:pPr>
        <w:jc w:val="both"/>
      </w:pPr>
      <w:r>
        <w:tab/>
        <w:t>Recurentul-reclamant prin avocat învederează faptul că legea prevede că durata maximă pentru un an, stabilirea este una din condiții, dar menționarea duratei în actul în care se emite, le</w:t>
      </w:r>
      <w:r>
        <w:t>galitatea e independentă de emiterea unor acte administrative ulterioare.</w:t>
      </w:r>
    </w:p>
    <w:p w:rsidR="00240F1E" w14:paraId="2E8DF9B9" w14:textId="77777777">
      <w:pPr>
        <w:jc w:val="both"/>
      </w:pPr>
      <w:r>
        <w:tab/>
        <w:t xml:space="preserve"> Ca să răspundă la întrebarea Curţii pentru că nu vrea să o ocolească, dacă fiecare din aceste acte pe care le-a enumerat Curtea are o durată clar stabilită și totalul lor nu depășe</w:t>
      </w:r>
      <w:r>
        <w:t>ște durată de șase luni, era legal. Emiterea unui act fără o durată concret stabilită, chiar dacă, nu știe, ar fi încetat peste patru luni, nu-l face ca el să fie legal, pentru că legalitatea se analizează la momentul emiterii actelor administrative, la ac</w:t>
      </w:r>
      <w:r>
        <w:t>el moment trebuie să se raporteze, pentru că nu știe tocmai de acest motiv.</w:t>
      </w:r>
    </w:p>
    <w:p w:rsidR="00240F1E" w14:paraId="17B1FA7D" w14:textId="77777777">
      <w:pPr>
        <w:ind w:firstLine="708"/>
        <w:jc w:val="both"/>
      </w:pPr>
      <w:r>
        <w:t>Curtea aduce la cunoștință faptul că doamna avocat a invocat nelegalitatea măsurii  și în susținerea lui, mai multe argumente. Unul din ele fiind incertitudinea care planează asupr</w:t>
      </w:r>
      <w:r>
        <w:t>a situației reclamantului pe această perioadă.</w:t>
      </w:r>
    </w:p>
    <w:p w:rsidR="00240F1E" w14:paraId="21E33D71" w14:textId="77777777">
      <w:pPr>
        <w:jc w:val="both"/>
      </w:pPr>
      <w:r>
        <w:tab/>
        <w:t>Recurentul-reclamant prin avocat arată că așa e şi tocmai prin acest motiv și-a argumentat în recurs că există și reversul medaliei în care pur și simplu se poate prelungi pe perioade nedeterminate care în un</w:t>
      </w:r>
      <w:r>
        <w:t xml:space="preserve"> moment dat se însumeze mai mult de șase luni. Și atunci, tocmai aceasta a fost intenția legiuitorului să stabilească o dată certă.</w:t>
      </w:r>
    </w:p>
    <w:p w:rsidR="00240F1E" w14:paraId="25B8DC16" w14:textId="77777777">
      <w:pPr>
        <w:ind w:firstLine="708"/>
        <w:jc w:val="both"/>
      </w:pPr>
      <w:r>
        <w:t xml:space="preserve"> În ceea ce privește nemotivarea actului administrativ, practic, argumentul instanței de fond a fost unul destul de simplu ș</w:t>
      </w:r>
      <w:r>
        <w:t>i același pe care l-a prezentat și colega sa, faptul că se indică motivele de fapt și de drept care au stat la baza adoptării acestei măsuri.</w:t>
      </w:r>
    </w:p>
    <w:p w:rsidR="00240F1E" w14:paraId="3FE00F22" w14:textId="78FDBB3C">
      <w:pPr>
        <w:jc w:val="both"/>
      </w:pPr>
      <w:r>
        <w:tab/>
      </w:r>
      <w:r>
        <w:t xml:space="preserve"> Or, ce a subliniat pe tot parcursul acestui litigiu este că înțelege că există, la nivel obiectiv, la nivelul direcției de asistență socială, nevoia de a fi cineva pe funcţia de inspector. Ce nu înțelege este de ce a fost ales domnul </w:t>
      </w:r>
      <w:r w:rsidR="00812DED">
        <w:t>...Y...</w:t>
      </w:r>
      <w:r>
        <w:t xml:space="preserve">, fără niciun </w:t>
      </w:r>
      <w:r>
        <w:t>fel de pregătire pentru această poziție, dintr-un compartiment subdimensionat. A depus în acest sens, ca o paranteză conversații, pe WhatsApp cu colegii acestuia care îi spuneau că odată ce colega rămasă a plecat în concediu nu mai era nimeni care să poată</w:t>
      </w:r>
      <w:r>
        <w:t xml:space="preserve"> să îndeplinească atribuțiile compartimentului respectiv. </w:t>
      </w:r>
    </w:p>
    <w:p w:rsidR="00240F1E" w14:paraId="11B16EB6" w14:textId="09EB8E72">
      <w:pPr>
        <w:ind w:firstLine="708"/>
        <w:jc w:val="both"/>
      </w:pPr>
      <w:r>
        <w:t xml:space="preserve">Deci dacă se înțelege de unde a pornit măsura, nu există argumente pentru care domnul </w:t>
      </w:r>
      <w:r w:rsidR="00812DED">
        <w:t>...Y...</w:t>
      </w:r>
      <w:r>
        <w:t xml:space="preserve"> să înțeleagă de ce el a fost cel detașat. Și, din perspectiva sa, nici instanța nu poate să exercite un control judiciar în adevăratul sens al cuvântului când la baza emiterii actului sunt doar textele legale incidente, și adresa Direcţiei de asistență ca</w:t>
      </w:r>
      <w:r>
        <w:t xml:space="preserve">re spune că are nevoie de un om. </w:t>
      </w:r>
    </w:p>
    <w:p w:rsidR="00240F1E" w14:paraId="5EF0EA0C" w14:textId="77777777">
      <w:pPr>
        <w:ind w:firstLine="708"/>
        <w:jc w:val="both"/>
      </w:pPr>
      <w:r>
        <w:t>Mai arată faptul că nu poate decât să presupună și nu asta este rațiunea legii și nu asta este rațiunea de a motiva un act administrativ pentru că este pe de o parte o obligație generală a autorităților publice și pe de al</w:t>
      </w:r>
      <w:r>
        <w:t>tă parte însăși o condiție de validitate a actului, nu doar în dimensiunea sa formală de a fi menționate niște afirmații cu titlu general.</w:t>
      </w:r>
    </w:p>
    <w:p w:rsidR="00240F1E" w14:paraId="5B4FB576" w14:textId="77777777">
      <w:pPr>
        <w:ind w:firstLine="708"/>
        <w:jc w:val="both"/>
      </w:pPr>
      <w:r>
        <w:t>Totodată, precizează faptul că a depus în acest sens și jurisprudență, atât de la Înalta Curte cât și de la instanțel</w:t>
      </w:r>
      <w:r>
        <w:t xml:space="preserve">e naționale, care arată că motivarea trebuie să fie efectivă și trebuie înţelese circumstanțele reale și efective care au dus la luarea măsurii în modalitatea care a fost luată. </w:t>
      </w:r>
    </w:p>
    <w:p w:rsidR="00240F1E" w14:paraId="1BF14750" w14:textId="53581332">
      <w:pPr>
        <w:ind w:firstLine="708"/>
        <w:jc w:val="both"/>
      </w:pPr>
      <w:r>
        <w:t xml:space="preserve">Mai departe, în ceea ce privește pregătirea profesională a domnului </w:t>
      </w:r>
      <w:r w:rsidR="00812DED">
        <w:t>...Y...</w:t>
      </w:r>
      <w:r>
        <w:t xml:space="preserve">, </w:t>
      </w:r>
      <w:r>
        <w:t>sincer, nu a înțeles raționamentul instanței de fond la momentul la care a spus că petentul nu poate pretinde îndeplinirea acelor atribuţii cu care era familiarizat. Din punctul său de vedere legea ar contrazice instanța în această măsură pentru că una din</w:t>
      </w:r>
      <w:r>
        <w:t xml:space="preserve"> premisele esențiale pentru a putea fi luată măsura detașării o reprezintă îndeplinirea condițiilor de studii și vechime specialitate prevăzute de lege pentru ocuparea funcției publice.</w:t>
      </w:r>
    </w:p>
    <w:p w:rsidR="00240F1E" w14:paraId="12497A91" w14:textId="77777777">
      <w:pPr>
        <w:ind w:firstLine="708"/>
        <w:jc w:val="both"/>
      </w:pPr>
      <w:r>
        <w:t xml:space="preserve"> Dacă această condiție poate să fie puțin vagă, jurisprudența pe care </w:t>
      </w:r>
      <w:r>
        <w:t>a depus-o la dosar a tradus-o în două direcții generale: unu, că trebuie să existe o minimă specializare în domeniul în care va activa funcționarul public ca urmare a detașării și doi, că felul muncii, care e dat de pregătirea profesională a angajatului, t</w:t>
      </w:r>
      <w:r>
        <w:t xml:space="preserve">rebuie să aibă un corespondent în atribuțiile fișei postului. </w:t>
      </w:r>
    </w:p>
    <w:p w:rsidR="00240F1E" w14:paraId="27EFD07D" w14:textId="1AA8EFC9">
      <w:pPr>
        <w:ind w:firstLine="708"/>
        <w:jc w:val="both"/>
      </w:pPr>
      <w:r>
        <w:t>Or, toate atribuțiile efective din fișa postului vizează gestionarea serviciilor de asistență socială, de la înmormântarea persoanelor vârstnice fără aparținător, la vizite periodice în cazul c</w:t>
      </w:r>
      <w:r>
        <w:t xml:space="preserve">entrului de asistență socială și proceduri operaționale specifice, niciuna nu are niciun fel de legătură cu competențele domnului </w:t>
      </w:r>
      <w:r w:rsidR="00812DED">
        <w:t>...Y...</w:t>
      </w:r>
      <w:r>
        <w:t xml:space="preserve"> și nici nu a fost argumentat contrariul de către instituțiile publice. Tot ce s-a făcut a fost, după cum a arătat, ca </w:t>
      </w:r>
      <w:r>
        <w:t>la cerințele postului să fie introduse niște cerințe mai generale, doar studii superioare, fără să se spună studii superioare în domeniul asistentei sociale, și niște competențe digitale pe care ar trebui să le aibă acest funcționar, niciuna neavând nici u</w:t>
      </w:r>
      <w:r>
        <w:t>n corespondent în atribuțiile fișei postului. Dacă ne-am uita la ce trebuie să facă efectiv și care sunt cerințele,  se poate vedea că nu există niciun punct de concurență între cele două şi  a identificat doar unul posibil și anume atribuția de prelucrare</w:t>
      </w:r>
      <w:r>
        <w:t xml:space="preserve"> a datelor cu caracter personal, iar aici are două observații. </w:t>
      </w:r>
    </w:p>
    <w:p w:rsidR="00240F1E" w14:paraId="361E0DA6" w14:textId="77777777">
      <w:pPr>
        <w:ind w:firstLine="708"/>
        <w:jc w:val="both"/>
      </w:pPr>
      <w:r>
        <w:t>În primul rând, nu vede de ce, adică nu înțelege de ce fix acest inspector are această atribuție, dar presupune că este legitimă pentru că nu face obiectul cauzei să analizeze în ce măsură e j</w:t>
      </w:r>
      <w:r>
        <w:t xml:space="preserve">ust sau nu. Nu trebuie să fi nici informatician, nici jurist și nici expert în asistență socială pentru a îndeplini această atribuție, pentru că responsabilii de protecția datelor personale potrivit legii, sunt în fiecare instituție și companie și trebuie </w:t>
      </w:r>
      <w:r>
        <w:t>doar să aibă parte de un fel de instructaj înainte. Oricum, nu este niciun caz atribuția definitorie a acestui post, toate celelalte fiind de fapt, cele pe care zi  cu zi ar  trebuie să le îndeplinească clientul său.</w:t>
      </w:r>
    </w:p>
    <w:p w:rsidR="00240F1E" w14:paraId="39FE62A9" w14:textId="77777777">
      <w:pPr>
        <w:jc w:val="both"/>
      </w:pPr>
      <w:r>
        <w:tab/>
        <w:t>Mai arată faptul că a încercat să dove</w:t>
      </w:r>
      <w:r>
        <w:t>dească prin toate actele pe care le are și faptul că nici măcar nu face în mod efectiv atribuțiile care  îi sunt atribuite prin această funcție şi  a depus în acest sens fișe de parcurs, pentru că el, de fapt, este șofer la acest moment, tocmai pentru că n</w:t>
      </w:r>
      <w:r>
        <w:t>u poate să facă anchete sociale și toate celelalte activități, pentru că nu are cunoștințele necesare. În plus, este un domeniu extrem de sensibil, nu pot să vină oameni fără pregătire completă și să îndeplinească atribuțiile pe care clientul său a fost ch</w:t>
      </w:r>
      <w:r>
        <w:t>emat să le îndeplinească și pe care, până la urmă, nici nu le face, nici măcar la momentul judecării prezentei cauze.</w:t>
      </w:r>
    </w:p>
    <w:p w:rsidR="00240F1E" w14:paraId="6F1BC090" w14:textId="77777777">
      <w:pPr>
        <w:ind w:firstLine="708"/>
        <w:jc w:val="both"/>
      </w:pPr>
      <w:r>
        <w:t xml:space="preserve"> Nu în ultimul rând, în ceea ce privește condiția păstrării salariului, practic există două variante și totodată consideră că varianta sa </w:t>
      </w:r>
      <w:r>
        <w:t>este cea corectă raportată la modalitatea în care legiuitorul a reglementat această condiție.  Colega sa și instanța de fond consideră că atâta timp cât salariul brut este identic, condiția  păstrării  salariului  este  îndeplinită.  Din  punctul său de ve</w:t>
      </w:r>
      <w:r>
        <w:t xml:space="preserve">dere,  raportat la cum este definit legal  venitul  salarial al  funcționarilor publici,  care prevede </w:t>
      </w:r>
      <w:r>
        <w:t>că este alcătuit, atât din salarul brut, cât și din alte beneficii, indemnizații și așa mai departe, nu consideră că este respectată această condiție.</w:t>
      </w:r>
    </w:p>
    <w:p w:rsidR="00240F1E" w14:paraId="16B745FB" w14:textId="77777777">
      <w:pPr>
        <w:ind w:firstLine="708"/>
        <w:jc w:val="both"/>
      </w:pPr>
      <w:r>
        <w:t>To</w:t>
      </w:r>
      <w:r>
        <w:t>todată, menționează că  reclamantul beneficia de scutire de impozit pe venit pentru că lucra ca informatician și de o grămadă de indemnizații de proiect pentru că era aici,  i se dădea posibilitatea să fie implicat în proiecte pe fonduri europene în care e</w:t>
      </w:r>
      <w:r>
        <w:t>ra această componentă informatică. În acest sens, a depus fluturași de salarii comparativ, ca să se vadă că, în medie, câștigă cu 1000 de lei net mai puțin lunar decât anul trecut. Respectiv, salariul lui actual este mai mic decât în orice lună s-ar raport</w:t>
      </w:r>
      <w:r>
        <w:t>a anului trecut, pentru că a fluctuat din cauza indemnizațiilor de proiect.</w:t>
      </w:r>
    </w:p>
    <w:p w:rsidR="00240F1E" w14:paraId="100476CB" w14:textId="77777777">
      <w:pPr>
        <w:ind w:firstLine="708"/>
        <w:jc w:val="both"/>
      </w:pPr>
      <w:r>
        <w:t>Și atunci, cât timp nu mai beneficiază de scutirea de impozit și cât timp nu beneficiază nici de indemnizațiile respective, ambele legal, făcând parte din venitul salarial al funcț</w:t>
      </w:r>
      <w:r>
        <w:t xml:space="preserve">ionarilor publici, din punctul său de vedere, nici această condiție nu este îndeplinită. </w:t>
      </w:r>
    </w:p>
    <w:p w:rsidR="00240F1E" w14:paraId="164DFD99" w14:textId="77777777">
      <w:pPr>
        <w:ind w:firstLine="708"/>
        <w:jc w:val="both"/>
      </w:pPr>
      <w:r>
        <w:t xml:space="preserve"> Precizează că a observat că nici poziția intimaților nu este foarte clară aici, pentru că ei, pe de-o parte, spun că el beneficiază în continuare de indemnizația de </w:t>
      </w:r>
      <w:r>
        <w:t xml:space="preserve">hrană și că este respectat dreptul la salariu, ceea ce înseamnă că și indemnizația de hrană contează, dar totuși scutirea de impozit pe venit nu contează. Practic, se raportează la ce componente salariale au menținut, ignorând complet celelalte componente </w:t>
      </w:r>
      <w:r>
        <w:t>la care s-a raportat reclamantul.</w:t>
      </w:r>
    </w:p>
    <w:p w:rsidR="00240F1E" w14:paraId="4906A4BB" w14:textId="77777777">
      <w:pPr>
        <w:jc w:val="both"/>
      </w:pPr>
      <w:r>
        <w:tab/>
        <w:t>Or, dacă instanța va constata că indemnizația de hrană este parte din salariu, atunci și scutirea de impozit și celelalte beneficii sunt și, cât timp nu beneficiază de ele, atunci și această condiție este îndeplinită.</w:t>
      </w:r>
    </w:p>
    <w:p w:rsidR="00240F1E" w14:paraId="1EEA8515" w14:textId="77777777">
      <w:pPr>
        <w:ind w:firstLine="708"/>
        <w:jc w:val="both"/>
      </w:pPr>
      <w:r>
        <w:t xml:space="preserve"> Și</w:t>
      </w:r>
      <w:r>
        <w:t xml:space="preserve"> încheind cu cazul temeinic justificat solicită a se constata că în mod cert, în ansamblu, această măsură este profund nelegală.</w:t>
      </w:r>
    </w:p>
    <w:p w:rsidR="00240F1E" w14:paraId="260046BB" w14:textId="77777777">
      <w:pPr>
        <w:ind w:firstLine="708"/>
        <w:jc w:val="both"/>
      </w:pPr>
      <w:r>
        <w:t xml:space="preserve">Solicită a se constata că și condiția pagubei iminente este îndeplinită în speță. </w:t>
      </w:r>
    </w:p>
    <w:p w:rsidR="00240F1E" w14:paraId="73A62E13" w14:textId="77777777">
      <w:pPr>
        <w:ind w:firstLine="708"/>
        <w:jc w:val="both"/>
      </w:pPr>
      <w:r>
        <w:t>Legea Contenciosului Administrativ o defineș</w:t>
      </w:r>
      <w:r>
        <w:t>te ca fiind alternativă între prejudiciul material viitor și previzibil sau, după caz, perturbarea previzibilă gravă a funcționării unei autorități publice sau a unui serviciu public, teza sa încă de la începutul acestui litigiu a fost că în speță sunt înd</w:t>
      </w:r>
      <w:r>
        <w:t xml:space="preserve">eplinite ambele condiții. Are o pagubă iminentă din ambele perspective şi chiar dacă instanța a constatat că argumentul său referitor la prejudiciul adus compartimentului de informatică și direcției de asistență socială nu îl vizează pe reclamant și nu ar </w:t>
      </w:r>
      <w:r>
        <w:t>trebui luat în considerare, această statuare contravine flagrant legii,  referindu-se mai întâi la asta și apoi la prejudiciile aduse clientului său.</w:t>
      </w:r>
    </w:p>
    <w:p w:rsidR="00240F1E" w14:paraId="49428D4E" w14:textId="77777777">
      <w:pPr>
        <w:ind w:firstLine="708"/>
        <w:jc w:val="both"/>
      </w:pPr>
      <w:r>
        <w:t xml:space="preserve"> În mod cert, în momentul în care a rămas compartimentul subdimensionat din care a plecat clientul său și </w:t>
      </w:r>
      <w:r>
        <w:t>a depus în acest sens acte care arată că de fapt trebuiau să existe cinci funcționari publice, există doar doi, a plecat el  şi a rămas doar unul, acea persoană a plecat în concediu și nu mai avea cine să gestioneze activitatea, în mod clar s-a perturbat g</w:t>
      </w:r>
      <w:r>
        <w:t>rav modul în care funcționa acel compartiment, totodată punctând că până la acest moment, intimații nu au depus niciun fel de dovadă în sens contrar.</w:t>
      </w:r>
    </w:p>
    <w:p w:rsidR="00240F1E" w14:paraId="1933D3A9" w14:textId="77777777">
      <w:pPr>
        <w:ind w:firstLine="708"/>
        <w:jc w:val="both"/>
      </w:pPr>
      <w:r>
        <w:t xml:space="preserve"> Toate susținerile sale, pe care nu le poate dovedi în aceeași măsură în care poate autoritatea publică, c</w:t>
      </w:r>
      <w:r>
        <w:t>are are mult mai multe acte la dispoziție și mult mai multe evidențe, dar nu a venit cu nimic care să contrabalanseze toate probele pe care le-a adus acesta. Deci, din punctul său  de vedere, în mod cert, este probat faptul că această autoritate publică nu</w:t>
      </w:r>
      <w:r>
        <w:t xml:space="preserve"> funcționează în mod optim în momentul de față. Dar, mai mult decât atât, dacă există o nevoie la nivelul direcției de asistență socială, care, din nou, se ocupă cu gestionarea unor persoane vulnerabile și sensibile, și este adusă o persoană care nu are ni</w:t>
      </w:r>
      <w:r>
        <w:t>ciun fel de pregătire, consideră că activitatea acelei direcții în continuare are de suferit.</w:t>
      </w:r>
    </w:p>
    <w:p w:rsidR="00240F1E" w14:paraId="744BCA91" w14:textId="77777777">
      <w:pPr>
        <w:ind w:firstLine="708"/>
        <w:jc w:val="both"/>
      </w:pPr>
      <w:r>
        <w:t xml:space="preserve"> Dacă ei aveau nevoie de o persoană care să gestioneze activitatea din fișa postului și au adus o persoană care nu poate să facă asta, atunci înseamnă că există u</w:t>
      </w:r>
      <w:r>
        <w:t xml:space="preserve">n prejudiciu și la nivelul acestei instituții. Deci, paguba iminentă, din această perspectivă, consideră că este îndeplinită. </w:t>
      </w:r>
    </w:p>
    <w:p w:rsidR="00240F1E" w14:paraId="1AA70428" w14:textId="77777777">
      <w:pPr>
        <w:ind w:firstLine="708"/>
        <w:jc w:val="both"/>
      </w:pPr>
      <w:r>
        <w:t xml:space="preserve">Dar mai mult decât atât, prejudiciul material adus clientului său, crede că nu avea cum să îl probeze mai bine, însă a arătat că </w:t>
      </w:r>
      <w:r>
        <w:t>lunar beneficiază de minim 1000 de lei în minus.</w:t>
      </w:r>
    </w:p>
    <w:p w:rsidR="00240F1E" w14:paraId="1457202A" w14:textId="77777777">
      <w:pPr>
        <w:ind w:firstLine="708"/>
        <w:jc w:val="both"/>
      </w:pPr>
      <w:r>
        <w:t xml:space="preserve"> Este clar că până la momentul la care se va judeca, pentru că a fost deja înregistrată acțiunea de fond, această măsură își va fi încetat efectele, speră, pentru că speră să dureze maxim șase luni, și atunc</w:t>
      </w:r>
      <w:r>
        <w:t xml:space="preserve">i clar paguba s-a produs. </w:t>
      </w:r>
    </w:p>
    <w:p w:rsidR="00240F1E" w14:paraId="6D79B67C" w14:textId="77777777">
      <w:pPr>
        <w:ind w:firstLine="708"/>
        <w:jc w:val="both"/>
      </w:pPr>
      <w:r>
        <w:t xml:space="preserve"> De asemenea, nu înțelege raționamentul instanței de fond care a spus că paguba iminentă nu se identifică cu prejudiciul care afectează negativ reclamantul iar întrebarea sa este atunci cu ce se afectează, cu ce se identifică?</w:t>
      </w:r>
    </w:p>
    <w:p w:rsidR="00240F1E" w14:paraId="715A9AF8" w14:textId="77777777">
      <w:pPr>
        <w:ind w:firstLine="708"/>
        <w:jc w:val="both"/>
      </w:pPr>
      <w:r>
        <w:t xml:space="preserve"> P</w:t>
      </w:r>
      <w:r>
        <w:t>entru că și în momentul în care se  vorbeşte de autorizație de construire și de demolarea unei case, e tot un prejudiciu adus destinatarului autorizației sau vecinilor din jur. E clar că asta este însăși definiția pagubei iminente. Și atunci, și din aceast</w:t>
      </w:r>
      <w:r>
        <w:t>ă perspectivă, raportat la faptul că a probat că pur și simplu se pierd bani de la o lună la alta, consideră că a demonstrat că este îndeplinită condiția pagubei și din această optică. În încheiere, chiar consideră că această cerere este fundamentată din t</w:t>
      </w:r>
      <w:r>
        <w:t>oate punctele de vedere și că, din nou, și dacă sumarizează  starea de fapt, este evident că planează o aparență puternică de nelegalitate asupra acestei măsuri, motiv pentru care solicită să admiterea recursul.</w:t>
      </w:r>
    </w:p>
    <w:p w:rsidR="00240F1E" w14:paraId="3BF819E6" w14:textId="63C17E07">
      <w:pPr>
        <w:jc w:val="both"/>
      </w:pPr>
      <w:r>
        <w:tab/>
        <w:t xml:space="preserve">Intimaţii-pârâţi Municipiul </w:t>
      </w:r>
      <w:r w:rsidR="00812DED">
        <w:t>...B...</w:t>
      </w:r>
      <w:r>
        <w:t>, Consil</w:t>
      </w:r>
      <w:r>
        <w:t xml:space="preserve">iul Local </w:t>
      </w:r>
      <w:r w:rsidR="00812DED">
        <w:t>...B...</w:t>
      </w:r>
      <w:r>
        <w:t xml:space="preserve">, Primarul Municipiului </w:t>
      </w:r>
      <w:r w:rsidR="00812DED">
        <w:t>...B...</w:t>
      </w:r>
      <w:r>
        <w:t xml:space="preserve"> şi Direcţia de Asistenţă Socială </w:t>
      </w:r>
      <w:r w:rsidR="00812DED">
        <w:t>...B...</w:t>
      </w:r>
      <w:r>
        <w:t xml:space="preserve">, prin avocat, solicită respingerea recursului ca nefondat pentru argumentele expuse pe larg prin întâmpinare, cu consecința menținerii sentinţei instanţei de fond ca </w:t>
      </w:r>
      <w:r>
        <w:t>fiind temeinică şi legală.</w:t>
      </w:r>
    </w:p>
    <w:p w:rsidR="00240F1E" w14:paraId="3806657F" w14:textId="654D29A2">
      <w:pPr>
        <w:jc w:val="both"/>
      </w:pPr>
      <w:r>
        <w:tab/>
        <w:t xml:space="preserve">Din punctul său de vedere instanţa de fond nu doar că a interpretat, dar a şi aplicat în mod corect normele de drept material şi a considerat că este temeinică excepţia lipsei calităţii procesuale pasive a Consiliului Local </w:t>
      </w:r>
      <w:r w:rsidR="00812DED">
        <w:t>...B...</w:t>
      </w:r>
      <w:r>
        <w:t xml:space="preserve"> şi a municipiului </w:t>
      </w:r>
      <w:r w:rsidR="00812DED">
        <w:t>...B...</w:t>
      </w:r>
      <w:r>
        <w:t xml:space="preserve">  și s-a uitat practic la actele cu caracter administrativ respectiv dispoziție a primarului municipiului </w:t>
      </w:r>
      <w:r w:rsidR="00812DED">
        <w:t>...B...</w:t>
      </w:r>
      <w:r>
        <w:t xml:space="preserve"> și la decizia Direcției de Asistență Socială și, raportat la dispozițiile din codul administrativ, a apreciat că </w:t>
      </w:r>
      <w:r>
        <w:t xml:space="preserve">au calitate procesuală pasivă practic în acest dosar emitenții celor două acte administrative ale căror efecte s-au  solicitat a fi  suspendate. </w:t>
      </w:r>
    </w:p>
    <w:p w:rsidR="00240F1E" w14:paraId="687083EA" w14:textId="4A8D7C72">
      <w:pPr>
        <w:ind w:firstLine="708"/>
        <w:jc w:val="both"/>
      </w:pPr>
      <w:r>
        <w:t>Astfel cum a menționat mai devreme, de altfel, Direcția de Asistență Socială se află în subordinea Consiliului</w:t>
      </w:r>
      <w:r>
        <w:t xml:space="preserve"> Local </w:t>
      </w:r>
      <w:r w:rsidR="00812DED">
        <w:t>...B...</w:t>
      </w:r>
      <w:r>
        <w:t xml:space="preserve"> și are personalitate juridică. Mai mult decât atât, atât primarul municipiului </w:t>
      </w:r>
      <w:r w:rsidR="00812DED">
        <w:t>...B...</w:t>
      </w:r>
      <w:r>
        <w:t>, cât și Direcția de asistență socială, sunt autorități publice ale administrației publice locale și, sunt distincte de subiectul de drept fiscal reprezent</w:t>
      </w:r>
      <w:r>
        <w:t>at de către unitatea administrativ-teritorială. De altfel, înțelege că se încearcă introducerea în cauză a unității administrativ-teritoriale raportat la obligația de plată a onorariului avocațial, că până la urmă acesta este prejudiciul care se încearcă a</w:t>
      </w:r>
      <w:r>
        <w:t xml:space="preserve"> fi recuperat. </w:t>
      </w:r>
    </w:p>
    <w:p w:rsidR="00240F1E" w14:paraId="3F818C7D" w14:textId="77777777">
      <w:pPr>
        <w:ind w:firstLine="708"/>
        <w:jc w:val="both"/>
      </w:pPr>
      <w:r>
        <w:t>Mai mult decât atât, este evident că orice autoritate publică este parte în raportul de drept administrativ născut din propriul său act de autoritate care a fost emis sau adoptat. În concret, instanța de fond a apreciat faptul că reclamantu</w:t>
      </w:r>
      <w:r>
        <w:t>l nu probează nici existenta cazului bine justificat și nici pe cea a pagubei iminente.</w:t>
      </w:r>
    </w:p>
    <w:p w:rsidR="00240F1E" w14:paraId="67F76123" w14:textId="77777777">
      <w:pPr>
        <w:jc w:val="both"/>
      </w:pPr>
      <w:r>
        <w:tab/>
        <w:t xml:space="preserve"> Suspendarea unui act administrativ este, din punctul său de vedere și există practica Înaltei Curți, o măsură cu totul excepțională, care poate fi dispusă doar în anu</w:t>
      </w:r>
      <w:r>
        <w:t>mite condiții. Luarea acestei măsuri, presupune existența unor împrejurări care să fie de măsură a crea o îndoială serioasă în privința legalității actului administrativ, dar mai ales a necesității înlăturării temporare a caracterului executorului al acest</w:t>
      </w:r>
      <w:r>
        <w:t>ui act.</w:t>
      </w:r>
    </w:p>
    <w:p w:rsidR="00240F1E" w14:paraId="185671BB" w14:textId="77777777">
      <w:pPr>
        <w:ind w:firstLine="708"/>
        <w:jc w:val="both"/>
      </w:pPr>
      <w:r>
        <w:t xml:space="preserve"> În ceea privește  cazul bine justificat, pentru conturarea existenței unui caz bine justificat care să impună suspendarea acelor două acte administrative, instanța nu este chemată să procedeze la analizarea criticilor de nelegalitate pe care se întemeiază</w:t>
      </w:r>
      <w:r>
        <w:t xml:space="preserve"> însăși cererea de anulare a actelor administrative. Înțelege, şi a aflat acum de la colega sa, că s-a inițiat de altfel o acțiune care are ca obiect anularea.</w:t>
      </w:r>
    </w:p>
    <w:p w:rsidR="00240F1E" w14:paraId="4755C9A2" w14:textId="77777777">
      <w:pPr>
        <w:ind w:firstLine="708"/>
        <w:jc w:val="both"/>
      </w:pPr>
      <w:r>
        <w:t xml:space="preserve"> La interpelarea expresă a Curţii dacă ar trebui să fie alte critici decât criticile de nelegali</w:t>
      </w:r>
      <w:r>
        <w:t>tate invocate în acţiunea în anularea actelor,</w:t>
      </w:r>
    </w:p>
    <w:p w:rsidR="00240F1E" w14:paraId="41251641" w14:textId="62793159">
      <w:pPr>
        <w:jc w:val="both"/>
      </w:pPr>
      <w:r>
        <w:tab/>
        <w:t xml:space="preserve">Intimaţii-pârâţi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xml:space="preserve">, prin avocat, arată faptul că curtea este limitată doar la a verifica,  nu </w:t>
      </w:r>
      <w:r>
        <w:t xml:space="preserve">le analizează superficial, ci ele trebuie să aibă capacitatea să producă o îndoială </w:t>
      </w:r>
      <w:r>
        <w:t xml:space="preserve">serioasă cu privire la nerespectarea, la momentul emiterii acestor acte administrative, a dispozițiilor legale. Or, ele nu au această capacitate, de aceea instanța de fond </w:t>
      </w:r>
      <w:r>
        <w:t xml:space="preserve">a apreciat că în emiterea acestor acte administrative au fost respectate întru totul dispozițiile legale. </w:t>
      </w:r>
    </w:p>
    <w:p w:rsidR="00240F1E" w14:paraId="46D3A39D" w14:textId="77777777">
      <w:pPr>
        <w:ind w:firstLine="708"/>
        <w:jc w:val="both"/>
      </w:pPr>
      <w:r>
        <w:t xml:space="preserve"> În ceea ce privește critica de nelegalitate prin raportare la neîndeplinirea condiției motivării celor două acte administrative, respectiv la conținutul lor, arată că ambele detaliază condițiile prevăzute de articolul 530 din Codul administrativ. Pe de-o </w:t>
      </w:r>
      <w:r>
        <w:t xml:space="preserve">parte, temeiul legal al modificării raportului de serviciu, denumirea funcției, individualizată pe categorie, clasă, grad profesional, data la care urmează a fi modificat acest raport şi mai mult decât atât, apreciază că amploarea și detalierea motivării, </w:t>
      </w:r>
      <w:r>
        <w:t>desigur că depinde fiecare dată de natura actului adoptat și face obiectul unei aprecieri.</w:t>
      </w:r>
    </w:p>
    <w:p w:rsidR="00240F1E" w14:paraId="40389C5F" w14:textId="77777777">
      <w:pPr>
        <w:ind w:firstLine="708"/>
        <w:jc w:val="both"/>
      </w:pPr>
      <w:r>
        <w:t>La interpelarea Curţii dacă, era necesar sau nu să se menționeze de ce a fost ales reclamantul să fie detașat între toți ceilalți salariaţi,</w:t>
      </w:r>
    </w:p>
    <w:p w:rsidR="00240F1E" w14:paraId="56D3B649" w14:textId="5F93E3A3">
      <w:pPr>
        <w:jc w:val="both"/>
      </w:pPr>
      <w:r>
        <w:tab/>
        <w:t>Intimaţii-pârâţi Munici</w:t>
      </w:r>
      <w:r>
        <w:t xml:space="preserve">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xml:space="preserve">, prin avocat, arată că s-a  menționat,  că era  ca urmare a solicitării care a venit din partea Direcției de asistență socială, precizând că o să </w:t>
      </w:r>
      <w:r>
        <w:t>ajungă să puncteze toate aceste aspecte pe parcursul combaterii recursului.</w:t>
      </w:r>
    </w:p>
    <w:p w:rsidR="00240F1E" w14:paraId="1304FD31" w14:textId="77777777">
      <w:pPr>
        <w:ind w:firstLine="708"/>
        <w:jc w:val="both"/>
      </w:pPr>
      <w:r>
        <w:t>Referitor  la  cea de-a doua critică, cu privire la durata incertă a măsurii, apreciază că, iarăși, nu se probează. Într-adevăr, a menționat în dispoziție perioada de șase luni. În</w:t>
      </w:r>
      <w:r>
        <w:t>tr-adevăr, contrar la ceea ce a  spus colega sa, nu se va putea prelungi peste perioada de șase luni decât cu acordul, cu consimțământul reclamantului. Nu se poate, astfel cum prevede codul foarte clar. Deci, inclusiv această critică de nelegalitate urmeaz</w:t>
      </w:r>
      <w:r>
        <w:t>ă a fi înlăturată.</w:t>
      </w:r>
    </w:p>
    <w:p w:rsidR="00240F1E" w14:paraId="4171FF24" w14:textId="77777777">
      <w:pPr>
        <w:ind w:firstLine="708"/>
        <w:jc w:val="both"/>
      </w:pPr>
      <w:r>
        <w:t>În ceea ce privește  lipsa pregătirii profesionale,  detașarea practic se poate dispune pe o funcție publică de același nivel, cu respectarea categoriei, clasei și gradului profesional, condiții care au fost îndeplinite în prezenta cauză</w:t>
      </w:r>
      <w:r>
        <w:t>.</w:t>
      </w:r>
    </w:p>
    <w:p w:rsidR="00240F1E" w14:paraId="4D55E6B6" w14:textId="77777777">
      <w:pPr>
        <w:jc w:val="both"/>
      </w:pPr>
      <w:r>
        <w:tab/>
        <w:t xml:space="preserve"> Ce făcea reclamantul? Acesta nu era informatician de profesie în cadrul primăriei, ci se se ocupa de proiecte de fonduri europene, deci, corelativ, pregătirii dumnealui juridice,  reclamantul este licențiat în drept şi are, într-adevăr, un curs de secu</w:t>
      </w:r>
      <w:r>
        <w:t>ritate cibernetică, emis de CISCO la dosarul cauzei, are atribuții la direcția de asistență socială de a prelua și de a răspunde pe tinerilor care au venit. Din nou, pregătirea dumnealui juridică îl ajută în acest sens. Într-adevăr, are atribuții pe protec</w:t>
      </w:r>
      <w:r>
        <w:t>ția datelor cu caracter personal și asigurarea confidențialității acestor date.</w:t>
      </w:r>
    </w:p>
    <w:p w:rsidR="00240F1E" w14:paraId="7380BDC3" w14:textId="77777777">
      <w:pPr>
        <w:ind w:firstLine="708"/>
        <w:jc w:val="both"/>
      </w:pPr>
      <w:r>
        <w:t xml:space="preserve">  Mai arată faptul că este contrar la ceea ce spune colega sa, reclamantul nu are atribuții de șofer, de altfel, în fișa posibilului nici nu se regăsește o astfel de atribuție.</w:t>
      </w:r>
      <w:r>
        <w:t xml:space="preserve"> </w:t>
      </w:r>
    </w:p>
    <w:p w:rsidR="00240F1E" w14:paraId="2CFCE664" w14:textId="77777777">
      <w:pPr>
        <w:ind w:firstLine="708"/>
        <w:jc w:val="both"/>
      </w:pPr>
      <w:r>
        <w:t>În ceea ce privește diminuarea salariului, solicită a se observa faptul că salariul de bază a rămas neschimbat şi că practic venitul, reclamantul  consideră că venitul este inferior, raportat la împrejurarea că nu mai beneficiază de acea scutire de plată</w:t>
      </w:r>
      <w:r>
        <w:t xml:space="preserve"> a impozitului pe venit care este acordat în baza art. 60 pct. 2 din Codul fiscal,  7.511 lei este salariul de bază și la primărie şi la direcția de asistenţă socială.</w:t>
      </w:r>
    </w:p>
    <w:p w:rsidR="00240F1E" w14:paraId="7D1F4A3D" w14:textId="77777777">
      <w:pPr>
        <w:ind w:firstLine="708"/>
        <w:jc w:val="both"/>
      </w:pPr>
      <w:r>
        <w:t>La interpelarea expresă a Curţii dacă se  raportează la brut, întrucât reclamantul se ra</w:t>
      </w:r>
      <w:r>
        <w:t>portează la net,</w:t>
      </w:r>
    </w:p>
    <w:p w:rsidR="00240F1E" w14:paraId="3470040A" w14:textId="4F1D8617">
      <w:pPr>
        <w:jc w:val="both"/>
      </w:pPr>
      <w:r>
        <w:tab/>
        <w:t xml:space="preserve">Intimaţii-pârâţi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prin avocat arată faptul că, crede că era 7858, de altfel și așa scrie la Direcția de Asistentă Socială.</w:t>
      </w:r>
      <w:r>
        <w:t xml:space="preserve"> Brut, 7858, compus din salariul de bază de 7518.</w:t>
      </w:r>
    </w:p>
    <w:p w:rsidR="00240F1E" w14:paraId="4857D377" w14:textId="77777777">
      <w:pPr>
        <w:ind w:firstLine="708"/>
        <w:jc w:val="both"/>
      </w:pPr>
      <w:r>
        <w:t>Curtea aduce la cunoștință faptul că a înțeles, acesta este brutul, iar reclamantul invocă diminuarea salariului net.</w:t>
      </w:r>
    </w:p>
    <w:p w:rsidR="00240F1E" w14:paraId="6C586248" w14:textId="1BFDFE71">
      <w:pPr>
        <w:jc w:val="both"/>
      </w:pPr>
      <w:r>
        <w:tab/>
        <w:t xml:space="preserve">Intimaţii-pârâţi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prin avocat precizează că, raportarea dispoziţiilor  articolului 505 aliniatul 10 Codul administrativ nu se referă la venitul salarial al personalului din sectorul bugetar, ci are în vedere exclusiv salariul d</w:t>
      </w:r>
      <w:r>
        <w:t>e bază. Dar este același venit,</w:t>
      </w:r>
    </w:p>
    <w:p w:rsidR="00240F1E" w14:paraId="15BF4D22" w14:textId="77777777">
      <w:pPr>
        <w:jc w:val="both"/>
      </w:pPr>
    </w:p>
    <w:p w:rsidR="00240F1E" w14:paraId="66FED742" w14:textId="77777777">
      <w:pPr>
        <w:jc w:val="both"/>
      </w:pPr>
    </w:p>
    <w:p w:rsidR="00240F1E" w14:paraId="5994EADF" w14:textId="77777777">
      <w:pPr>
        <w:jc w:val="both"/>
      </w:pPr>
    </w:p>
    <w:p w:rsidR="00240F1E" w14:paraId="41035C6E" w14:textId="77777777">
      <w:pPr>
        <w:jc w:val="both"/>
      </w:pPr>
      <w:r>
        <w:t xml:space="preserve"> raportat la faptul că a avut acest beneficiu în cadrul primăriei, dar legea nu obligă direcția de asistență socială, să-i acorde acest beneficiu în continuare.</w:t>
      </w:r>
    </w:p>
    <w:p w:rsidR="00240F1E" w14:paraId="38FDC59F" w14:textId="77777777">
      <w:pPr>
        <w:ind w:firstLine="708"/>
        <w:jc w:val="both"/>
      </w:pPr>
      <w:r>
        <w:t xml:space="preserve"> În ceea ce privește paguba iminentă, Înalta Curte de Casați</w:t>
      </w:r>
      <w:r>
        <w:t>e și Justiție, apreciază că eventual la producerea unei pagube trebuie să fie o consecință a executării actului administrativ.</w:t>
      </w:r>
    </w:p>
    <w:p w:rsidR="00240F1E" w14:paraId="7A93408C" w14:textId="77777777">
      <w:pPr>
        <w:jc w:val="both"/>
      </w:pPr>
      <w:r>
        <w:tab/>
        <w:t>Curtea aduce la cunoştinţă faptul că aceasta este  o decizie de speță a Înaltei Curţi de Casație și Justiție.</w:t>
      </w:r>
    </w:p>
    <w:p w:rsidR="00240F1E" w14:paraId="7E202840" w14:textId="6BD221ED">
      <w:pPr>
        <w:ind w:firstLine="708"/>
        <w:jc w:val="both"/>
      </w:pPr>
      <w:r>
        <w:t>Intimaţii-pârâţi M</w:t>
      </w:r>
      <w:r>
        <w:t xml:space="preserve">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prin avocat arată că este  o decizie de speţă, da. Paguba iminentă prin raportare la  o pretinsă perturbare a activității, că de fapt despre</w:t>
      </w:r>
      <w:r>
        <w:t xml:space="preserve"> asta se discută,  apreciază că, în cazul de față, nu s-a probat producerea unui prejudiciu direct.  Faptul că, în cadrul aparatului de specialitate a primarului, au rămas unul, doi, trei, nici nu contează, nu este în măsură să creeze un prejudiciu. A văzu</w:t>
      </w:r>
      <w:r>
        <w:t>t că se tot invocă acest aspect, motiv pentru care, pentru toate aceste motive pe care le-a invocat  şi susţinut detaliat cât şi în cuprinsul întâmpinării, apreciază că trebuie să fie  respins recursul cu cheltuieli de judecată conform celor depuse la dosa</w:t>
      </w:r>
      <w:r>
        <w:t xml:space="preserve">r, cele aferente Tribunalului </w:t>
      </w:r>
      <w:r w:rsidR="00812DED">
        <w:t>...A...</w:t>
      </w:r>
      <w:r>
        <w:t>.</w:t>
      </w:r>
    </w:p>
    <w:p w:rsidR="00240F1E" w14:paraId="32B526F2" w14:textId="77777777">
      <w:pPr>
        <w:ind w:firstLine="708"/>
        <w:jc w:val="both"/>
      </w:pPr>
      <w:r>
        <w:t>Reclamantul prin avocat, în replică, precizează că nu vorbeşte despre un prejudiciu care era acordat clientului său, vorbeşte despre o lege care i se aplica. Acesta, în calitate de informatician, beneficia de scutirea</w:t>
      </w:r>
      <w:r>
        <w:t xml:space="preserve"> de impozit pe venit și atunci legal are dreptul la un salariu net mai mare. Or, intenția legiuitorului la momentul stabilirii măsurii detașării a fost de a prevedea că persoana căreia i se modifică unilateral raportul de muncă poate beneficia ori de acela</w:t>
      </w:r>
      <w:r>
        <w:t>și salariu, ori de un salariu mai mare.</w:t>
      </w:r>
    </w:p>
    <w:p w:rsidR="00240F1E" w14:paraId="6AA3E9F4" w14:textId="77777777">
      <w:pPr>
        <w:ind w:firstLine="708"/>
        <w:jc w:val="both"/>
      </w:pPr>
      <w:r>
        <w:t>La interpelarea expresă a Curții dacă legiuitorul s-a referit la salariul brut sau la salariul net şi dacă mențiunile din decizia de detașare acoperă sau nu acoperă cerinţele legii,</w:t>
      </w:r>
    </w:p>
    <w:p w:rsidR="00240F1E" w14:paraId="2D531FE4" w14:textId="77777777">
      <w:pPr>
        <w:ind w:firstLine="708"/>
        <w:jc w:val="both"/>
      </w:pPr>
      <w:r>
        <w:t>Reclamantul prin avocat precizează</w:t>
      </w:r>
      <w:r>
        <w:t xml:space="preserve"> faptul că așa este. Nu este menționat nicăieri dacă este un salariu brut sau net. Dar și dacă se raportează, pur și simplu, la ce înseamnă noţiunea de salariu, în general, în România, noi nu suntem un stat ca statele nordice, de exemplu, în care toată lum</w:t>
      </w:r>
      <w:r>
        <w:t>ea își plătește singură taxele la finalul anului și salariații au diferite praguri de taxare și așa mai departe. Salariații din România nu văd niciodată care e salariul brut în mână. Tot timpul este cu reținere la sursă și îşi primesc doar salariul net. Și</w:t>
      </w:r>
      <w:r>
        <w:t xml:space="preserve"> atunci în mod cert din moment ce legiuitorul nu a vrut să păgubească persoanele care fără voia lor sunt detașate pe altă funcție este clar că a nu lua în considerare scutirile legale de taxe de care beneficiau este în contradictoriu cu legea. </w:t>
      </w:r>
    </w:p>
    <w:p w:rsidR="00240F1E" w14:paraId="68FB3708" w14:textId="14706959">
      <w:pPr>
        <w:jc w:val="both"/>
      </w:pPr>
      <w:r>
        <w:tab/>
        <w:t>De asemene</w:t>
      </w:r>
      <w:r>
        <w:t xml:space="preserve">a, în situaţia în care va fi respins recursul său şi se va considera că se impune acordarea de cheltuieli de judecată, solicită să se considere că ar trebuie să fie proporționale raportat la munca depusă în acest dosar, respectiv cu toate, cu cheltuielile </w:t>
      </w:r>
      <w:r>
        <w:t xml:space="preserve">de deplasare pe care le-a avut, inclusiv la </w:t>
      </w:r>
      <w:r w:rsidR="00812DED">
        <w:t>...B...</w:t>
      </w:r>
      <w:r>
        <w:t xml:space="preserve">, la </w:t>
      </w:r>
      <w:r w:rsidR="0014112D">
        <w:t>...X...</w:t>
      </w:r>
      <w:r>
        <w:t xml:space="preserve"> și toate pozițiile procesuale, s-au perceput 12.000 de lei cu TV inclus. Colega sa a perceput 10.000 de lei doar pentru prima etapă procesuală, în care au depus 8.000 de lei.</w:t>
      </w:r>
    </w:p>
    <w:p w:rsidR="00240F1E" w14:paraId="087B1982" w14:textId="50866F3D">
      <w:pPr>
        <w:ind w:firstLine="708"/>
        <w:jc w:val="both"/>
      </w:pPr>
      <w:r>
        <w:t xml:space="preserve">Intimaţii-pârâţi </w:t>
      </w:r>
      <w:r>
        <w:t xml:space="preserve">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prin avocat, ca şi răspuns la replică, arată că s-a referit  mai devreme la articolul 505 alineatul (10) din codul administrativ, care nu s</w:t>
      </w:r>
      <w:r>
        <w:t>e referă la venitul salarial, are în vedere salariul de bază, practic. Dar  ce a spus colega sa, reclamantul  în cadrul primăriei, pe lângă proiectele europene, s-a ocupat, avea atribuții informatic,  dumnealui, în mod legal, primăria îi suporta acest impo</w:t>
      </w:r>
      <w:r>
        <w:t>zit. Pe de altă parte, la direcție, nu mai are aceste atribuții cu caracter informatic, fiecare face rost de câte o diplomă de informatician și va beneficia de scutirii. Concret trebuie să facă acele atribuții, aceasta fiind părerea sa.</w:t>
      </w:r>
    </w:p>
    <w:p w:rsidR="00240F1E" w14:paraId="758E3D68" w14:textId="77777777">
      <w:pPr>
        <w:jc w:val="both"/>
      </w:pPr>
      <w:r>
        <w:t xml:space="preserve">             Curtea</w:t>
      </w:r>
      <w:r>
        <w:t>, în conformitate cu prevederile art. 494 din Codul de procedură civilă, declară dezbaterile închise şi reţine cauza spre soluţionare.</w:t>
      </w:r>
    </w:p>
    <w:p w:rsidR="00240F1E" w14:paraId="6CD6ACEC" w14:textId="77777777">
      <w:pPr>
        <w:ind w:right="23"/>
        <w:jc w:val="both"/>
      </w:pPr>
      <w:r>
        <w:t xml:space="preserve">                                                            </w:t>
      </w:r>
    </w:p>
    <w:p w:rsidR="00240F1E" w14:paraId="02B4DA8A" w14:textId="77777777">
      <w:pPr>
        <w:jc w:val="both"/>
        <w:rPr>
          <w:rStyle w:val="Fontdeparagrafimplicit"/>
          <w:b/>
        </w:rPr>
      </w:pPr>
      <w:r>
        <w:t xml:space="preserve">                                                            </w:t>
      </w:r>
      <w:r>
        <w:rPr>
          <w:rStyle w:val="Fontdeparagrafimplicit"/>
          <w:b/>
        </w:rPr>
        <w:t>C U R T E A,</w:t>
      </w:r>
    </w:p>
    <w:p w:rsidR="00240F1E" w14:paraId="6F309CE6" w14:textId="77777777">
      <w:pPr>
        <w:jc w:val="center"/>
        <w:rPr>
          <w:rStyle w:val="Fontdeparagrafimplicit"/>
          <w:b/>
        </w:rPr>
      </w:pPr>
    </w:p>
    <w:p w:rsidR="00240F1E" w14:paraId="3700094F" w14:textId="77777777">
      <w:pPr>
        <w:pStyle w:val="Frspaiere"/>
        <w:ind w:firstLine="567"/>
        <w:contextualSpacing/>
        <w:jc w:val="both"/>
        <w:rPr>
          <w:rStyle w:val="Fontdeparagrafimplicit"/>
          <w:rFonts w:ascii="Times New Roman" w:hAnsi="Times New Roman"/>
          <w:sz w:val="24"/>
        </w:rPr>
      </w:pPr>
      <w:bookmarkStart w:name="_Hlk177109604" w:id="1"/>
    </w:p>
    <w:p w:rsidR="00240F1E" w14:paraId="1771FFE2"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Asupra recursului de faţă;</w:t>
      </w:r>
    </w:p>
    <w:p w:rsidR="00240F1E" w14:paraId="0B722EF6"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Din examinarea lucrărilor din dosar, constată următoarele:</w:t>
      </w:r>
    </w:p>
    <w:p w:rsidR="00240F1E" w14:paraId="36804D23" w14:textId="77777777">
      <w:pPr>
        <w:pStyle w:val="Frspaiere"/>
        <w:ind w:firstLine="567"/>
        <w:contextualSpacing/>
        <w:jc w:val="both"/>
        <w:rPr>
          <w:rStyle w:val="Fontdeparagrafimplicit"/>
          <w:rFonts w:ascii="Times New Roman" w:hAnsi="Times New Roman"/>
          <w:i/>
          <w:sz w:val="24"/>
        </w:rPr>
      </w:pPr>
      <w:r>
        <w:rPr>
          <w:rStyle w:val="Fontdeparagrafimplicit"/>
          <w:rFonts w:ascii="Times New Roman" w:hAnsi="Times New Roman"/>
          <w:b/>
          <w:sz w:val="24"/>
        </w:rPr>
        <w:t>I.Circumstanţele cauzei. Cadrul procesual</w:t>
      </w:r>
      <w:r>
        <w:rPr>
          <w:rStyle w:val="Fontdeparagrafimplicit"/>
          <w:rFonts w:ascii="Times New Roman" w:hAnsi="Times New Roman"/>
          <w:i/>
          <w:sz w:val="24"/>
        </w:rPr>
        <w:t xml:space="preserve"> </w:t>
      </w:r>
    </w:p>
    <w:p w:rsidR="00240F1E" w14:paraId="731C1346" w14:textId="77777777">
      <w:pPr>
        <w:pStyle w:val="Frspaiere"/>
        <w:ind w:firstLine="567"/>
        <w:contextualSpacing/>
        <w:jc w:val="both"/>
        <w:rPr>
          <w:rStyle w:val="Fontdeparagrafimplicit"/>
          <w:rFonts w:ascii="Times New Roman" w:hAnsi="Times New Roman"/>
          <w:i/>
          <w:sz w:val="24"/>
        </w:rPr>
      </w:pPr>
      <w:r>
        <w:rPr>
          <w:rStyle w:val="Fontdeparagrafimplicit"/>
          <w:rFonts w:ascii="Times New Roman" w:hAnsi="Times New Roman"/>
          <w:i/>
          <w:sz w:val="24"/>
        </w:rPr>
        <w:t>I.1.Cererea de chemare în judecată</w:t>
      </w:r>
    </w:p>
    <w:p w:rsidR="00240F1E" w14:paraId="171C6349" w14:textId="625CA095">
      <w:pPr>
        <w:ind w:firstLine="567"/>
        <w:contextualSpacing/>
        <w:jc w:val="both"/>
      </w:pPr>
      <w:r>
        <w:t xml:space="preserve">Prin cererea înregistrată pe rolul Tribunalului </w:t>
      </w:r>
      <w:r w:rsidR="00473993">
        <w:t>...A...</w:t>
      </w:r>
      <w:r>
        <w:t xml:space="preserve"> – Secţia Civilă la da</w:t>
      </w:r>
      <w:r>
        <w:t xml:space="preserve">ta de 15.02.2024 sub nr. </w:t>
      </w:r>
      <w:r w:rsidR="0014112D">
        <w:t>...../.../2024</w:t>
      </w:r>
      <w:r>
        <w:t xml:space="preserve">, reclamantul </w:t>
      </w:r>
      <w:r w:rsidR="00812DED">
        <w:t>...Y...</w:t>
      </w:r>
      <w:r>
        <w:t xml:space="preserve"> în contradictoriu cu pârâţii Municipiul </w:t>
      </w:r>
      <w:r w:rsidR="00812DED">
        <w:t>...B...</w:t>
      </w:r>
      <w:r>
        <w:t xml:space="preserve">, Consiliul Local </w:t>
      </w:r>
      <w:r w:rsidR="00812DED">
        <w:t>...B...</w:t>
      </w:r>
      <w:r>
        <w:t xml:space="preserve">, Primarul Municipiului </w:t>
      </w:r>
      <w:r w:rsidR="00812DED">
        <w:t>...B...</w:t>
      </w:r>
      <w:r>
        <w:t xml:space="preserve"> şi Direcţia de Asistenţă Socială </w:t>
      </w:r>
      <w:r w:rsidR="00812DED">
        <w:t>...B...</w:t>
      </w:r>
      <w:r>
        <w:t>,  a solicitat în baza art. 14 din Legea nr. 554/20</w:t>
      </w:r>
      <w:r>
        <w:t xml:space="preserve">04, suspendarea executării Dispoziţiei nr. </w:t>
      </w:r>
      <w:r w:rsidR="00473993">
        <w:t>..../18.01.2024</w:t>
      </w:r>
      <w:r>
        <w:t xml:space="preserve"> întocmită şi emisă de către Primarul Municipiului </w:t>
      </w:r>
      <w:r w:rsidR="00812DED">
        <w:t>...B...</w:t>
      </w:r>
      <w:r>
        <w:t xml:space="preserve">, precum şi a tuturor actelor subsecvente, inclusiv a Deciziei nr. </w:t>
      </w:r>
      <w:r w:rsidR="00473993">
        <w:t>..../18.01.2024</w:t>
      </w:r>
      <w:r>
        <w:t xml:space="preserve"> a Direcţiei de Asistenţă Socială a Municipiului </w:t>
      </w:r>
      <w:r w:rsidR="00812DED">
        <w:t>...B...</w:t>
      </w:r>
      <w:r>
        <w:t xml:space="preserve">, </w:t>
      </w:r>
      <w:r>
        <w:t>cu obligarea pârâţilor la plata cheltuielilor de judecată.</w:t>
      </w:r>
    </w:p>
    <w:p w:rsidR="00240F1E" w14:paraId="3719AEED" w14:textId="77777777">
      <w:pPr>
        <w:ind w:firstLine="708"/>
        <w:jc w:val="both"/>
        <w:rPr>
          <w:rStyle w:val="FontStyle50"/>
          <w:rFonts w:ascii="Times New Roman" w:hAnsi="Times New Roman"/>
          <w:sz w:val="24"/>
        </w:rPr>
      </w:pPr>
      <w:r>
        <w:rPr>
          <w:rStyle w:val="Fontdeparagrafimplicit"/>
          <w:color w:val="000000"/>
        </w:rPr>
        <w:t xml:space="preserve">În motivarea cererii de suspendare, reclamantul a arătat, în esenţă,  că este </w:t>
      </w:r>
      <w:r>
        <w:rPr>
          <w:rStyle w:val="FontStyle50"/>
          <w:rFonts w:ascii="Times New Roman" w:hAnsi="Times New Roman"/>
          <w:sz w:val="24"/>
        </w:rPr>
        <w:t>angajat în cadrul Compartimentului Informatică din Aparatul de Specialitate al Primarului, în calitate de Consilier, cl</w:t>
      </w:r>
      <w:r>
        <w:rPr>
          <w:rStyle w:val="FontStyle50"/>
          <w:rFonts w:ascii="Times New Roman" w:hAnsi="Times New Roman"/>
          <w:sz w:val="24"/>
        </w:rPr>
        <w:t xml:space="preserve">asa I, grad profesional superior, gradaţia 3. </w:t>
      </w:r>
    </w:p>
    <w:p w:rsidR="00240F1E" w14:paraId="6F5897E8" w14:textId="304BAE3F">
      <w:pPr>
        <w:ind w:firstLine="708"/>
        <w:jc w:val="both"/>
        <w:rPr>
          <w:rStyle w:val="FontStyle50"/>
          <w:rFonts w:ascii="Times New Roman" w:hAnsi="Times New Roman"/>
          <w:sz w:val="24"/>
        </w:rPr>
      </w:pPr>
      <w:r>
        <w:rPr>
          <w:rStyle w:val="FontStyle50"/>
          <w:rFonts w:ascii="Times New Roman" w:hAnsi="Times New Roman"/>
          <w:sz w:val="24"/>
        </w:rPr>
        <w:t xml:space="preserve">La data de 18.01.2024, Primarul Municipiului </w:t>
      </w:r>
      <w:r w:rsidR="00812DED">
        <w:rPr>
          <w:rStyle w:val="FontStyle50"/>
          <w:rFonts w:ascii="Times New Roman" w:hAnsi="Times New Roman"/>
          <w:sz w:val="24"/>
        </w:rPr>
        <w:t>...B...</w:t>
      </w:r>
      <w:r>
        <w:rPr>
          <w:rStyle w:val="FontStyle50"/>
          <w:rFonts w:ascii="Times New Roman" w:hAnsi="Times New Roman"/>
          <w:sz w:val="24"/>
        </w:rPr>
        <w:t xml:space="preserve"> a emis Dispoziţia nr. </w:t>
      </w:r>
      <w:r w:rsidR="00473993">
        <w:rPr>
          <w:rStyle w:val="FontStyle50"/>
          <w:rFonts w:ascii="Times New Roman" w:hAnsi="Times New Roman"/>
          <w:sz w:val="24"/>
        </w:rPr>
        <w:t>..../18.01.2024</w:t>
      </w:r>
      <w:r>
        <w:rPr>
          <w:rStyle w:val="FontStyle50"/>
          <w:rFonts w:ascii="Times New Roman" w:hAnsi="Times New Roman"/>
          <w:sz w:val="24"/>
        </w:rPr>
        <w:t>, prin care a dispus măsura detaşării, pe o perioadă nedeterminată „de cel mult 6 luni” pe funcţia publică de execuţie,</w:t>
      </w:r>
      <w:r>
        <w:rPr>
          <w:rStyle w:val="FontStyle50"/>
          <w:rFonts w:ascii="Times New Roman" w:hAnsi="Times New Roman"/>
          <w:sz w:val="24"/>
        </w:rPr>
        <w:t xml:space="preserve"> vacantă de Inspector clasa I, grad profesional superior din cadrul Serviciului Beneficii Sociale/Compartiment Persoane cu Handicap, Persoane Vârstnice şi Subvenţii din cadrul Direcţiei de Asistenţă Socială </w:t>
      </w:r>
      <w:r w:rsidR="00812DED">
        <w:rPr>
          <w:rStyle w:val="FontStyle50"/>
          <w:rFonts w:ascii="Times New Roman" w:hAnsi="Times New Roman"/>
          <w:sz w:val="24"/>
        </w:rPr>
        <w:t>...B...</w:t>
      </w:r>
      <w:r>
        <w:rPr>
          <w:rStyle w:val="FontStyle50"/>
          <w:rFonts w:ascii="Times New Roman" w:hAnsi="Times New Roman"/>
          <w:sz w:val="24"/>
        </w:rPr>
        <w:t xml:space="preserve">, începând cu data de 22.01.2024. </w:t>
      </w:r>
    </w:p>
    <w:p w:rsidR="00240F1E" w14:paraId="34C88902" w14:textId="2F9D30F2">
      <w:pPr>
        <w:ind w:firstLine="708"/>
        <w:jc w:val="both"/>
        <w:rPr>
          <w:rStyle w:val="FontStyle50"/>
          <w:rFonts w:ascii="Times New Roman" w:hAnsi="Times New Roman"/>
          <w:sz w:val="24"/>
        </w:rPr>
      </w:pPr>
      <w:r>
        <w:rPr>
          <w:rStyle w:val="FontStyle50"/>
          <w:rFonts w:ascii="Times New Roman" w:hAnsi="Times New Roman"/>
          <w:sz w:val="24"/>
        </w:rPr>
        <w:t>Consecu</w:t>
      </w:r>
      <w:r>
        <w:rPr>
          <w:rStyle w:val="FontStyle50"/>
          <w:rFonts w:ascii="Times New Roman" w:hAnsi="Times New Roman"/>
          <w:sz w:val="24"/>
        </w:rPr>
        <w:t xml:space="preserve">tiv emiterii acestei Dispoziţii, Direcţia de Asistenţă Socială </w:t>
      </w:r>
      <w:r w:rsidR="00812DED">
        <w:rPr>
          <w:rStyle w:val="FontStyle50"/>
          <w:rFonts w:ascii="Times New Roman" w:hAnsi="Times New Roman"/>
          <w:sz w:val="24"/>
        </w:rPr>
        <w:t>...B...</w:t>
      </w:r>
      <w:r>
        <w:rPr>
          <w:rStyle w:val="FontStyle50"/>
          <w:rFonts w:ascii="Times New Roman" w:hAnsi="Times New Roman"/>
          <w:sz w:val="24"/>
        </w:rPr>
        <w:t xml:space="preserve"> a emis Decizia nr. </w:t>
      </w:r>
      <w:r w:rsidR="00473993">
        <w:rPr>
          <w:rStyle w:val="FontStyle50"/>
          <w:rFonts w:ascii="Times New Roman" w:hAnsi="Times New Roman"/>
          <w:sz w:val="24"/>
        </w:rPr>
        <w:t>..../18.01.2024</w:t>
      </w:r>
      <w:r>
        <w:rPr>
          <w:rStyle w:val="FontStyle50"/>
          <w:rFonts w:ascii="Times New Roman" w:hAnsi="Times New Roman"/>
          <w:sz w:val="24"/>
        </w:rPr>
        <w:t xml:space="preserve"> prin care a fost numit temporar în funcţia de Inspector.</w:t>
      </w:r>
    </w:p>
    <w:p w:rsidR="00240F1E" w14:paraId="0C3CD098" w14:textId="24A532CD">
      <w:pPr>
        <w:ind w:firstLine="708"/>
        <w:jc w:val="both"/>
        <w:rPr>
          <w:rStyle w:val="FontStyle50"/>
          <w:rFonts w:ascii="Times New Roman" w:hAnsi="Times New Roman"/>
          <w:sz w:val="24"/>
        </w:rPr>
      </w:pPr>
      <w:r>
        <w:rPr>
          <w:rStyle w:val="FontStyle50"/>
          <w:rFonts w:ascii="Times New Roman" w:hAnsi="Times New Roman"/>
          <w:sz w:val="24"/>
        </w:rPr>
        <w:t>A susţinut reclamantul că nu are competenţe în domeniul asistenţei sociale, ci  în domeniul informaticii şi securității cibernetice, că nu este specificată perioada pentru care s-a dispus detaşarea, că nu cunoaşte de ce a fost ales el pentru a fi detaşat d</w:t>
      </w:r>
      <w:r>
        <w:rPr>
          <w:rStyle w:val="FontStyle50"/>
          <w:rFonts w:ascii="Times New Roman" w:hAnsi="Times New Roman"/>
          <w:sz w:val="24"/>
        </w:rPr>
        <w:t xml:space="preserve">intre toţi salariaţii compartimentului, că măsura afectează negativ Compartimentul Informatică şi Direcţia de Asistenţă Socială </w:t>
      </w:r>
      <w:r w:rsidR="00812DED">
        <w:rPr>
          <w:rStyle w:val="FontStyle50"/>
          <w:rFonts w:ascii="Times New Roman" w:hAnsi="Times New Roman"/>
          <w:sz w:val="24"/>
        </w:rPr>
        <w:t>...B...</w:t>
      </w:r>
      <w:r>
        <w:rPr>
          <w:rStyle w:val="FontStyle50"/>
          <w:rFonts w:ascii="Times New Roman" w:hAnsi="Times New Roman"/>
          <w:sz w:val="24"/>
        </w:rPr>
        <w:t xml:space="preserve"> şi că drepturile salariale nete i s-au diminuat, deoarece nu mai beneficiază de scutirea de impozit pe venit şi nici nu </w:t>
      </w:r>
      <w:r>
        <w:rPr>
          <w:rStyle w:val="FontStyle50"/>
          <w:rFonts w:ascii="Times New Roman" w:hAnsi="Times New Roman"/>
          <w:sz w:val="24"/>
        </w:rPr>
        <w:t>mai poate participa la proiecte pe fonduri europene unde încasa o indemnizaţie specifică.</w:t>
      </w:r>
    </w:p>
    <w:p w:rsidR="00240F1E" w14:paraId="141B19E8" w14:textId="77777777">
      <w:pPr>
        <w:ind w:firstLine="567"/>
        <w:contextualSpacing/>
        <w:jc w:val="both"/>
        <w:rPr>
          <w:rStyle w:val="Fontdeparagrafimplicit"/>
          <w:color w:val="000000"/>
        </w:rPr>
      </w:pPr>
      <w:r>
        <w:t xml:space="preserve">În drept, a invocat prevederile </w:t>
      </w:r>
      <w:r>
        <w:rPr>
          <w:rStyle w:val="Fontdeparagrafimplicit"/>
          <w:color w:val="000000"/>
        </w:rPr>
        <w:t>art. 14 din Legea nr.554/2004.</w:t>
      </w:r>
    </w:p>
    <w:p w:rsidR="00240F1E" w14:paraId="6EBDA615" w14:textId="77777777">
      <w:pPr>
        <w:ind w:firstLine="567"/>
        <w:contextualSpacing/>
        <w:jc w:val="both"/>
        <w:rPr>
          <w:rStyle w:val="Fontdeparagrafimplicit"/>
          <w:i/>
        </w:rPr>
      </w:pPr>
      <w:r>
        <w:rPr>
          <w:rStyle w:val="Fontdeparagrafimplicit"/>
          <w:i/>
        </w:rPr>
        <w:t>I.2.Hotărârea pronunţată de prima instanţă</w:t>
      </w:r>
    </w:p>
    <w:p w:rsidR="00240F1E" w14:paraId="7C99546F" w14:textId="280E9866">
      <w:pPr>
        <w:ind w:firstLine="567"/>
        <w:contextualSpacing/>
        <w:jc w:val="both"/>
        <w:rPr>
          <w:rStyle w:val="Fontdeparagrafimplicit"/>
          <w:color w:val="000000"/>
        </w:rPr>
      </w:pPr>
      <w:r>
        <w:t xml:space="preserve">Prin Sentinţa civilă nr. </w:t>
      </w:r>
      <w:r w:rsidR="00473993">
        <w:t>....</w:t>
      </w:r>
      <w:r>
        <w:t xml:space="preserve">/F din data de </w:t>
      </w:r>
      <w:r w:rsidR="00473993">
        <w:t>........</w:t>
      </w:r>
      <w:r>
        <w:t>, Tribun</w:t>
      </w:r>
      <w:r>
        <w:t xml:space="preserve">alul </w:t>
      </w:r>
      <w:r w:rsidR="00812DED">
        <w:t>...A...</w:t>
      </w:r>
      <w:r>
        <w:t xml:space="preserve"> - Secţia civilă a admis excepția lipsei calității procesuale pasive a pârâţilor</w:t>
      </w:r>
      <w:r>
        <w:rPr>
          <w:rStyle w:val="Fontdeparagrafimplicit"/>
          <w:b/>
        </w:rPr>
        <w:t xml:space="preserve"> </w:t>
      </w:r>
      <w:r>
        <w:t xml:space="preserve">Municipiul </w:t>
      </w:r>
      <w:r w:rsidR="00812DED">
        <w:t>...B...</w:t>
      </w:r>
      <w:r>
        <w:t xml:space="preserve"> şi Consiliul Local </w:t>
      </w:r>
      <w:r w:rsidR="00812DED">
        <w:t>...B...</w:t>
      </w:r>
      <w:r>
        <w:t xml:space="preserve"> și în consecință a respins cererea de suspendare formulată în contradictoriu cu aceşti pârâţi</w:t>
      </w:r>
      <w:r>
        <w:rPr>
          <w:rStyle w:val="Fontdeparagrafimplicit"/>
          <w:color w:val="000000"/>
        </w:rPr>
        <w:t xml:space="preserve">, </w:t>
      </w:r>
      <w:r>
        <w:t>ca fiind îndreptată îm</w:t>
      </w:r>
      <w:r>
        <w:t>potriva unor persoane fără calitate procesuală pasivă. În continuare, tribunalul a</w:t>
      </w:r>
      <w:r>
        <w:rPr>
          <w:rStyle w:val="Fontdeparagrafimplicit"/>
          <w:color w:val="000000"/>
        </w:rPr>
        <w:t xml:space="preserve"> respins cererea formulată în contradictoriu cu pârâţii </w:t>
      </w:r>
      <w:r>
        <w:t xml:space="preserve">Primarul Municipiului </w:t>
      </w:r>
      <w:r w:rsidR="00812DED">
        <w:t>...B...</w:t>
      </w:r>
      <w:r>
        <w:t xml:space="preserve"> şi Direcţia de Asistenţă Socială </w:t>
      </w:r>
      <w:r w:rsidR="00812DED">
        <w:t>...B...</w:t>
      </w:r>
      <w:r>
        <w:t xml:space="preserve">, </w:t>
      </w:r>
      <w:r>
        <w:rPr>
          <w:rStyle w:val="Fontdeparagrafimplicit"/>
          <w:color w:val="000000"/>
        </w:rPr>
        <w:t>ca neîntemeiată şi a luat act că pârâţii au so</w:t>
      </w:r>
      <w:r>
        <w:rPr>
          <w:rStyle w:val="Fontdeparagrafimplicit"/>
          <w:color w:val="000000"/>
        </w:rPr>
        <w:t>licitat acordarea cheltuielilor de judecată pe cale separată.</w:t>
      </w:r>
    </w:p>
    <w:p w:rsidR="00240F1E" w14:paraId="21491A3E" w14:textId="77777777">
      <w:pPr>
        <w:ind w:firstLine="567"/>
        <w:contextualSpacing/>
        <w:jc w:val="both"/>
        <w:rPr>
          <w:rStyle w:val="Fontdeparagrafimplicit"/>
          <w:i/>
        </w:rPr>
      </w:pPr>
      <w:r>
        <w:rPr>
          <w:rStyle w:val="Fontdeparagrafimplicit"/>
          <w:i/>
        </w:rPr>
        <w:t xml:space="preserve">I.3.Cererea de recurs </w:t>
      </w:r>
    </w:p>
    <w:p w:rsidR="00240F1E" w14:paraId="0C807001" w14:textId="77777777">
      <w:pPr>
        <w:ind w:firstLine="567"/>
        <w:contextualSpacing/>
        <w:jc w:val="both"/>
      </w:pPr>
      <w:r>
        <w:t>Împotriva sentinţei de mai sus, reclamantul a introdus recurs prin care a solicitat admiterea acestuia, casarea sentinţei atacate şi rejudecarea cauzei cu consecinţa admit</w:t>
      </w:r>
      <w:r>
        <w:t>erii cererii de suspendare şi obligarea pârâţilor la plata cheltuielilor de judecată.</w:t>
      </w:r>
    </w:p>
    <w:p w:rsidR="00240F1E" w14:paraId="365581AC" w14:textId="77777777">
      <w:pPr>
        <w:ind w:firstLine="567"/>
        <w:contextualSpacing/>
        <w:jc w:val="both"/>
      </w:pPr>
      <w:r>
        <w:t>Recurentul-reclamant a invocat motivul de casare prevăzut de art. 488 alin. (1) pct. 8 din Codul de procedură civilă, afirmând că „(...) hotărârea a fost dată cu încălcar</w:t>
      </w:r>
      <w:r>
        <w:t>ea sau aplicarea greşită a normelor de drept material”.</w:t>
      </w:r>
    </w:p>
    <w:p w:rsidR="00240F1E" w14:paraId="095C7CE1" w14:textId="6F51C653">
      <w:pPr>
        <w:ind w:firstLine="567"/>
        <w:contextualSpacing/>
        <w:jc w:val="both"/>
      </w:pPr>
      <w:r>
        <w:t xml:space="preserve">Cu privire la admiterea excepţiei lipsei calităţii procesuale pasive a pârâţilor Municipiul </w:t>
      </w:r>
      <w:r w:rsidR="00812DED">
        <w:t>...B...</w:t>
      </w:r>
      <w:r>
        <w:t xml:space="preserve"> şi Consiliul Local </w:t>
      </w:r>
      <w:r w:rsidR="00812DED">
        <w:t>...B...</w:t>
      </w:r>
      <w:r>
        <w:t>, arată că soluţia instanţei de fond este nelegală deoarece părţile raport</w:t>
      </w:r>
      <w:r>
        <w:t>ului juridic litigios din speţă, adică titularii drepturilor şi obligaţiilor născute în temeiul actelor atacate nu sunt doar emitenții acestora.</w:t>
      </w:r>
    </w:p>
    <w:p w:rsidR="00240F1E" w14:paraId="3C2F6B9A" w14:textId="3A5A9ACE">
      <w:pPr>
        <w:ind w:firstLine="567"/>
        <w:contextualSpacing/>
        <w:jc w:val="both"/>
      </w:pPr>
      <w:r>
        <w:t xml:space="preserve">În ceea ce priveşte calitatea procesuală pasivă a Municipiului </w:t>
      </w:r>
      <w:r w:rsidR="00812DED">
        <w:t>...B...</w:t>
      </w:r>
      <w:r>
        <w:t>, aceasta rezultă din prevederile art. 96</w:t>
      </w:r>
      <w:r>
        <w:t xml:space="preserve">  alin. (3) Cod administrativ,  de care instanţa a făcut abstracţie  şi  care  dispun </w:t>
      </w:r>
    </w:p>
    <w:p w:rsidR="00240F1E" w14:paraId="023FBEB4" w14:textId="77777777">
      <w:pPr>
        <w:contextualSpacing/>
        <w:jc w:val="both"/>
      </w:pPr>
    </w:p>
    <w:p w:rsidR="00240F1E" w14:paraId="6283A501" w14:textId="77777777">
      <w:pPr>
        <w:contextualSpacing/>
        <w:jc w:val="both"/>
      </w:pPr>
    </w:p>
    <w:p w:rsidR="00240F1E" w14:paraId="6F5DF83F" w14:textId="77777777">
      <w:pPr>
        <w:contextualSpacing/>
        <w:jc w:val="both"/>
      </w:pPr>
      <w:r>
        <w:t xml:space="preserve">că unităţile administrativ-teritoriale sunt titulare ale drepturilor şi obligaţiilor ce decurg din contractele privind administrarea bunurilor care aparţin domeniului </w:t>
      </w:r>
      <w:r>
        <w:t>public şi privat în care acestea sunt parte, precum şi din raporturile cu alte persoane fizice sau juridice, în condiţiile legii.</w:t>
      </w:r>
    </w:p>
    <w:p w:rsidR="00240F1E" w14:paraId="0309746A" w14:textId="77777777">
      <w:pPr>
        <w:ind w:firstLine="567"/>
        <w:contextualSpacing/>
        <w:jc w:val="both"/>
      </w:pPr>
      <w:r>
        <w:t>În explicitarea acestui text de lege, recurentul arată că doctrina  de specialitate a arătat că acesta confirmă practic faptul</w:t>
      </w:r>
      <w:r>
        <w:t xml:space="preserve"> că, la nivel local, persoana juridică de drept public este unitatea administrativ-teritorială, respectiv că deşi există şi raporturi juridice de natură civilă între autorităţile locale şi particulari, majoritatea acestor raporturi sunt administrative, de </w:t>
      </w:r>
      <w:r>
        <w:t>putere publică, şi iau naştere (ori se modifică/sting) prin intermediul actelor administrative, iar acestea, se emit în mod nemijlocit de către organele administrative cu competenţă în acest sens (consilii, primari dar şi orice alte organe dacă li se recun</w:t>
      </w:r>
      <w:r>
        <w:t xml:space="preserve">oaşte prin lege o anumită competenţă de decizie), dar nu în numele lor propriu ci, după cum se poate observa şi din acest text, în numele unităţii administrativ-teritoriale pe care o reprezintă, acestea fiind şi titularele drepturilor şi obligaţiilor care </w:t>
      </w:r>
      <w:r>
        <w:t>rezultă din aceste acte administrative.</w:t>
      </w:r>
    </w:p>
    <w:p w:rsidR="00240F1E" w14:paraId="1CC3ACCC" w14:textId="13279545">
      <w:pPr>
        <w:ind w:firstLine="567"/>
        <w:contextualSpacing/>
        <w:jc w:val="both"/>
      </w:pPr>
      <w:r>
        <w:t xml:space="preserve">Mai mult, Municipiul </w:t>
      </w:r>
      <w:r w:rsidR="00812DED">
        <w:t>...B...</w:t>
      </w:r>
      <w:r>
        <w:t xml:space="preserve"> este şi singura persoană juridică ce are patrimoniu propriu, împotriva căreia recurentul-reclamant îşi poate îndrepta pretenţiile pecuniare, precum  cheltuielile de judecată, astfel cum r</w:t>
      </w:r>
      <w:r>
        <w:t>ezultă din 5 lit. p) şi art. 96 alin. (1) din Codul administrativ.</w:t>
      </w:r>
    </w:p>
    <w:p w:rsidR="00240F1E" w14:paraId="19C8E0FC" w14:textId="4FC2FA9E">
      <w:pPr>
        <w:ind w:firstLine="567"/>
        <w:contextualSpacing/>
        <w:jc w:val="both"/>
      </w:pPr>
      <w:r>
        <w:t xml:space="preserve">Referitor la calitatea procesuală pasivă a Consiliului Local </w:t>
      </w:r>
      <w:r w:rsidR="00812DED">
        <w:t>...B...</w:t>
      </w:r>
      <w:r>
        <w:t>, arată recurentul că sunt relevante prevederile art. 129 alin. (2) lit. d) şi alin. (7) din Codul administrativ care dis</w:t>
      </w:r>
      <w:r>
        <w:t>pun: „Consiliul local exercită următoarele categorii de atribuţii: d) atribuţii privind gestionarea serviciilor de interes local. [...] în exercitarea atribuţiilor prevăzute la alin. (2) lit. d), consiliul local asigură, potrivit competenţei sale şi în con</w:t>
      </w:r>
      <w:r>
        <w:t xml:space="preserve">diţiile legii, cadrul necesar pentru furnizarea serviciilor publice de interes local privind: b) serviciile sociale pentru protecţia copilului, a persoanelor cu handicap, a persoanelor vârstnice, a familiei şi a altor persoane sau grupuri aflate în nevoie </w:t>
      </w:r>
      <w:r>
        <w:t>socială.</w:t>
      </w:r>
    </w:p>
    <w:p w:rsidR="00240F1E" w14:paraId="4A6BE9FB" w14:textId="7FC79FE4">
      <w:pPr>
        <w:ind w:firstLine="567"/>
        <w:contextualSpacing/>
        <w:jc w:val="both"/>
      </w:pPr>
      <w:r>
        <w:t xml:space="preserve">Aşadar, entitatea care potrivit legii este răspunzătoare de asigurarea serviciilor sociale și asistenţă socială la nivel local este consiliul local, indiferent dacă acesta înţelege să asigure cadrul necesar pentru furnizarea acestor servicii prin </w:t>
      </w:r>
      <w:r>
        <w:t xml:space="preserve">intermediul unei direcţii de specialitate sau nu, astfel încât este responsabil pentru actele adoptate în acest sens, cu atât mai mult cu cât Direcţia de Asistenţă Socială </w:t>
      </w:r>
      <w:r w:rsidR="00812DED">
        <w:t>...B...</w:t>
      </w:r>
      <w:r>
        <w:t xml:space="preserve"> funcţionează în subordinea acestuia.</w:t>
      </w:r>
    </w:p>
    <w:p w:rsidR="00240F1E" w14:paraId="28FC1222" w14:textId="77777777">
      <w:pPr>
        <w:ind w:firstLine="567"/>
        <w:contextualSpacing/>
        <w:jc w:val="both"/>
      </w:pPr>
      <w:r>
        <w:t xml:space="preserve">În ceea ce privește existenţa cazului </w:t>
      </w:r>
      <w:r>
        <w:t>bine justificat, recurentul consideră că instanţa a interpretat în mod eronat noţiunea de caz bine justificat avută în vedere de legiuitor în cadrul art. 15 alin. (1) raportat la art. 14 alin. (1) din Legea nr. 554/2004.</w:t>
      </w:r>
    </w:p>
    <w:p w:rsidR="00240F1E" w14:paraId="695074EC" w14:textId="77777777">
      <w:pPr>
        <w:ind w:firstLine="567"/>
        <w:contextualSpacing/>
        <w:jc w:val="both"/>
      </w:pPr>
      <w:r>
        <w:t>Arată că este adevărat că în cadrul</w:t>
      </w:r>
      <w:r>
        <w:t xml:space="preserve"> procedurii suspendării de executare nu se poate face o analiză aprofundată a conţinutului raportului juridic dedus judecăţii, pentru a nu se prejudicia fondul cauzei, dar aceasta nu înseamnă că împrejurările de fapt sau de drept care ar putea crea o îndoi</w:t>
      </w:r>
      <w:r>
        <w:t>ală serioasă în privinţa legalităţii actului administrativ se limitează la dimensiunea formală a acestuia.</w:t>
      </w:r>
    </w:p>
    <w:p w:rsidR="00240F1E" w14:paraId="4EA26204" w14:textId="77777777">
      <w:pPr>
        <w:ind w:firstLine="567"/>
        <w:contextualSpacing/>
        <w:jc w:val="both"/>
      </w:pPr>
      <w:r>
        <w:t>Dimpotrivă, aparenţa de nelegalitate poate viza şi aspecte de drept material, esenţial fiind că motivele identificate să fie evidente şi să nu implic</w:t>
      </w:r>
      <w:r>
        <w:t>e examinarea fondului cauzei.</w:t>
      </w:r>
    </w:p>
    <w:p w:rsidR="00240F1E" w14:paraId="46971CF4" w14:textId="00C0499D">
      <w:pPr>
        <w:ind w:firstLine="567"/>
        <w:contextualSpacing/>
        <w:jc w:val="both"/>
      </w:pPr>
      <w:r>
        <w:t>Recurentul-reclamant arată că cel mai vădit motiv de nelegalitate a Dispoziţiei de detaşare constă în nerespectarea dispoziţiilor legale reglementate de art. 505 alin. (1) din O.U.G. nr. 57/2019 privind Codul administrativ, pr</w:t>
      </w:r>
      <w:r>
        <w:t xml:space="preserve">in aceea că atât în cuprinsul Dispoziţiei nr. </w:t>
      </w:r>
      <w:r w:rsidR="00473993">
        <w:t>..../18.01.2024</w:t>
      </w:r>
      <w:r>
        <w:t xml:space="preserve">, cât şi al Deciziei nr. </w:t>
      </w:r>
      <w:r w:rsidR="00473993">
        <w:t>..../18.01.2024</w:t>
      </w:r>
      <w:r>
        <w:t>, s-a precizat că detaşarea va fi pentru o perioadă de cel mult 6 luni, fără să fie indicată însă durata efectivă a măsurii.</w:t>
      </w:r>
    </w:p>
    <w:p w:rsidR="00240F1E" w14:paraId="2E3E8CE4" w14:textId="77777777">
      <w:pPr>
        <w:ind w:firstLine="567"/>
        <w:contextualSpacing/>
        <w:jc w:val="both"/>
      </w:pPr>
      <w:r>
        <w:t xml:space="preserve">Actul administrativ prevede o </w:t>
      </w:r>
      <w:r>
        <w:t>durată incertă a măsurii detaşării, deşi, prin definiţie, durata determinată înseamnă o durată precis stabilită, care să permită funcţionarului să cunoască încă de la început pentru ce perioadă va fi detaşat pe un alt post.</w:t>
      </w:r>
    </w:p>
    <w:p w:rsidR="00240F1E" w14:paraId="30AFCEE9" w14:textId="77777777">
      <w:pPr>
        <w:ind w:firstLine="567"/>
        <w:contextualSpacing/>
        <w:jc w:val="both"/>
      </w:pPr>
      <w:r>
        <w:t>În acelaşi sens a statuat şi Age</w:t>
      </w:r>
      <w:r>
        <w:t>nţia Naţională a Funcţionarilor Publici, în urma petiţiilor adresate de recurent.</w:t>
      </w:r>
    </w:p>
    <w:p w:rsidR="00240F1E" w14:paraId="63A19071" w14:textId="77777777">
      <w:pPr>
        <w:ind w:firstLine="567"/>
        <w:contextualSpacing/>
        <w:jc w:val="both"/>
      </w:pPr>
    </w:p>
    <w:p w:rsidR="00240F1E" w14:paraId="482F2A0C" w14:textId="77777777">
      <w:pPr>
        <w:ind w:firstLine="567"/>
        <w:contextualSpacing/>
        <w:jc w:val="both"/>
      </w:pPr>
    </w:p>
    <w:p w:rsidR="00240F1E" w14:paraId="546CF6E2" w14:textId="77777777">
      <w:pPr>
        <w:ind w:firstLine="567"/>
        <w:contextualSpacing/>
        <w:jc w:val="both"/>
      </w:pPr>
      <w:r>
        <w:t xml:space="preserve">În al doilea rând, în ceea ce priveşte posibilitatea revenirii asupra acestei masuri în intervalul de 6 luni dacă împrejurările care au determinat o asemenea măsură nu mai </w:t>
      </w:r>
      <w:r>
        <w:t>subzistă, consideră că instanţa de fond omite faptul că o durată incertă nu creează o posibilitate a revenirii asupra măsurii în sensul revocării acesteia, ci aceasta funcţionează şi în sens invers - posibilitatea revenirii în sensul prelungirii măsurii de</w:t>
      </w:r>
      <w:r>
        <w:t>taşării înăuntrul termenului de 6 luni cu o perioadă la fel de incertă. Durata nedeterminată a măsurii detaşării conferă autorităţii publice prerogativa de a reveni asupra măsurii în sensul prelungirii acesteia cu o durată la fel de incertă, fapt ce conduc</w:t>
      </w:r>
      <w:r>
        <w:t>e, la posibilitatea detaşării funcţionarului public la nesfârşit, sub egida aparentei respectări a dispoziţiilor legale.</w:t>
      </w:r>
    </w:p>
    <w:p w:rsidR="00240F1E" w14:paraId="734824D9" w14:textId="77777777">
      <w:pPr>
        <w:ind w:firstLine="567"/>
        <w:contextualSpacing/>
        <w:jc w:val="both"/>
      </w:pPr>
      <w:r>
        <w:t>Or, intenţia legiuitorului de a reglementa o perioadă maximală nu a avut drept scop să ofere prerogativa autorităţii publice de a adopt</w:t>
      </w:r>
      <w:r>
        <w:t>a un comportament abuziv, ci de a minimiza efectele negative asupra funcţionarului detaşat.</w:t>
      </w:r>
    </w:p>
    <w:p w:rsidR="00240F1E" w14:paraId="31BA967D" w14:textId="77777777">
      <w:pPr>
        <w:ind w:firstLine="567"/>
        <w:contextualSpacing/>
        <w:jc w:val="both"/>
      </w:pPr>
      <w:r>
        <w:t xml:space="preserve">Susţine recurentul că un al doilea motiv de nelegalitate vădită este lipsa motivării actului administrativ. </w:t>
      </w:r>
    </w:p>
    <w:p w:rsidR="00240F1E" w14:paraId="5E2C0469" w14:textId="77777777">
      <w:pPr>
        <w:ind w:firstLine="567"/>
        <w:contextualSpacing/>
        <w:jc w:val="both"/>
      </w:pPr>
      <w:r>
        <w:t>În pofida susţinerilor instanţei de fond, care a arătat</w:t>
      </w:r>
      <w:r>
        <w:t xml:space="preserve"> că în cuprinsul dispoziţiei a cărei suspendare se cere, se indică atât temeiurile de drept ale aplicării măsurii (art. 502 alin. (1) lit. b) și alin. (6), art. 505 alin. (1), (2), (3), (4), (8) şi (10), cât şi motivele de fapt ale modificării raportului d</w:t>
      </w:r>
      <w:r>
        <w:t>e serviciu, aceste menţiuni nu echivalează cu o motivare a măsurii detaşării recurentului-reclamant.</w:t>
      </w:r>
    </w:p>
    <w:p w:rsidR="00240F1E" w14:paraId="59B22987" w14:textId="77777777">
      <w:pPr>
        <w:ind w:firstLine="567"/>
        <w:contextualSpacing/>
        <w:jc w:val="both"/>
      </w:pPr>
      <w:r>
        <w:t>Arată că din cuprinsul Dispoziţiei atacate ori a actelor care au stat la baza emiterii acesteia nu rezultă de ce a fost considerat necesar că recurentul-re</w:t>
      </w:r>
      <w:r>
        <w:t>clamant să fie cel detaşat în cadrul Direcţiei de Asistenţă Socială dintre toţi funcţionarii publici, pe un post pentru care nu are niciun fel de pregătire şi provenind dintr-un Compartiment care la rândul lui este subdimensionat.       |</w:t>
      </w:r>
    </w:p>
    <w:p w:rsidR="00240F1E" w14:paraId="22F003C6" w14:textId="77777777">
      <w:pPr>
        <w:ind w:firstLine="567"/>
        <w:contextualSpacing/>
        <w:jc w:val="both"/>
      </w:pPr>
      <w:r>
        <w:t>În ceea ce priveș</w:t>
      </w:r>
      <w:r>
        <w:t>te nerespectarea condiţiilor privind pregătirea de specialitate a recurentului-reclamant, arată că potrivit art. 505 alin. (2) din Codul administrativ, funcţionarul public trebuie să îndeplinească condiţiile prevăzute la art. 465 lit. f) şi g), pentru ocup</w:t>
      </w:r>
      <w:r>
        <w:t>area funcţiei publice pe care urmează să fie detaşat, conform fişei postului.</w:t>
      </w:r>
    </w:p>
    <w:p w:rsidR="00240F1E" w14:paraId="6CCD93B3" w14:textId="77777777">
      <w:pPr>
        <w:ind w:firstLine="567"/>
        <w:contextualSpacing/>
        <w:jc w:val="both"/>
      </w:pPr>
      <w:r>
        <w:t>Mai departe, art. 465 lit. f) și g) reglementează următoarele: „Art. 465: Condiţii de ocupare a unei funcţii publice - (1) Poate ocupa o funcţie publică persoana care îndeplineşt</w:t>
      </w:r>
      <w:r>
        <w:t>e următoarele condiţii: [...] f) îndeplineşte condiţiile de studii şi vechime în specialitate prevăzute de lege pentru ocuparea funcţiei publice; g) dovedeşte prin certificat sau, după caz, prin alt tip de document absolvirea unei perfecţionări sau special</w:t>
      </w:r>
      <w:r>
        <w:t>izări stabilite expres de lege pentru ocuparea unor funcţii publice”.</w:t>
      </w:r>
    </w:p>
    <w:p w:rsidR="00240F1E" w14:paraId="25A832E3" w14:textId="77777777">
      <w:pPr>
        <w:ind w:firstLine="567"/>
        <w:contextualSpacing/>
        <w:jc w:val="both"/>
      </w:pPr>
      <w:r>
        <w:t>Susţine recurentul-reclamant că nu are studii şi/sau perfecţionări/specializări în domeniu pentru a putea ocupa postul de inspector în cadrul Serviciului „Beneficii Sociale" din cadrul D</w:t>
      </w:r>
      <w:r>
        <w:t>irecţiei de Asistenţă Socială.</w:t>
      </w:r>
    </w:p>
    <w:p w:rsidR="00240F1E" w14:paraId="40B507DB" w14:textId="77777777">
      <w:pPr>
        <w:ind w:firstLine="567"/>
        <w:contextualSpacing/>
        <w:jc w:val="both"/>
      </w:pPr>
      <w:r>
        <w:t>Pregătirea profesională a recurentului-reclamant (absolvent în Drept/cu un master în Ştiinţe Penale, cu atestat de Programator şi alte perfecţionări în domeniul IT), cât şi experienţa în muncă de până acum nu presupun în nici</w:t>
      </w:r>
      <w:r>
        <w:t>un caz vreo legătură cu atribuţiile postului pe care a fost detaşat.</w:t>
      </w:r>
    </w:p>
    <w:p w:rsidR="00240F1E" w14:paraId="7BFB2AC8" w14:textId="470517BF">
      <w:pPr>
        <w:ind w:firstLine="567"/>
        <w:contextualSpacing/>
        <w:jc w:val="both"/>
      </w:pPr>
      <w:r>
        <w:t>Arată că toţi angajaţii din cadrul Direcţiei de Asistenţă Socială au drept cerinţă în fişa postului absolvirea de studii de specialitate (fapt logic şi complet fundamentat), însă fişa pos</w:t>
      </w:r>
      <w:r>
        <w:t xml:space="preserve">tului pentru funcţia recurentului-reclamant a fost modificată cu puţin timp înainte de încadrarea sa, doar cu cerinţa de studii superioare la modul general, condiţiile specifice postului fiind adaptate la pregătirea să profesională-pregătire în securitate </w:t>
      </w:r>
      <w:r>
        <w:t>cibernetică, administrare reţele, programare, deşi acestea nu au nicio legătură cu atribuţiile trasate conform fişei postului pentru inspector în cadrul Direcţiei de Asistenţă Socială, tocmai pentru a face posibilă detaşarea lui, însă acest aspect a fost i</w:t>
      </w:r>
      <w:r>
        <w:t xml:space="preserve">gnorat de Tribunalul </w:t>
      </w:r>
      <w:r w:rsidR="00812DED">
        <w:t>...A...</w:t>
      </w:r>
      <w:r>
        <w:t>.</w:t>
      </w:r>
    </w:p>
    <w:p w:rsidR="00240F1E" w14:paraId="6DA52CC5" w14:textId="77777777">
      <w:pPr>
        <w:ind w:firstLine="567"/>
        <w:contextualSpacing/>
        <w:jc w:val="both"/>
      </w:pPr>
      <w:r>
        <w:t>Cu privire la pregătirea de specialitate, instanţa de fond decide să analizeze în sens restrâns acest concept, prin raportare strictă la ce prevede adresa de detaşare, fără a raporta starea de fapt incidenţă în speţă la dispoz</w:t>
      </w:r>
      <w:r>
        <w:t>iţiile legale în materie.</w:t>
      </w:r>
    </w:p>
    <w:p w:rsidR="00240F1E" w14:paraId="74B373FB" w14:textId="77777777">
      <w:pPr>
        <w:ind w:firstLine="567"/>
        <w:contextualSpacing/>
        <w:jc w:val="both"/>
      </w:pPr>
      <w:r>
        <w:t xml:space="preserve">Intenţia legiuitorului în a condiţiona detaşarea de pregătirea de specialitate a funcţionarului detaşat pentru funcţia pe care urmează să fie numit temporar are la bază raţiunea de a putea </w:t>
      </w:r>
      <w:r>
        <w:t>cenzura un comportament abuziv din partea</w:t>
      </w:r>
      <w:r>
        <w:t xml:space="preserve"> autorităţii publice prin care să poată detaşa persoane pe funcţii pe care nu sunt deloc pregătite, respectiv de a nu bloca activitatea unui compartiment cu nevoie de personal prin aducerea unor funcţionari complet nepregătiţi şi fără experienţă în domeniu</w:t>
      </w:r>
      <w:r>
        <w:t>.</w:t>
      </w:r>
    </w:p>
    <w:p w:rsidR="00240F1E" w14:paraId="23754C1C" w14:textId="5104F07F">
      <w:pPr>
        <w:ind w:firstLine="567"/>
        <w:contextualSpacing/>
        <w:jc w:val="both"/>
      </w:pPr>
      <w:r>
        <w:t xml:space="preserve">Suplimentar, arată că şi în ipoteza absurdă în care raţionamentul instanţei de fond ar fi corect şi condiţia pregătirii de specialitate ar fi îndeplinită, arată recurentul că nu înţelege teza Tribunalului </w:t>
      </w:r>
      <w:r w:rsidR="00812DED">
        <w:t>...A...</w:t>
      </w:r>
      <w:r>
        <w:t xml:space="preserve"> prin care afirmă că reclamantul nu poate </w:t>
      </w:r>
      <w:r>
        <w:t>pretinde îndeplinirea aceloraşi atribuţii de serviciu cu care era familiarizat.</w:t>
      </w:r>
    </w:p>
    <w:p w:rsidR="00240F1E" w14:paraId="65F5A59C" w14:textId="77777777">
      <w:pPr>
        <w:ind w:firstLine="567"/>
        <w:contextualSpacing/>
        <w:jc w:val="both"/>
      </w:pPr>
      <w:r>
        <w:t>Consideră că instanţa de fond ignoră realizarea adaptării situaţiei de fapt la dispoziţiile legale, suficient de clare, în sensul că funcţionarul public detaşat trebuie să înde</w:t>
      </w:r>
      <w:r>
        <w:t>plinească condiţiile de studii şi vechime în specialitate prevăzute de lege pentru ocuparea funcţiei publice.</w:t>
      </w:r>
    </w:p>
    <w:p w:rsidR="00240F1E" w14:paraId="1BDF50E7" w14:textId="77777777">
      <w:pPr>
        <w:ind w:firstLine="567"/>
        <w:contextualSpacing/>
        <w:jc w:val="both"/>
      </w:pPr>
      <w:r>
        <w:t xml:space="preserve">Urmând raţionamentul instanţei de fond, s-ar ajunge la situaţia în care orice funcţionar care activează în cadrul unui departament cu o anumită </w:t>
      </w:r>
      <w:r>
        <w:t>specializare să poată fi detaşat pe un alt post vacant dintr-un alt compartiment cu o complet altă specializare, cât timp are studii superioare (indiferent care) şi aceasta este condiţia cerută de fişa postului, încălcându-se complet scopul pentru care a f</w:t>
      </w:r>
      <w:r>
        <w:t>ost instituită măsura detaşării - în interesul autorităţii sau instituţiei publice.</w:t>
      </w:r>
    </w:p>
    <w:p w:rsidR="00240F1E" w14:paraId="612F71BA" w14:textId="77777777">
      <w:pPr>
        <w:ind w:firstLine="567"/>
        <w:contextualSpacing/>
        <w:jc w:val="both"/>
      </w:pPr>
      <w:r>
        <w:t>Cu privire la paguba iminentă, Tribunalul reţine în partea finală a hotărârii că argumentele vizând paguba iminentă sunt lipsite de interes cât timp condiţia cazului bine j</w:t>
      </w:r>
      <w:r>
        <w:t>ustificat nu este întrunită, însă anterior analizează condiţia pagubei iminente, din perspectiva a două argumente: (1) regresul din perspectivă financiară a veniturilor recurentului-reclamant, respectiv (2) afectarea gravă a Compartimentului de Informatică</w:t>
      </w:r>
      <w:r>
        <w:t xml:space="preserve">. </w:t>
      </w:r>
    </w:p>
    <w:p w:rsidR="00240F1E" w14:paraId="742AD52B" w14:textId="77777777">
      <w:pPr>
        <w:ind w:firstLine="567"/>
        <w:contextualSpacing/>
        <w:jc w:val="both"/>
      </w:pPr>
      <w:r>
        <w:t>Paguba iminentă este definită de art. 2 alin. (1) lit. 3 din Legea nr. 554/2004 că fiind prejudiciul material viitor şi previzibil sau, după caz, perturbarea previzibila grava a funcţionarii unei autorităţi publice sau a unui serviciu public.</w:t>
      </w:r>
    </w:p>
    <w:p w:rsidR="00240F1E" w14:paraId="2A40C257" w14:textId="77777777">
      <w:pPr>
        <w:ind w:firstLine="567"/>
        <w:contextualSpacing/>
        <w:jc w:val="both"/>
      </w:pPr>
      <w:r>
        <w:t xml:space="preserve">Referitor </w:t>
      </w:r>
      <w:r>
        <w:t>la nerespectarea dispoziţiilor legale privind păstrarea salariului, recurentul arată că noţiunea de „venit salarial" al personalului din sectorul bugetar este definită de art. 7 lit. m) din Legea nr. 153/2007, care prevede următoarele: „venitul salarial al</w:t>
      </w:r>
      <w:r>
        <w:t xml:space="preserve"> personalului din sectorul bugetar cuprinde salariile de bază, soldele de funcţie/salariile de funcţie, soldele de grad/salariile gradului profesional deţinut, gradaţiile, soldele de comandă/salariile de comandă, indemnizaţiile de încadrare, indemnizaţiile</w:t>
      </w:r>
      <w:r>
        <w:t xml:space="preserve"> lunare şi, după caz, compensaţiile, indemnizaţiile, sporurile, majorările, adaosurile, primele şi premiile, precum şi alte drepturi în bani şi/sau în natură, corespunzătoare fiecărei categorii de personal din sectorul bugetar”.</w:t>
      </w:r>
    </w:p>
    <w:p w:rsidR="00240F1E" w14:paraId="116C56DB" w14:textId="77777777">
      <w:pPr>
        <w:ind w:firstLine="567"/>
        <w:contextualSpacing/>
        <w:jc w:val="both"/>
      </w:pPr>
      <w:r>
        <w:t>Această normă legală trebui</w:t>
      </w:r>
      <w:r>
        <w:t>e coroborată cu prevederile art. 505 alin. (10) Cod administrativ, care statuează că pe perioada detaşării funcţionarul public îşi păstrează funcţia publică şi salariul. Dacă salariul corespunzător funcţiei publice pe care este detaşat este mai mare, el ar</w:t>
      </w:r>
      <w:r>
        <w:t xml:space="preserve">e dreptul la acest salariu. </w:t>
      </w:r>
    </w:p>
    <w:p w:rsidR="00240F1E" w14:paraId="044CBB78" w14:textId="650D254C">
      <w:pPr>
        <w:ind w:firstLine="567"/>
        <w:contextualSpacing/>
        <w:jc w:val="both"/>
      </w:pPr>
      <w:r>
        <w:t>În condiţiile în care venitul din salariu al recurentului-reclamant includea, suplimentar faţă de venitul net normal, atât (i) scutirea de la plata pe impozitul pe venit în temeiul art. 60 pct. 2 Cod Fiscal  şi în baza Dispoziţ</w:t>
      </w:r>
      <w:r>
        <w:t xml:space="preserve">iei nr. </w:t>
      </w:r>
      <w:r w:rsidR="00473993">
        <w:t>.....</w:t>
      </w:r>
      <w:r>
        <w:t xml:space="preserve"> referitoare la acordarea domnului </w:t>
      </w:r>
      <w:r w:rsidR="00812DED">
        <w:t>...Y...</w:t>
      </w:r>
      <w:r>
        <w:t xml:space="preserve"> a facilităţii fiscale emisă de Primarul Municipiului </w:t>
      </w:r>
      <w:r w:rsidR="00812DED">
        <w:t>...B...</w:t>
      </w:r>
      <w:r>
        <w:t xml:space="preserve"> la data de 24.07.2023, cât şi (îi) indemnizaţii de proiect, faptul că nu mai beneficiază de acestea pe perioada detaşării reprezintă o încă</w:t>
      </w:r>
      <w:r>
        <w:t>lcare a art. 505 alin. (10) Cod administrativ, în ciuda susţinerilor instanţei de fond - care s-a limitat la a face trimitere doar la venitul salarial brut, de bază.</w:t>
      </w:r>
    </w:p>
    <w:p w:rsidR="00240F1E" w14:paraId="0EC0AF02" w14:textId="77777777">
      <w:pPr>
        <w:ind w:firstLine="567"/>
        <w:contextualSpacing/>
        <w:jc w:val="both"/>
      </w:pPr>
      <w:r>
        <w:t>Afirmă că discrepanţa rezultă din adeverinţele de venit pe care le-a depus la dosarul cauz</w:t>
      </w:r>
      <w:r>
        <w:t xml:space="preserve">ei care atestă un venit lunar cu aproximativ 1000 de lei mai mic decât anterior detaşării. </w:t>
      </w:r>
    </w:p>
    <w:p w:rsidR="00240F1E" w14:paraId="11068CFD" w14:textId="77777777">
      <w:pPr>
        <w:ind w:firstLine="567"/>
        <w:contextualSpacing/>
        <w:jc w:val="both"/>
      </w:pPr>
      <w:r>
        <w:t>Menţionează că are un copil, nou-născut, iar orice venit în minus are un impact mult mai mare în astfel de circumstanţe.</w:t>
      </w:r>
    </w:p>
    <w:p w:rsidR="00240F1E" w14:paraId="435B6E4C" w14:textId="77777777">
      <w:pPr>
        <w:ind w:firstLine="567"/>
        <w:contextualSpacing/>
        <w:jc w:val="both"/>
      </w:pPr>
      <w:r>
        <w:t>Susţine recurentul-reclamant că este prejud</w:t>
      </w:r>
      <w:r>
        <w:t>iciat şi la nivel profesional, întrucât este pus în situaţia să îndeplinească atribuţii complet străine de pregătirea sa profesională, ceea ce constituie un regres din perspectivă profesională.</w:t>
      </w:r>
    </w:p>
    <w:p w:rsidR="00240F1E" w14:paraId="25A32FC7" w14:textId="77777777">
      <w:pPr>
        <w:ind w:firstLine="567"/>
        <w:contextualSpacing/>
        <w:jc w:val="both"/>
      </w:pPr>
      <w:r>
        <w:t>Instanţa de fond a statuat în mod eronat că paguba iminentă nu</w:t>
      </w:r>
      <w:r>
        <w:t xml:space="preserve"> este identică cu prejudiciul care afectează negativ reclamantul, respectiv că dacă legiuitorul ar fi circumstanțiat paguba iminentă la un asemenea efect patrimonial negativ produs că urmare a punerii în executare a actului administrativ, nu mai există nic</w:t>
      </w:r>
      <w:r>
        <w:t>io raţiune pentru reglementarea , prevăzută de art. 14 alin. (1) din Legea nr. 554/2004.</w:t>
      </w:r>
    </w:p>
    <w:p w:rsidR="00240F1E" w14:paraId="006CBACA" w14:textId="77777777">
      <w:pPr>
        <w:ind w:firstLine="567"/>
        <w:contextualSpacing/>
        <w:jc w:val="both"/>
      </w:pPr>
      <w:r>
        <w:t>Potrivit tribunalului, deprecierea veniturilor recurentului-reclamant care îi afectează viaţa personală şi familia nu ar fi suficientă pentru a fi considerată o pagubă</w:t>
      </w:r>
      <w:r>
        <w:t xml:space="preserve"> iminentă, însă este consacrat jurisprudenţial că diferenţele salariale în urma detaşării coroborat cu circumstanţele personale sunt suficiente pentru a demonstra caracterul inoportun al detaşării.</w:t>
      </w:r>
    </w:p>
    <w:p w:rsidR="00240F1E" w14:paraId="66469486" w14:textId="77777777">
      <w:pPr>
        <w:ind w:firstLine="567"/>
        <w:contextualSpacing/>
        <w:jc w:val="both"/>
      </w:pPr>
      <w:r>
        <w:t>Recurentul-reclamant mai arată că este întrunită şi ipotez</w:t>
      </w:r>
      <w:r>
        <w:t>a perturbării previzibile grave a funcţionării  unei  autorităţi  publice sau a unui serviciu public prin aceea că este afectată activitatea Compartimentului de  Informatică,  fiind imposibil că un singur om să gestioneze întreaga  activitate a acestuia (c</w:t>
      </w:r>
      <w:r>
        <w:t>u atât mai mult cu cât, în anul 2021, acest Compartiment era alcătuit din 5 funcţionari), recurentul-reclamant fiind de altfel singurul care deţin o certificare în domeniul securității cibernetice</w:t>
      </w:r>
    </w:p>
    <w:p w:rsidR="00240F1E" w14:paraId="3CBCBAEA" w14:textId="77777777">
      <w:pPr>
        <w:ind w:firstLine="567"/>
        <w:contextualSpacing/>
        <w:jc w:val="both"/>
      </w:pPr>
      <w:r>
        <w:t xml:space="preserve">Arată că în contradicţie vădită cu însăşi definiţia legală </w:t>
      </w:r>
      <w:r>
        <w:t>a noţiunii de pagubă iminentă, instanţa de fond a reţinut că nu suntem în prezenţa unei pagube iminente întrucât această împrejurare nu îl vizează pe reclamant şi a fost alegerea instituţiei pârâte măsura detaşării reclamantului,  în ciuda faptului că aces</w:t>
      </w:r>
      <w:r>
        <w:t>ta  susţine că este singurul cu competenţe  în  dezvoltarea de aplicaţii software şi asigurarea mentenanței acestora.</w:t>
      </w:r>
    </w:p>
    <w:p w:rsidR="00240F1E" w14:paraId="2F5B66F8" w14:textId="77777777">
      <w:pPr>
        <w:ind w:firstLine="567"/>
        <w:contextualSpacing/>
        <w:jc w:val="both"/>
      </w:pPr>
      <w:r>
        <w:t>În realitate, susţine recurentul, se  află în prezenţa unei pagube iminente dintr-o dublă perspectivă, intimaţii neaducând niciun argument</w:t>
      </w:r>
      <w:r>
        <w:t xml:space="preserve"> său vreo probă care să fi contracarat  susţinerile şi raţionamentul prezentat de recurentul-reclamant.</w:t>
      </w:r>
    </w:p>
    <w:p w:rsidR="00240F1E" w14:paraId="608A0844" w14:textId="77777777">
      <w:pPr>
        <w:ind w:firstLine="567"/>
        <w:contextualSpacing/>
        <w:jc w:val="both"/>
        <w:rPr>
          <w:rStyle w:val="Fontdeparagrafimplicit"/>
          <w:i/>
        </w:rPr>
      </w:pPr>
      <w:r>
        <w:rPr>
          <w:rStyle w:val="Fontdeparagrafimplicit"/>
          <w:i/>
        </w:rPr>
        <w:t>I.4. Apărările formulate în cauză</w:t>
      </w:r>
    </w:p>
    <w:p w:rsidR="00240F1E" w14:paraId="2A6C002E" w14:textId="02BBCB4D">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color w:val="000000"/>
          <w:sz w:val="24"/>
        </w:rPr>
        <w:t>Intimații-</w:t>
      </w:r>
      <w:r>
        <w:rPr>
          <w:rStyle w:val="Fontdeparagrafimplicit"/>
          <w:rFonts w:ascii="Times New Roman" w:hAnsi="Times New Roman"/>
          <w:sz w:val="24"/>
        </w:rPr>
        <w:t>pârâți</w:t>
      </w:r>
      <w:r>
        <w:rPr>
          <w:rStyle w:val="Fontdeparagrafimplicit"/>
          <w:sz w:val="24"/>
        </w:rPr>
        <w:t xml:space="preserve"> </w:t>
      </w:r>
      <w:r>
        <w:rPr>
          <w:rStyle w:val="Fontdeparagrafimplicit"/>
          <w:rFonts w:ascii="Times New Roman" w:hAnsi="Times New Roman"/>
          <w:sz w:val="24"/>
        </w:rPr>
        <w:t xml:space="preserve">Municipiul </w:t>
      </w:r>
      <w:r w:rsidR="00812DED">
        <w:rPr>
          <w:rStyle w:val="Fontdeparagrafimplicit"/>
          <w:rFonts w:ascii="Times New Roman" w:hAnsi="Times New Roman"/>
          <w:sz w:val="24"/>
        </w:rPr>
        <w:t>...B...</w:t>
      </w:r>
      <w:r>
        <w:rPr>
          <w:rStyle w:val="Fontdeparagrafimplicit"/>
          <w:rFonts w:ascii="Times New Roman" w:hAnsi="Times New Roman"/>
          <w:sz w:val="24"/>
        </w:rPr>
        <w:t xml:space="preserve">, Consiliul Local </w:t>
      </w:r>
      <w:r w:rsidR="00812DED">
        <w:rPr>
          <w:rStyle w:val="Fontdeparagrafimplicit"/>
          <w:rFonts w:ascii="Times New Roman" w:hAnsi="Times New Roman"/>
          <w:sz w:val="24"/>
        </w:rPr>
        <w:t>...B...</w:t>
      </w:r>
      <w:r>
        <w:rPr>
          <w:rStyle w:val="Fontdeparagrafimplicit"/>
          <w:rFonts w:ascii="Times New Roman" w:hAnsi="Times New Roman"/>
          <w:sz w:val="24"/>
        </w:rPr>
        <w:t xml:space="preserve">, Primarul Municipiului </w:t>
      </w:r>
      <w:r w:rsidR="00812DED">
        <w:rPr>
          <w:rStyle w:val="Fontdeparagrafimplicit"/>
          <w:rFonts w:ascii="Times New Roman" w:hAnsi="Times New Roman"/>
          <w:sz w:val="24"/>
        </w:rPr>
        <w:t>...B...</w:t>
      </w:r>
      <w:r>
        <w:rPr>
          <w:rStyle w:val="Fontdeparagrafimplicit"/>
          <w:rFonts w:ascii="Times New Roman" w:hAnsi="Times New Roman"/>
          <w:sz w:val="24"/>
        </w:rPr>
        <w:t xml:space="preserve"> şi Direcţia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w:t>
      </w:r>
      <w:r>
        <w:rPr>
          <w:rStyle w:val="Fontdeparagrafimplicit"/>
          <w:rFonts w:ascii="Times New Roman" w:hAnsi="Times New Roman"/>
          <w:color w:val="000000"/>
          <w:sz w:val="24"/>
        </w:rPr>
        <w:t xml:space="preserve">au  depus întâmpinare prin care a solicitat </w:t>
      </w:r>
      <w:r>
        <w:rPr>
          <w:rStyle w:val="Fontdeparagrafimplicit"/>
          <w:rFonts w:ascii="Times New Roman" w:hAnsi="Times New Roman"/>
          <w:sz w:val="24"/>
        </w:rPr>
        <w:t>respingerea cererii de recurs ca neîntemeiată, cu consecinţa  menţinerii hotărârii instanţei de fond ca fiind temeinică şi legală.</w:t>
      </w:r>
    </w:p>
    <w:p w:rsidR="00240F1E" w14:paraId="0C4FB8A2" w14:textId="704C285A">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Intimații-pârâți  arată  că în mod cor</w:t>
      </w:r>
      <w:r>
        <w:rPr>
          <w:rStyle w:val="Fontdeparagrafimplicit"/>
          <w:rFonts w:ascii="Times New Roman" w:hAnsi="Times New Roman"/>
          <w:sz w:val="24"/>
        </w:rPr>
        <w:t xml:space="preserve">ect instanţa de fond a constatat temeinicia excepţiei lipsei calităţii procesuale pasive a Consiliului Local </w:t>
      </w:r>
      <w:r w:rsidR="00812DED">
        <w:rPr>
          <w:rStyle w:val="Fontdeparagrafimplicit"/>
          <w:rFonts w:ascii="Times New Roman" w:hAnsi="Times New Roman"/>
          <w:sz w:val="24"/>
        </w:rPr>
        <w:t>...B...</w:t>
      </w:r>
      <w:r>
        <w:rPr>
          <w:rStyle w:val="Fontdeparagrafimplicit"/>
          <w:rFonts w:ascii="Times New Roman" w:hAnsi="Times New Roman"/>
          <w:sz w:val="24"/>
        </w:rPr>
        <w:t xml:space="preserve"> şi a Municipiului </w:t>
      </w:r>
      <w:r w:rsidR="00812DED">
        <w:rPr>
          <w:rStyle w:val="Fontdeparagrafimplicit"/>
          <w:rFonts w:ascii="Times New Roman" w:hAnsi="Times New Roman"/>
          <w:sz w:val="24"/>
        </w:rPr>
        <w:t>...B...</w:t>
      </w:r>
      <w:r>
        <w:rPr>
          <w:rStyle w:val="Fontdeparagrafimplicit"/>
          <w:rFonts w:ascii="Times New Roman" w:hAnsi="Times New Roman"/>
          <w:sz w:val="24"/>
        </w:rPr>
        <w:t>, în condiţiile în care potrivit Legii contenciosului administrativ nr. 554/2004, calitate procesuală are emitentu</w:t>
      </w:r>
      <w:r>
        <w:rPr>
          <w:rStyle w:val="Fontdeparagrafimplicit"/>
          <w:rFonts w:ascii="Times New Roman" w:hAnsi="Times New Roman"/>
          <w:sz w:val="24"/>
        </w:rPr>
        <w:t>l actului.</w:t>
      </w:r>
    </w:p>
    <w:p w:rsidR="00240F1E" w14:paraId="696AE31C"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Condiţia esenţială pentru o structură administrativă de a intra într-un raport juridic de drept administrativ o reprezintă  competenţa, care  este constituită  din ansamblul  atribuţiilor conferite de lege pentru a acţiona în baza şi în executar</w:t>
      </w:r>
      <w:r>
        <w:rPr>
          <w:rStyle w:val="Fontdeparagrafimplicit"/>
          <w:rFonts w:ascii="Times New Roman" w:hAnsi="Times New Roman"/>
          <w:sz w:val="24"/>
        </w:rPr>
        <w:t>ea legii, emiţând acte administrative şi efectuând operaţiuni administrative. în concluzie, astfel cum în mod corect a reţinut instanţa de fond, este evident că orice autoritate publică este parte în raporturile de drept administrativ născute din propriile</w:t>
      </w:r>
      <w:r>
        <w:rPr>
          <w:rStyle w:val="Fontdeparagrafimplicit"/>
          <w:rFonts w:ascii="Times New Roman" w:hAnsi="Times New Roman"/>
          <w:sz w:val="24"/>
        </w:rPr>
        <w:t xml:space="preserve"> acte de autoritate emise (adoptate) ca urmare a exercitării atribuţiilor sale.</w:t>
      </w:r>
    </w:p>
    <w:p w:rsidR="00240F1E" w14:paraId="44979538" w14:textId="74B41A6C">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 În plus, împrejurarea că Direcţia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se află în subordinea Consiliului Local </w:t>
      </w:r>
      <w:r w:rsidR="00812DED">
        <w:rPr>
          <w:rStyle w:val="Fontdeparagrafimplicit"/>
          <w:rFonts w:ascii="Times New Roman" w:hAnsi="Times New Roman"/>
          <w:sz w:val="24"/>
        </w:rPr>
        <w:t>...B...</w:t>
      </w:r>
      <w:r>
        <w:rPr>
          <w:rStyle w:val="Fontdeparagrafimplicit"/>
          <w:rFonts w:ascii="Times New Roman" w:hAnsi="Times New Roman"/>
          <w:sz w:val="24"/>
        </w:rPr>
        <w:t xml:space="preserve"> nu este de natură să atragă calitatea procesuală pasivă a acestu</w:t>
      </w:r>
      <w:r>
        <w:rPr>
          <w:rStyle w:val="Fontdeparagrafimplicit"/>
          <w:rFonts w:ascii="Times New Roman" w:hAnsi="Times New Roman"/>
          <w:sz w:val="24"/>
        </w:rPr>
        <w:t xml:space="preserve">ia din urmă, în condiţiile în care Direcţia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are personalitate juridică. Mai mult decât atât, Consiliul local nu este entitate cu personalitate juridică, ci organ deliberativ al unităţii administrativ-teritoriale, neavând capaci</w:t>
      </w:r>
      <w:r>
        <w:rPr>
          <w:rStyle w:val="Fontdeparagrafimplicit"/>
          <w:rFonts w:ascii="Times New Roman" w:hAnsi="Times New Roman"/>
          <w:sz w:val="24"/>
        </w:rPr>
        <w:t>tate de folosinţă a drepturilor civile pentru a fi parte în judecată.</w:t>
      </w:r>
    </w:p>
    <w:p w:rsidR="00240F1E" w14:paraId="06445C57" w14:textId="44686CDB">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Totodată, în mod corecta reţinut instanţa de fond şi faptul că întrucât Primarul Municipiului </w:t>
      </w:r>
      <w:r w:rsidR="00812DED">
        <w:rPr>
          <w:rStyle w:val="Fontdeparagrafimplicit"/>
          <w:rFonts w:ascii="Times New Roman" w:hAnsi="Times New Roman"/>
          <w:sz w:val="24"/>
        </w:rPr>
        <w:t>...B...</w:t>
      </w:r>
      <w:r>
        <w:rPr>
          <w:rStyle w:val="Fontdeparagrafimplicit"/>
          <w:rFonts w:ascii="Times New Roman" w:hAnsi="Times New Roman"/>
          <w:sz w:val="24"/>
        </w:rPr>
        <w:t xml:space="preserve"> şi Direcţia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sunt autorităţi publice ale administraţiei </w:t>
      </w:r>
      <w:r>
        <w:rPr>
          <w:rStyle w:val="Fontdeparagrafimplicit"/>
          <w:rFonts w:ascii="Times New Roman" w:hAnsi="Times New Roman"/>
          <w:sz w:val="24"/>
        </w:rPr>
        <w:t>publice locale, distincte de subiectul de drept fiscal reprezentat de unitatea administrativ teritorială, împrejurarea că pe calea acestei acţiuni se solicită obligarea pârâţilor la plata cheltuielilor de judecată nu este de natură să atragă calitatea proc</w:t>
      </w:r>
      <w:r>
        <w:rPr>
          <w:rStyle w:val="Fontdeparagrafimplicit"/>
          <w:rFonts w:ascii="Times New Roman" w:hAnsi="Times New Roman"/>
          <w:sz w:val="24"/>
        </w:rPr>
        <w:t>esual pasivă a unităţii administrativ teritoriale.</w:t>
      </w:r>
    </w:p>
    <w:p w:rsidR="00240F1E" w14:paraId="079724AA"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De asemenea, arată că în mod corect instanţa de fond a constatat faptul că reclamantul nu probează existenţa cazului bine justificat şi nici pe cea a pagubei iminente</w:t>
      </w:r>
    </w:p>
    <w:p w:rsidR="00240F1E" w14:paraId="4C6643EE"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În ceea ce priveşte critica de nelegal</w:t>
      </w:r>
      <w:r>
        <w:rPr>
          <w:rStyle w:val="Fontdeparagrafimplicit"/>
          <w:rFonts w:ascii="Times New Roman" w:hAnsi="Times New Roman"/>
          <w:sz w:val="24"/>
        </w:rPr>
        <w:t>itate prin raportare la neîndeplinirea condiţiei motivării celor două acte administrative, arată faptul că, amploarea şi detalierea motivării depind de natura actului adoptat, iar cerinţele pe care trebuie să le îndeplinească motivarea depind de circumstan</w:t>
      </w:r>
      <w:r>
        <w:rPr>
          <w:rStyle w:val="Fontdeparagrafimplicit"/>
          <w:rFonts w:ascii="Times New Roman" w:hAnsi="Times New Roman"/>
          <w:sz w:val="24"/>
        </w:rPr>
        <w:t>ţele fiecărui caz.</w:t>
      </w:r>
    </w:p>
    <w:p w:rsidR="00240F1E" w14:paraId="0A48E7D1"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Aşadar, deşi motivarea reprezintă o obligaţie generală, aplicabilă oricărui act administrativ, ea face obiectul unei aprecieri </w:t>
      </w:r>
      <w:r>
        <w:rPr>
          <w:rStyle w:val="Fontdeparagrafimplicit"/>
          <w:rFonts w:ascii="Times New Roman" w:hAnsi="Times New Roman"/>
          <w:i/>
          <w:sz w:val="24"/>
        </w:rPr>
        <w:t>in concreto</w:t>
      </w:r>
      <w:r>
        <w:rPr>
          <w:rStyle w:val="Fontdeparagrafimplicit"/>
          <w:rFonts w:ascii="Times New Roman" w:hAnsi="Times New Roman"/>
          <w:sz w:val="24"/>
        </w:rPr>
        <w:t>, după natura acestuia şi contextul adoptării sale, prin prisma obiectivul său, care este prezentar</w:t>
      </w:r>
      <w:r>
        <w:rPr>
          <w:rStyle w:val="Fontdeparagrafimplicit"/>
          <w:rFonts w:ascii="Times New Roman" w:hAnsi="Times New Roman"/>
          <w:sz w:val="24"/>
        </w:rPr>
        <w:t>ea într-un mod clar şi neechivoc a raţionamentului instituţiei emitente a actului.</w:t>
      </w:r>
    </w:p>
    <w:p w:rsidR="00240F1E" w14:paraId="29F1F50C"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Arată că cele două acte administrative a căror suspendare se solicită conţin elementele obligatorii cerute de dispoziţiile legale în cazul modificării raportului de serviciu</w:t>
      </w:r>
      <w:r>
        <w:rPr>
          <w:rStyle w:val="Fontdeparagrafimplicit"/>
          <w:rFonts w:ascii="Times New Roman" w:hAnsi="Times New Roman"/>
          <w:sz w:val="24"/>
        </w:rPr>
        <w:t xml:space="preserve"> al funcţionarului public, respectiv: (i) temeiul legal al modificării raporturilor de serviciu, identificat prin dispoziţia legală incidenţă, precum şi actele doveditoare care stau la baza încadrării în textul de lege; (ii) numele şi prenumele funcţionaru</w:t>
      </w:r>
      <w:r>
        <w:rPr>
          <w:rStyle w:val="Fontdeparagrafimplicit"/>
          <w:rFonts w:ascii="Times New Roman" w:hAnsi="Times New Roman"/>
          <w:sz w:val="24"/>
        </w:rPr>
        <w:t>lui public; (iii) denumirea funcţiei publice, individualizată prin categorie, clasă şi grad profesional; (iv) data de la care urmează să fie modificat raportul de serviciu; (v) perioada pentru care se dispune modificarea raportului de serviciu (i.e. cel mu</w:t>
      </w:r>
      <w:r>
        <w:rPr>
          <w:rStyle w:val="Fontdeparagrafimplicit"/>
          <w:rFonts w:ascii="Times New Roman" w:hAnsi="Times New Roman"/>
          <w:sz w:val="24"/>
        </w:rPr>
        <w:t>lt 6 luni); (vi) funcţia publică pe care se efectuează modificarea raporturilor de serviciu; (vii) drepturile salariale; (viii) locul de desfăşurare a activităţii.</w:t>
      </w:r>
    </w:p>
    <w:p w:rsidR="00240F1E" w14:paraId="4252A912"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Pe de altă parte, recurentul reclamant consideră că actele administrative sunt nemotivate pr</w:t>
      </w:r>
      <w:r>
        <w:rPr>
          <w:rStyle w:val="Fontdeparagrafimplicit"/>
          <w:rFonts w:ascii="Times New Roman" w:hAnsi="Times New Roman"/>
          <w:sz w:val="24"/>
        </w:rPr>
        <w:t>in raportare la lipsa menţionării împrejurărilor de fapt care au stat la baza dispoziţiei de detaşare, ignorând că, în conformitate cu dispoziţiile art. 505 Cod administrativ, detaşarea e atributul exclusiv al persoanei care are competenţa de numire, fiind</w:t>
      </w:r>
      <w:r>
        <w:rPr>
          <w:rStyle w:val="Fontdeparagrafimplicit"/>
          <w:rFonts w:ascii="Times New Roman" w:hAnsi="Times New Roman"/>
          <w:sz w:val="24"/>
        </w:rPr>
        <w:t xml:space="preserve"> exercitat atunci când o impune interesul autorităţii sau instituţiei publice în care urmează să îşi desfăşoare activitatea funcţionarul public.</w:t>
      </w:r>
    </w:p>
    <w:p w:rsidR="00240F1E" w14:paraId="782CFDF7" w14:textId="3343FBF3">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Din cuprinsul Dispoziţiei nr. </w:t>
      </w:r>
      <w:r w:rsidR="00473993">
        <w:rPr>
          <w:rStyle w:val="Fontdeparagrafimplicit"/>
          <w:rFonts w:ascii="Times New Roman" w:hAnsi="Times New Roman"/>
          <w:sz w:val="24"/>
        </w:rPr>
        <w:t>..../18.01.2024</w:t>
      </w:r>
      <w:r>
        <w:rPr>
          <w:rStyle w:val="Fontdeparagrafimplicit"/>
          <w:rFonts w:ascii="Times New Roman" w:hAnsi="Times New Roman"/>
          <w:sz w:val="24"/>
        </w:rPr>
        <w:t xml:space="preserve"> rezultă, în mod evident, împrejurările concrete care au generat a</w:t>
      </w:r>
      <w:r>
        <w:rPr>
          <w:rStyle w:val="Fontdeparagrafimplicit"/>
          <w:rFonts w:ascii="Times New Roman" w:hAnsi="Times New Roman"/>
          <w:sz w:val="24"/>
        </w:rPr>
        <w:t xml:space="preserve">doptarea măsurii prin indicarea solicitării primite din partea Direcţiei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prin Cererea înregistrată sub nr. </w:t>
      </w:r>
      <w:r w:rsidR="00473993">
        <w:rPr>
          <w:rStyle w:val="Fontdeparagrafimplicit"/>
          <w:rFonts w:ascii="Times New Roman" w:hAnsi="Times New Roman"/>
          <w:sz w:val="24"/>
        </w:rPr>
        <w:t>.....</w:t>
      </w:r>
      <w:r>
        <w:rPr>
          <w:rStyle w:val="Fontdeparagrafimplicit"/>
          <w:rFonts w:ascii="Times New Roman" w:hAnsi="Times New Roman"/>
          <w:sz w:val="24"/>
        </w:rPr>
        <w:t xml:space="preserve">/11.01.2024, care, în vederea funcţionării avea nevoie de ocuparea, prin detaşare, a funcţiei publice de execuţie </w:t>
      </w:r>
      <w:r>
        <w:rPr>
          <w:rStyle w:val="Fontdeparagrafimplicit"/>
          <w:rFonts w:ascii="Times New Roman" w:hAnsi="Times New Roman"/>
          <w:sz w:val="24"/>
        </w:rPr>
        <w:t>vacante.</w:t>
      </w:r>
    </w:p>
    <w:p w:rsidR="00240F1E" w14:paraId="7117D22E"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 Legiuitorul prevede la art. 505 alin. (9) din Codul administrativ, în mod expres şi limitativ, condiţiile în care o persoană detaşată poate refuza modificarea raportului de serviciu, recurentul reclamant neîncadrând-se în niciuna dintre aceste ip</w:t>
      </w:r>
      <w:r>
        <w:rPr>
          <w:rStyle w:val="Fontdeparagrafimplicit"/>
          <w:rFonts w:ascii="Times New Roman" w:hAnsi="Times New Roman"/>
          <w:sz w:val="24"/>
        </w:rPr>
        <w:t>oteze.</w:t>
      </w:r>
    </w:p>
    <w:p w:rsidR="00240F1E" w14:paraId="39E72CD1"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În ceea ce priveşte critica de nelegalitate prin raportare la durata incertă a măsurii detaşării, instanţa urmează a avea în vedere faptul că aceasta a fost luată cu respectarea întocmai a dispoziţiilor art. 505 alin. (1) Cod administrativ care permit ca d</w:t>
      </w:r>
      <w:r>
        <w:rPr>
          <w:rStyle w:val="Fontdeparagrafimplicit"/>
          <w:rFonts w:ascii="Times New Roman" w:hAnsi="Times New Roman"/>
          <w:sz w:val="24"/>
        </w:rPr>
        <w:t xml:space="preserve">etaşarea să fie dispusă pe o perioadă de cel mult 6 luni. </w:t>
      </w:r>
    </w:p>
    <w:p w:rsidR="00240F1E" w14:paraId="74AF1C5F" w14:textId="2F3F4C64">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În ceea ce priveşte critica de nelegalitate prin raportare la lipsa pregătirii profesionale necesare noii încadrări, instanţa de control judiciar urmează a avea în vedere faptul că şi acestea sunt </w:t>
      </w:r>
      <w:r>
        <w:rPr>
          <w:rStyle w:val="Fontdeparagrafimplicit"/>
          <w:rFonts w:ascii="Times New Roman" w:hAnsi="Times New Roman"/>
          <w:sz w:val="24"/>
        </w:rPr>
        <w:t>nejustificate în condiţiile în care, aşa cum rezultă din Fişa postului ocupat prin detaşare, recurentul-reclamant are atribuţii pentru care este necesară atât pregătirea juridică, cât şi experienţa sa în domeniul informatic/cibernetic, (e.g. responsabilita</w:t>
      </w:r>
      <w:r>
        <w:rPr>
          <w:rStyle w:val="Fontdeparagrafimplicit"/>
          <w:rFonts w:ascii="Times New Roman" w:hAnsi="Times New Roman"/>
          <w:sz w:val="24"/>
        </w:rPr>
        <w:t xml:space="preserve">te în privinţa protecţiei datelor caracter personal, îndeplinind obligaţiile stabilite de lege în sarcina Direcţiei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cu ocazia prelucrării unor astfel de date, asigurând confidenţialitatea lor.) În niciun caz instanţa nu ar put</w:t>
      </w:r>
      <w:r>
        <w:rPr>
          <w:rStyle w:val="Fontdeparagrafimplicit"/>
          <w:rFonts w:ascii="Times New Roman" w:hAnsi="Times New Roman"/>
          <w:sz w:val="24"/>
        </w:rPr>
        <w:t>ea reţine încălcarea dispoziţiilor art. 465 lit. f) şi g) din Codul administrativ.</w:t>
      </w:r>
    </w:p>
    <w:p w:rsidR="00240F1E" w14:paraId="7CE06F87"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În acest sens, instanţa de fond a apreciat în mod corect asupra faptului că potrivit art. 505 alin. (3) Cod administrativ „detaşarea se poate dispune pe o funcţie publică de</w:t>
      </w:r>
      <w:r>
        <w:rPr>
          <w:rStyle w:val="Fontdeparagrafimplicit"/>
          <w:rFonts w:ascii="Times New Roman" w:hAnsi="Times New Roman"/>
          <w:sz w:val="24"/>
        </w:rPr>
        <w:t xml:space="preserve"> acelaşi nivel, cu respectarea categoriei, clasei şi gradului profesional al funcţionarului public, sau într-o funcţie publică de nivel inferior. Funcţionarul public poate fi detaşat pe o funcţie publică de nivel inferior </w:t>
      </w:r>
    </w:p>
    <w:p w:rsidR="00240F1E" w14:paraId="49239A89" w14:textId="77777777">
      <w:pPr>
        <w:pStyle w:val="Frspaiere"/>
        <w:ind w:firstLine="567"/>
        <w:contextualSpacing/>
        <w:jc w:val="both"/>
        <w:rPr>
          <w:rStyle w:val="Fontdeparagrafimplicit"/>
          <w:rFonts w:ascii="Times New Roman" w:hAnsi="Times New Roman"/>
          <w:sz w:val="24"/>
        </w:rPr>
      </w:pPr>
    </w:p>
    <w:p w:rsidR="00240F1E" w14:paraId="75EC436C" w14:textId="77777777">
      <w:pPr>
        <w:pStyle w:val="Frspaiere"/>
        <w:contextualSpacing/>
        <w:jc w:val="both"/>
        <w:rPr>
          <w:rStyle w:val="Fontdeparagrafimplicit"/>
          <w:rFonts w:ascii="Times New Roman" w:hAnsi="Times New Roman"/>
          <w:sz w:val="24"/>
        </w:rPr>
      </w:pPr>
    </w:p>
    <w:p w:rsidR="00240F1E" w14:paraId="03E37548" w14:textId="77777777">
      <w:pPr>
        <w:pStyle w:val="Frspaiere"/>
        <w:contextualSpacing/>
        <w:jc w:val="both"/>
        <w:rPr>
          <w:rStyle w:val="Fontdeparagrafimplicit"/>
          <w:rFonts w:ascii="Times New Roman" w:hAnsi="Times New Roman"/>
          <w:sz w:val="24"/>
        </w:rPr>
      </w:pPr>
    </w:p>
    <w:p w:rsidR="00240F1E" w14:paraId="48170620" w14:textId="0059A79C">
      <w:pPr>
        <w:pStyle w:val="Frspaiere"/>
        <w:contextualSpacing/>
        <w:jc w:val="both"/>
        <w:rPr>
          <w:rStyle w:val="Fontdeparagrafimplicit"/>
          <w:rFonts w:ascii="Times New Roman" w:hAnsi="Times New Roman"/>
          <w:sz w:val="24"/>
        </w:rPr>
      </w:pPr>
      <w:r>
        <w:rPr>
          <w:rStyle w:val="Fontdeparagrafimplicit"/>
          <w:rFonts w:ascii="Times New Roman" w:hAnsi="Times New Roman"/>
          <w:sz w:val="24"/>
        </w:rPr>
        <w:t>numai cu acordul său scris". A</w:t>
      </w:r>
      <w:r>
        <w:rPr>
          <w:rStyle w:val="Fontdeparagrafimplicit"/>
          <w:rFonts w:ascii="Times New Roman" w:hAnsi="Times New Roman"/>
          <w:sz w:val="24"/>
        </w:rPr>
        <w:t>stfel, instanţa de control judiciar urmează a observa faptul că potrivit deciziei privind numirea temporară ca urmare a modificării raportului de serviciu prin detaşare, în funcţia de execuţie de inspector, clasa I, grad profesional superior, au fost respe</w:t>
      </w:r>
      <w:r>
        <w:rPr>
          <w:rStyle w:val="Fontdeparagrafimplicit"/>
          <w:rFonts w:ascii="Times New Roman" w:hAnsi="Times New Roman"/>
          <w:sz w:val="24"/>
        </w:rPr>
        <w:t xml:space="preserve">ctate aceste cerinţe, </w:t>
      </w:r>
      <w:r>
        <w:rPr>
          <w:rStyle w:val="Fontdeparagrafimplicit"/>
          <w:rFonts w:ascii="Times New Roman" w:hAnsi="Times New Roman"/>
          <w:sz w:val="24"/>
        </w:rPr>
        <w:t xml:space="preserve">iar în cuprinsul Adresei nr. </w:t>
      </w:r>
      <w:r w:rsidR="00473993">
        <w:rPr>
          <w:rStyle w:val="Fontdeparagrafimplicit"/>
          <w:rFonts w:ascii="Times New Roman" w:hAnsi="Times New Roman"/>
          <w:sz w:val="24"/>
        </w:rPr>
        <w:t>.....</w:t>
      </w:r>
      <w:r>
        <w:rPr>
          <w:rStyle w:val="Fontdeparagrafimplicit"/>
          <w:rFonts w:ascii="Times New Roman" w:hAnsi="Times New Roman"/>
          <w:sz w:val="24"/>
        </w:rPr>
        <w:t xml:space="preserve">/11.01.2024 emisă de Direcţia de Asistenţă Socială </w:t>
      </w:r>
      <w:r w:rsidR="00812DED">
        <w:rPr>
          <w:rStyle w:val="Fontdeparagrafimplicit"/>
          <w:rFonts w:ascii="Times New Roman" w:hAnsi="Times New Roman"/>
          <w:sz w:val="24"/>
        </w:rPr>
        <w:t>...B...</w:t>
      </w:r>
      <w:r>
        <w:rPr>
          <w:rStyle w:val="Fontdeparagrafimplicit"/>
          <w:rFonts w:ascii="Times New Roman" w:hAnsi="Times New Roman"/>
          <w:sz w:val="24"/>
        </w:rPr>
        <w:t xml:space="preserve"> au fost specificate condiţiile specifice de ocupare prin detaşare a funcţiei publice de execuţie vacantă de inspector clasa I, grad profesion</w:t>
      </w:r>
      <w:r>
        <w:rPr>
          <w:rStyle w:val="Fontdeparagrafimplicit"/>
          <w:rFonts w:ascii="Times New Roman" w:hAnsi="Times New Roman"/>
          <w:sz w:val="24"/>
        </w:rPr>
        <w:t>al superior: studii universitare de licenţă, respectiv studii superioare de lungă durată şi vechime minimă necesară în specialitatea studiilor de 7 ani.</w:t>
      </w:r>
    </w:p>
    <w:p w:rsidR="00240F1E" w14:paraId="3652D197"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În ceea ce priveşte critica de nelegalitate prin raportare la diminuarea salariului intimata arată că, </w:t>
      </w:r>
      <w:r>
        <w:rPr>
          <w:rStyle w:val="Fontdeparagrafimplicit"/>
          <w:rFonts w:ascii="Times New Roman" w:hAnsi="Times New Roman"/>
          <w:sz w:val="24"/>
        </w:rPr>
        <w:t xml:space="preserve">aşa cum rezultă din argumentele prezentate de către recurentul reclamant, acesta nu contestă că salariul de bază a rămas neschimbat, ci consideră că venitul său este inferior faţă de împrejurarea că, în prezent, nu mai beneficiază de scutirile de la plata </w:t>
      </w:r>
      <w:r>
        <w:rPr>
          <w:rStyle w:val="Fontdeparagrafimplicit"/>
          <w:rFonts w:ascii="Times New Roman" w:hAnsi="Times New Roman"/>
          <w:sz w:val="24"/>
        </w:rPr>
        <w:t>impozitului pe venit acordate în baza art. 60 pct. 2 din Codul fiscal.</w:t>
      </w:r>
    </w:p>
    <w:p w:rsidR="00240F1E" w14:paraId="223F7123" w14:textId="183FD60D">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 În acest sens, instanţa de control judiciar este rugată să observe că, atât în funcţia deţinută în cadrul Aparatului de Specialitate al Primarului, cât şi în noua funcţie în care a fos</w:t>
      </w:r>
      <w:r>
        <w:rPr>
          <w:rStyle w:val="Fontdeparagrafimplicit"/>
          <w:rFonts w:ascii="Times New Roman" w:hAnsi="Times New Roman"/>
          <w:sz w:val="24"/>
        </w:rPr>
        <w:t>t detaşat, recurentul reclamantul are un salariu de bază de 7.511 RON, la care se adaugă indemnizaţia de hrană. Astfel, au fost respectate dispoziţiile art. 505 alin. (10) Cod administrativ care prevăd faptul că "pe perioada detaşării funcţionarul public î</w:t>
      </w:r>
      <w:r>
        <w:rPr>
          <w:rStyle w:val="Fontdeparagrafimplicit"/>
          <w:rFonts w:ascii="Times New Roman" w:hAnsi="Times New Roman"/>
          <w:sz w:val="24"/>
        </w:rPr>
        <w:t xml:space="preserve">şi păstrează funcţia publică şi salariul". În atare situaţie, în mod corect instanţa de fond a reţinut că potrivit art. 3 alin, (1) din Dispoziţia nr. </w:t>
      </w:r>
      <w:r w:rsidR="00473993">
        <w:rPr>
          <w:rStyle w:val="Fontdeparagrafimplicit"/>
          <w:rFonts w:ascii="Times New Roman" w:hAnsi="Times New Roman"/>
          <w:sz w:val="24"/>
        </w:rPr>
        <w:t>..../18.01.2024</w:t>
      </w:r>
      <w:r>
        <w:rPr>
          <w:rStyle w:val="Fontdeparagrafimplicit"/>
          <w:rFonts w:ascii="Times New Roman" w:hAnsi="Times New Roman"/>
          <w:sz w:val="24"/>
        </w:rPr>
        <w:t>, salariul corespunzător funcţiei deţinute de reclamant în cadrul Aparatului de Specialita</w:t>
      </w:r>
      <w:r>
        <w:rPr>
          <w:rStyle w:val="Fontdeparagrafimplicit"/>
          <w:rFonts w:ascii="Times New Roman" w:hAnsi="Times New Roman"/>
          <w:sz w:val="24"/>
        </w:rPr>
        <w:t xml:space="preserve">te al Primarului este de 7.511 lei, la care se adaugă indemnizaţia de hrană, iar conform art. 2 din decizia privind numirea temporară ca urmare a modificării raportului de serviciu prin detaşare, reclamantul beneficiază de un salariu lunar în cuantum brut </w:t>
      </w:r>
      <w:r>
        <w:rPr>
          <w:rStyle w:val="Fontdeparagrafimplicit"/>
          <w:rFonts w:ascii="Times New Roman" w:hAnsi="Times New Roman"/>
          <w:sz w:val="24"/>
        </w:rPr>
        <w:t>de 7.858 lei compus din salariul de bază în cuantum de 7.511 lei şi indemnizaţia de hrană de 347 lei.</w:t>
      </w:r>
    </w:p>
    <w:p w:rsidR="00240F1E" w14:paraId="76E4190A"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Din această perspectivă, apreciază că, în mod intenţionat se încearcă inducerea în eroare a instanţei de judecată, în sensul că, în cazul modificării rapo</w:t>
      </w:r>
      <w:r>
        <w:rPr>
          <w:rStyle w:val="Fontdeparagrafimplicit"/>
          <w:rFonts w:ascii="Times New Roman" w:hAnsi="Times New Roman"/>
          <w:sz w:val="24"/>
        </w:rPr>
        <w:t>rtului de serviciu, există obligativitatea menţinerii tuturor beneficiilor acordate de legiuitor sub forma scutirilor de la obligaţia de plată a impozitelor către bugetul de stat. În realitate, textul art. 505 alin. (10) Cod administrativ nu se referă la v</w:t>
      </w:r>
      <w:r>
        <w:rPr>
          <w:rStyle w:val="Fontdeparagrafimplicit"/>
          <w:rFonts w:ascii="Times New Roman" w:hAnsi="Times New Roman"/>
          <w:sz w:val="24"/>
        </w:rPr>
        <w:t>enitul salarial al personalului din sectorul bugetar, astfel cum este definit în Legea-cadru nr. 153/2017 privind salarizarea personalului plătit din fonduri publice care este compus, în mod evident, din salariul de bază şi alte drepturi ale funcţionarului</w:t>
      </w:r>
      <w:r>
        <w:rPr>
          <w:rStyle w:val="Fontdeparagrafimplicit"/>
          <w:rFonts w:ascii="Times New Roman" w:hAnsi="Times New Roman"/>
          <w:sz w:val="24"/>
        </w:rPr>
        <w:t xml:space="preserve"> public, ci are în vedere, exclusiv salariul de bază.</w:t>
      </w:r>
    </w:p>
    <w:p w:rsidR="00240F1E" w14:paraId="27A17FDB"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Mai mult, având în vedere încadrarea funcţionarului public pe o funcţie identică, păstrând-şi clasa, gradul profesional şi gradaţia, în mod evident că recurentul reclamantul va beneficia, pe lângă salar</w:t>
      </w:r>
      <w:r>
        <w:rPr>
          <w:rStyle w:val="Fontdeparagrafimplicit"/>
          <w:rFonts w:ascii="Times New Roman" w:hAnsi="Times New Roman"/>
          <w:sz w:val="24"/>
        </w:rPr>
        <w:t>iul de bază şi de celelalte elemente ale sistemului de salarizare corespunzătoare categoriei de personal de care aparţine.</w:t>
      </w:r>
    </w:p>
    <w:p w:rsidR="00240F1E" w14:paraId="79B2CBB2"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În ceea ce priveşte paguba iminentă, din dispoziţiile art. 2 alin. (1) lit. s) din Legea nr. 554/2004 rezultă că noţiunea are în vede</w:t>
      </w:r>
      <w:r>
        <w:rPr>
          <w:rStyle w:val="Fontdeparagrafimplicit"/>
          <w:rFonts w:ascii="Times New Roman" w:hAnsi="Times New Roman"/>
          <w:sz w:val="24"/>
        </w:rPr>
        <w:t>re producerea unui prejudiciu material viitor şi previzibil, greu sau imposibil de reparat. în practica sa, instanţa supremă a arătat referitor la această condiţie că „eventuala producere a unei pagube trebuie să fie o consecinţă a executării actului admin</w:t>
      </w:r>
      <w:r>
        <w:rPr>
          <w:rStyle w:val="Fontdeparagrafimplicit"/>
          <w:rFonts w:ascii="Times New Roman" w:hAnsi="Times New Roman"/>
          <w:sz w:val="24"/>
        </w:rPr>
        <w:t>istrativ, iar nu însăşi executarea actului în sine, în caz contrar ajungându-se la concluzia că cerinţa referitoare la iminenţa producerii unei pagube este presupusă în majoritatea cazurilor executării unui act administrativ, ceea ce ar contraveni caracter</w:t>
      </w:r>
      <w:r>
        <w:rPr>
          <w:rStyle w:val="Fontdeparagrafimplicit"/>
          <w:rFonts w:ascii="Times New Roman" w:hAnsi="Times New Roman"/>
          <w:sz w:val="24"/>
        </w:rPr>
        <w:t>ului de excepţie a instituţiei suspendării actelor administrative".</w:t>
      </w:r>
    </w:p>
    <w:p w:rsidR="00240F1E" w14:paraId="5B3D7562"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Intimații-pârâți susțin că se invocă îndeplinirea condiţiei pagubei iminente prin raportare la o pretinsă perturbare a activităţii Aparatului de Specialitate al Primarului, însă aceste împ</w:t>
      </w:r>
      <w:r>
        <w:rPr>
          <w:rStyle w:val="Fontdeparagrafimplicit"/>
          <w:rFonts w:ascii="Times New Roman" w:hAnsi="Times New Roman"/>
          <w:sz w:val="24"/>
        </w:rPr>
        <w:t>rejurări nu reprezintă, în realitate, un prejudiciu al recurentului-reclamant, menit a-i deschide acestuia calea suspendării actului administrativ. Cu alte cuvinte, recurentul reclamant nu poate să justifice demersul judiciar la un prejudiciu care nu-l afe</w:t>
      </w:r>
      <w:r>
        <w:rPr>
          <w:rStyle w:val="Fontdeparagrafimplicit"/>
          <w:rFonts w:ascii="Times New Roman" w:hAnsi="Times New Roman"/>
          <w:sz w:val="24"/>
        </w:rPr>
        <w:t>ctează în mod direct şi care nu este iminent a se produce în patrimoniul său.</w:t>
      </w:r>
    </w:p>
    <w:p w:rsidR="00240F1E" w14:paraId="5FCD050B" w14:textId="77777777">
      <w:pPr>
        <w:pStyle w:val="Frspaiere"/>
        <w:ind w:firstLine="567"/>
        <w:contextualSpacing/>
        <w:jc w:val="both"/>
        <w:rPr>
          <w:rStyle w:val="Fontdeparagrafimplicit"/>
          <w:rFonts w:ascii="Times New Roman" w:hAnsi="Times New Roman"/>
          <w:sz w:val="24"/>
        </w:rPr>
      </w:pPr>
      <w:r>
        <w:rPr>
          <w:rStyle w:val="Fontdeparagrafimplicit"/>
          <w:rFonts w:ascii="Times New Roman" w:hAnsi="Times New Roman"/>
          <w:sz w:val="24"/>
        </w:rPr>
        <w:t xml:space="preserve">Pe de altă parte, în ceea ce priveşte critica referitoare la diminuarea veniturilor, ipoteza reglementată de art. 14 din Legea nr. 554/2004 are în vedere numai acele situaţii în </w:t>
      </w:r>
      <w:r>
        <w:rPr>
          <w:rStyle w:val="Fontdeparagrafimplicit"/>
          <w:rFonts w:ascii="Times New Roman" w:hAnsi="Times New Roman"/>
          <w:sz w:val="24"/>
        </w:rPr>
        <w:t xml:space="preserve">care prejudiciul produs pe perioada în care actul administrativ este generator de efecte juridice, iar acesta nu mai poate fi recuperat ulterior în ipoteza admiterii acţiunii în anulare. Or, în ceea ce îl priveşte pe </w:t>
      </w:r>
      <w:r>
        <w:rPr>
          <w:rStyle w:val="Fontdeparagrafimplicit"/>
          <w:rFonts w:ascii="Times New Roman" w:hAnsi="Times New Roman"/>
          <w:sz w:val="24"/>
        </w:rPr>
        <w:t>recurentul reclamant, în situaţia în ca</w:t>
      </w:r>
      <w:r>
        <w:rPr>
          <w:rStyle w:val="Fontdeparagrafimplicit"/>
          <w:rFonts w:ascii="Times New Roman" w:hAnsi="Times New Roman"/>
          <w:sz w:val="24"/>
        </w:rPr>
        <w:t>re va obţine o soluţie favorabilă în acţiunea în anularea actului, în mod evident că recuperarea prejudiciului va fi dispusă ca o consecinţă a soluţiei.</w:t>
      </w:r>
    </w:p>
    <w:p w:rsidR="00240F1E" w14:paraId="57476C08" w14:textId="77777777">
      <w:pPr>
        <w:pStyle w:val="Frspaiere"/>
        <w:ind w:firstLine="567"/>
        <w:contextualSpacing/>
        <w:jc w:val="both"/>
        <w:rPr>
          <w:rStyle w:val="Fontdeparagrafimplicit"/>
          <w:rFonts w:ascii="Times New Roman" w:hAnsi="Times New Roman"/>
          <w:b/>
          <w:sz w:val="24"/>
        </w:rPr>
      </w:pPr>
      <w:r>
        <w:rPr>
          <w:rStyle w:val="Fontdeparagrafimplicit"/>
          <w:rFonts w:ascii="Times New Roman" w:hAnsi="Times New Roman"/>
          <w:b/>
          <w:sz w:val="24"/>
        </w:rPr>
        <w:t>II.  Soluţia şi considerentele Curţii de apel asupra recursului:</w:t>
      </w:r>
    </w:p>
    <w:p w:rsidR="00240F1E" w14:paraId="6A086477" w14:textId="5CF1A8AF">
      <w:pPr>
        <w:ind w:firstLine="567"/>
        <w:contextualSpacing/>
        <w:jc w:val="both"/>
        <w:rPr>
          <w:rStyle w:val="Fontdeparagrafimplicit"/>
          <w:color w:val="000000"/>
        </w:rPr>
      </w:pPr>
      <w:r>
        <w:rPr>
          <w:rStyle w:val="Fontdeparagrafimplicit"/>
          <w:color w:val="000000"/>
        </w:rPr>
        <w:t>Analizând cererea de recurs, din persp</w:t>
      </w:r>
      <w:r>
        <w:rPr>
          <w:rStyle w:val="Fontdeparagrafimplicit"/>
          <w:color w:val="000000"/>
        </w:rPr>
        <w:t>ectiva motivelor invocate de recurentul-reclamant, a apărărilor formulate prin întâmpinare de către intimații-pârâți, a situației de fapt stabilite de prima instanță și a dispozițiilor legale  incidente, curtea va admite recursul, va casa în parte sentinţa</w:t>
      </w:r>
      <w:r>
        <w:rPr>
          <w:rStyle w:val="Fontdeparagrafimplicit"/>
          <w:color w:val="000000"/>
        </w:rPr>
        <w:t xml:space="preserve"> atacată şi în rejudecare va admite în parte acţiunea şi va suspenda executarea dispoziţiei nr. </w:t>
      </w:r>
      <w:r w:rsidR="00473993">
        <w:rPr>
          <w:rStyle w:val="Fontdeparagrafimplicit"/>
          <w:color w:val="000000"/>
        </w:rPr>
        <w:t>..../18.01.2024</w:t>
      </w:r>
      <w:r>
        <w:rPr>
          <w:rStyle w:val="Fontdeparagrafimplicit"/>
          <w:color w:val="000000"/>
        </w:rPr>
        <w:t xml:space="preserve"> şi a deciziei nr. </w:t>
      </w:r>
      <w:r w:rsidR="00473993">
        <w:rPr>
          <w:rStyle w:val="Fontdeparagrafimplicit"/>
          <w:color w:val="000000"/>
        </w:rPr>
        <w:t>..../18.01.2024</w:t>
      </w:r>
      <w:r>
        <w:rPr>
          <w:rStyle w:val="Fontdeparagrafimplicit"/>
          <w:color w:val="000000"/>
        </w:rPr>
        <w:t xml:space="preserve"> până la pronunţarea instanţei pe fond,  pentru argumentele ce vor fi expuse în cele de urmează.</w:t>
      </w:r>
    </w:p>
    <w:p w:rsidR="00240F1E" w14:paraId="5F032935" w14:textId="77777777">
      <w:pPr>
        <w:pStyle w:val="Frspaiere"/>
        <w:ind w:firstLine="567"/>
        <w:contextualSpacing/>
        <w:jc w:val="both"/>
        <w:rPr>
          <w:rStyle w:val="Fontdeparagrafimplicit"/>
          <w:rFonts w:ascii="Times New Roman" w:hAnsi="Times New Roman"/>
          <w:i/>
          <w:color w:val="000000"/>
          <w:sz w:val="24"/>
        </w:rPr>
      </w:pPr>
      <w:r>
        <w:rPr>
          <w:rStyle w:val="Fontdeparagrafimplicit"/>
          <w:rFonts w:ascii="Times New Roman" w:hAnsi="Times New Roman"/>
          <w:i/>
          <w:color w:val="000000"/>
          <w:sz w:val="24"/>
        </w:rPr>
        <w:t>II.1.Aspecte d</w:t>
      </w:r>
      <w:r>
        <w:rPr>
          <w:rStyle w:val="Fontdeparagrafimplicit"/>
          <w:rFonts w:ascii="Times New Roman" w:hAnsi="Times New Roman"/>
          <w:i/>
          <w:color w:val="000000"/>
          <w:sz w:val="24"/>
        </w:rPr>
        <w:t>e fapt si de drept relevante</w:t>
      </w:r>
    </w:p>
    <w:p w:rsidR="00240F1E" w14:paraId="1750B963" w14:textId="77777777">
      <w:pPr>
        <w:ind w:firstLine="567"/>
        <w:jc w:val="both"/>
        <w:rPr>
          <w:rStyle w:val="Fontdeparagrafimplicit"/>
          <w:color w:val="000000"/>
        </w:rPr>
      </w:pPr>
      <w:r>
        <w:rPr>
          <w:rStyle w:val="Fontdeparagrafimplicit"/>
          <w:color w:val="000000"/>
        </w:rPr>
        <w:t>Motivul de casare invocat de recurentul-reclamant este cel prevăzut de art. 488 alin. (1) pct. 8 din Codul de procedură civilă şi are în vedere ipoteza în care „hotărârea a fost dată cu încălcarea sau aplicarea greşită a normel</w:t>
      </w:r>
      <w:r>
        <w:rPr>
          <w:rStyle w:val="Fontdeparagrafimplicit"/>
          <w:color w:val="000000"/>
        </w:rPr>
        <w:t>or de drept material”.</w:t>
      </w:r>
    </w:p>
    <w:p w:rsidR="00240F1E" w14:paraId="0EE4CA5C" w14:textId="6B797B56">
      <w:pPr>
        <w:ind w:firstLine="567"/>
        <w:jc w:val="both"/>
        <w:rPr>
          <w:rStyle w:val="Fontdeparagrafimplicit"/>
          <w:color w:val="000000"/>
        </w:rPr>
      </w:pPr>
      <w:r>
        <w:rPr>
          <w:rStyle w:val="Fontdeparagrafimplicit"/>
          <w:i/>
          <w:color w:val="000000"/>
        </w:rPr>
        <w:t>a. Un prim motiv</w:t>
      </w:r>
      <w:r>
        <w:rPr>
          <w:rStyle w:val="Fontdeparagrafimplicit"/>
          <w:color w:val="000000"/>
        </w:rPr>
        <w:t xml:space="preserve"> subsumat cazului de casare de mai sus se referă la greşita soluţionare a excepţiei lipsei calităţii procesuale pasive a intimaţilor-pârâţi Municipiul </w:t>
      </w:r>
      <w:r w:rsidR="00812DED">
        <w:rPr>
          <w:rStyle w:val="Fontdeparagrafimplicit"/>
          <w:color w:val="000000"/>
        </w:rPr>
        <w:t>...B...</w:t>
      </w:r>
      <w:r>
        <w:rPr>
          <w:rStyle w:val="Fontdeparagrafimplicit"/>
          <w:color w:val="000000"/>
        </w:rPr>
        <w:t xml:space="preserve"> şi Consiliul Local al Municipiului </w:t>
      </w:r>
      <w:r w:rsidR="00812DED">
        <w:rPr>
          <w:rStyle w:val="Fontdeparagrafimplicit"/>
          <w:color w:val="000000"/>
        </w:rPr>
        <w:t>...B...</w:t>
      </w:r>
      <w:r>
        <w:rPr>
          <w:rStyle w:val="Fontdeparagrafimplicit"/>
          <w:color w:val="000000"/>
        </w:rPr>
        <w:t>, recurentul-rec</w:t>
      </w:r>
      <w:r>
        <w:rPr>
          <w:rStyle w:val="Fontdeparagrafimplicit"/>
          <w:color w:val="000000"/>
        </w:rPr>
        <w:t>lamant susţinând că dispoziţiile art. 96 alin. (3) şi art. 129 alin. (2) lit. d) şi alin. (7) lit. b) din Codul administrativ legitimează calitatea procesuală a acestora.</w:t>
      </w:r>
    </w:p>
    <w:p w:rsidR="00240F1E" w14:paraId="7A33D228" w14:textId="77777777">
      <w:pPr>
        <w:ind w:firstLine="567"/>
        <w:jc w:val="both"/>
        <w:rPr>
          <w:rStyle w:val="Fontdeparagrafimplicit"/>
          <w:color w:val="000000"/>
        </w:rPr>
      </w:pPr>
      <w:r>
        <w:rPr>
          <w:rStyle w:val="Fontdeparagrafimplicit"/>
          <w:color w:val="000000"/>
        </w:rPr>
        <w:t>Critica recurentului este nefondată.</w:t>
      </w:r>
    </w:p>
    <w:p w:rsidR="00240F1E" w14:paraId="31124537" w14:textId="7FF6C266">
      <w:pPr>
        <w:ind w:firstLine="567"/>
        <w:jc w:val="both"/>
        <w:rPr>
          <w:rStyle w:val="Fontdeparagrafimplicit"/>
          <w:color w:val="000000"/>
        </w:rPr>
      </w:pPr>
      <w:r>
        <w:rPr>
          <w:rStyle w:val="Fontdeparagrafimplicit"/>
          <w:color w:val="000000"/>
        </w:rPr>
        <w:t>Actele administrative ce formează obiectul cerer</w:t>
      </w:r>
      <w:r>
        <w:rPr>
          <w:rStyle w:val="Fontdeparagrafimplicit"/>
          <w:color w:val="000000"/>
        </w:rPr>
        <w:t xml:space="preserve">ii de suspendare de faţă sunt Dispoziţia nr. </w:t>
      </w:r>
      <w:r w:rsidR="00473993">
        <w:rPr>
          <w:rStyle w:val="Fontdeparagrafimplicit"/>
          <w:color w:val="000000"/>
        </w:rPr>
        <w:t>..../18.01.2024</w:t>
      </w:r>
      <w:r>
        <w:rPr>
          <w:rStyle w:val="Fontdeparagrafimplicit"/>
          <w:color w:val="000000"/>
        </w:rPr>
        <w:t xml:space="preserve"> emisă de Primarul Municipiului </w:t>
      </w:r>
      <w:r w:rsidR="00812DED">
        <w:rPr>
          <w:rStyle w:val="Fontdeparagrafimplicit"/>
          <w:color w:val="000000"/>
        </w:rPr>
        <w:t>...B...</w:t>
      </w:r>
      <w:r>
        <w:rPr>
          <w:rStyle w:val="Fontdeparagrafimplicit"/>
          <w:color w:val="000000"/>
        </w:rPr>
        <w:t xml:space="preserve"> şi Decizia nr. </w:t>
      </w:r>
      <w:r w:rsidR="00473993">
        <w:rPr>
          <w:rStyle w:val="Fontdeparagrafimplicit"/>
          <w:color w:val="000000"/>
        </w:rPr>
        <w:t>..../18.01.2024</w:t>
      </w:r>
      <w:r>
        <w:rPr>
          <w:rStyle w:val="Fontdeparagrafimplicit"/>
          <w:color w:val="000000"/>
        </w:rPr>
        <w:t xml:space="preserve"> emisă de Direcţia de Asistenţă Socială </w:t>
      </w:r>
      <w:r w:rsidR="00812DED">
        <w:rPr>
          <w:rStyle w:val="Fontdeparagrafimplicit"/>
          <w:color w:val="000000"/>
        </w:rPr>
        <w:t>...B...</w:t>
      </w:r>
      <w:r>
        <w:rPr>
          <w:rStyle w:val="Fontdeparagrafimplicit"/>
          <w:color w:val="000000"/>
        </w:rPr>
        <w:t>.</w:t>
      </w:r>
    </w:p>
    <w:p w:rsidR="00240F1E" w14:paraId="24F60C0D" w14:textId="77777777">
      <w:pPr>
        <w:ind w:firstLine="567"/>
        <w:jc w:val="both"/>
        <w:rPr>
          <w:rStyle w:val="Fontdeparagrafimplicit"/>
          <w:color w:val="000000"/>
        </w:rPr>
      </w:pPr>
      <w:r>
        <w:rPr>
          <w:rStyle w:val="Fontdeparagrafimplicit"/>
          <w:color w:val="000000"/>
        </w:rPr>
        <w:t xml:space="preserve">Potrivit art. 96 alin. (3) din </w:t>
      </w:r>
      <w:bookmarkStart w:name="_Hlk177718307" w:id="2"/>
      <w:r>
        <w:rPr>
          <w:rStyle w:val="Fontdeparagrafimplicit"/>
          <w:color w:val="000000"/>
        </w:rPr>
        <w:t xml:space="preserve">Ordonanţa de urgenţă a Guvernului privind </w:t>
      </w:r>
      <w:r>
        <w:rPr>
          <w:rStyle w:val="Fontdeparagrafimplicit"/>
          <w:color w:val="000000"/>
        </w:rPr>
        <w:t>Codul administrativ:</w:t>
      </w:r>
      <w:bookmarkEnd w:id="2"/>
      <w:r>
        <w:rPr>
          <w:rStyle w:val="Fontdeparagrafimplicit"/>
          <w:color w:val="000000"/>
        </w:rPr>
        <w:t xml:space="preserve"> „Unităţile administrativ-teritoriale sunt titulare ale drepturilor şi obligaţiilor ce decurg din contractele privind administrarea bunurilor care aparţin domeniului public şi privat în care acestea sunt parte, precum şi din raporturile</w:t>
      </w:r>
      <w:r>
        <w:rPr>
          <w:rStyle w:val="Fontdeparagrafimplicit"/>
          <w:color w:val="000000"/>
        </w:rPr>
        <w:t xml:space="preserve"> cu alte persoane fizice sau juridice, în condiţiile legii.”</w:t>
      </w:r>
    </w:p>
    <w:p w:rsidR="00240F1E" w14:paraId="0E3903A0" w14:textId="77777777">
      <w:pPr>
        <w:ind w:firstLine="567"/>
        <w:jc w:val="both"/>
        <w:rPr>
          <w:rStyle w:val="Fontdeparagrafimplicit"/>
          <w:color w:val="000000"/>
        </w:rPr>
      </w:pPr>
      <w:r>
        <w:rPr>
          <w:rStyle w:val="Fontdeparagrafimplicit"/>
          <w:color w:val="000000"/>
        </w:rPr>
        <w:t>După cum se observă, textul reglementează două ipoteze în care unităţile administrativ-teritoriale sunt titulare de drepturi şi obligaţii şi anume situaţia în care acestea sunt parte în contracte</w:t>
      </w:r>
      <w:r>
        <w:rPr>
          <w:rStyle w:val="Fontdeparagrafimplicit"/>
          <w:color w:val="000000"/>
        </w:rPr>
        <w:t>le privind administrarea bunurilor care aparţin domeniului public şi privat şi situaţia în care drepturile şi obligaţiile decurg „din raporturile cu alte persoane fizice sau juridice, în condiţiile legii.”</w:t>
      </w:r>
    </w:p>
    <w:p w:rsidR="00240F1E" w14:paraId="3C4CCDBE" w14:textId="77777777">
      <w:pPr>
        <w:ind w:firstLine="567"/>
        <w:jc w:val="both"/>
        <w:rPr>
          <w:rStyle w:val="Fontdeparagrafimplicit"/>
          <w:color w:val="000000"/>
        </w:rPr>
      </w:pPr>
      <w:r>
        <w:rPr>
          <w:rStyle w:val="Fontdeparagrafimplicit"/>
          <w:color w:val="000000"/>
        </w:rPr>
        <w:t>În mod evident, prima ipoteză nu este incidentă în</w:t>
      </w:r>
      <w:r>
        <w:rPr>
          <w:rStyle w:val="Fontdeparagrafimplicit"/>
          <w:color w:val="000000"/>
        </w:rPr>
        <w:t xml:space="preserve"> speţă.</w:t>
      </w:r>
    </w:p>
    <w:p w:rsidR="00240F1E" w14:paraId="697DC9D6" w14:textId="77777777">
      <w:pPr>
        <w:ind w:firstLine="567"/>
        <w:jc w:val="both"/>
        <w:rPr>
          <w:rStyle w:val="Fontdeparagrafimplicit"/>
          <w:color w:val="000000"/>
        </w:rPr>
      </w:pPr>
      <w:r>
        <w:rPr>
          <w:rStyle w:val="Fontdeparagrafimplicit"/>
          <w:color w:val="000000"/>
        </w:rPr>
        <w:t>În ceea ce priveşte cea de-a doua ipoteză, curtea constată că textul nu are în vedere toate raporturile juridice legate între unităţile administrativ-teritoriale şi persoanele  fizice sau  juridice, ci numai acela în privinţa cărora legea precizeaz</w:t>
      </w:r>
      <w:r>
        <w:rPr>
          <w:rStyle w:val="Fontdeparagrafimplicit"/>
          <w:color w:val="000000"/>
        </w:rPr>
        <w:t>ă că ele vor genera drepturi şi obligaţii în patrimoniul unităţilor administrativ-teritoriale.</w:t>
      </w:r>
    </w:p>
    <w:p w:rsidR="00240F1E" w14:paraId="19B51274" w14:textId="7E34471D">
      <w:pPr>
        <w:jc w:val="both"/>
        <w:rPr>
          <w:rStyle w:val="Fontdeparagrafimplicit"/>
          <w:color w:val="000000"/>
        </w:rPr>
      </w:pPr>
      <w:r>
        <w:rPr>
          <w:rStyle w:val="Fontdeparagrafimplicit"/>
          <w:color w:val="000000"/>
        </w:rPr>
        <w:tab/>
      </w:r>
      <w:r>
        <w:rPr>
          <w:rStyle w:val="Fontdeparagrafimplicit"/>
          <w:color w:val="000000"/>
        </w:rPr>
        <w:t>Cum în speţă nu s-a invocat vreo dispoziţie legală care să prevadă că actele administrative de modificare a raporturilor de serviciu ale funcţionarilor publici din administraţia publică locală generează drepturi şi obligaţii în sarcina unităţilor administr</w:t>
      </w:r>
      <w:r>
        <w:rPr>
          <w:rStyle w:val="Fontdeparagrafimplicit"/>
          <w:color w:val="000000"/>
        </w:rPr>
        <w:t xml:space="preserve">ativ teritoriale, va rezulta că în mod corect prima instanţă a admis excepţia lipsei calităţii procesuale pasive a intimatului-pârât Municipiul </w:t>
      </w:r>
      <w:r w:rsidR="00812DED">
        <w:rPr>
          <w:rStyle w:val="Fontdeparagrafimplicit"/>
          <w:color w:val="000000"/>
        </w:rPr>
        <w:t>...B...</w:t>
      </w:r>
      <w:r>
        <w:rPr>
          <w:rStyle w:val="Fontdeparagrafimplicit"/>
          <w:color w:val="000000"/>
        </w:rPr>
        <w:t>, acesta nefiind parte în raporturile juridice de drept material născute prin emiterea actelor administra</w:t>
      </w:r>
      <w:r>
        <w:rPr>
          <w:rStyle w:val="Fontdeparagrafimplicit"/>
          <w:color w:val="000000"/>
        </w:rPr>
        <w:t>tive contestate în cauza de faţă şi, prin urmare, neputând avea legitimare procesuală în condiţiile art. 36 din Codul de procedură civilă.</w:t>
      </w:r>
    </w:p>
    <w:p w:rsidR="00240F1E" w14:paraId="52919B58" w14:textId="77777777">
      <w:pPr>
        <w:jc w:val="both"/>
        <w:rPr>
          <w:rStyle w:val="Fontdeparagrafimplicit"/>
          <w:color w:val="000000"/>
        </w:rPr>
      </w:pPr>
      <w:r>
        <w:rPr>
          <w:rStyle w:val="Fontdeparagrafimplicit"/>
          <w:color w:val="000000"/>
        </w:rPr>
        <w:tab/>
        <w:t>În continuare,  curtea reţine că dispoziţiile art. 129 alin. (2) lit. d) şi alin. (7) lit. b) din Codul administrati</w:t>
      </w:r>
      <w:r>
        <w:rPr>
          <w:rStyle w:val="Fontdeparagrafimplicit"/>
          <w:color w:val="000000"/>
        </w:rPr>
        <w:t xml:space="preserve">v au următorul conţinut: „(2) Consiliul local exercită următoarele categorii de </w:t>
      </w:r>
    </w:p>
    <w:p w:rsidR="00240F1E" w14:paraId="37016971" w14:textId="77777777">
      <w:pPr>
        <w:jc w:val="both"/>
        <w:rPr>
          <w:rStyle w:val="Fontdeparagrafimplicit"/>
          <w:color w:val="000000"/>
        </w:rPr>
      </w:pPr>
    </w:p>
    <w:p w:rsidR="00240F1E" w14:paraId="4C36F229" w14:textId="77777777">
      <w:pPr>
        <w:jc w:val="both"/>
        <w:rPr>
          <w:rStyle w:val="Fontdeparagrafimplicit"/>
          <w:color w:val="000000"/>
        </w:rPr>
      </w:pPr>
    </w:p>
    <w:p w:rsidR="00240F1E" w14:paraId="72F4EE20" w14:textId="77777777">
      <w:pPr>
        <w:jc w:val="both"/>
        <w:rPr>
          <w:rStyle w:val="Fontdeparagrafimplicit"/>
          <w:color w:val="000000"/>
        </w:rPr>
      </w:pPr>
    </w:p>
    <w:p w:rsidR="00240F1E" w14:paraId="39603CA8" w14:textId="77777777">
      <w:pPr>
        <w:jc w:val="both"/>
        <w:rPr>
          <w:rStyle w:val="Fontdeparagrafimplicit"/>
          <w:color w:val="000000"/>
        </w:rPr>
      </w:pPr>
    </w:p>
    <w:p w:rsidR="00240F1E" w14:paraId="3C03DCC3" w14:textId="77777777">
      <w:pPr>
        <w:jc w:val="both"/>
        <w:rPr>
          <w:rStyle w:val="Fontdeparagrafimplicit"/>
          <w:color w:val="000000"/>
        </w:rPr>
      </w:pPr>
      <w:r>
        <w:rPr>
          <w:rStyle w:val="Fontdeparagrafimplicit"/>
          <w:color w:val="000000"/>
        </w:rPr>
        <w:t>atribuţii: d) atribuţii privind gestionarea serviciilor de interes local; (7) În exercitarea atribuţiilor prevăzute la alin. (2) lit. d), consiliul local asigură, potrivit</w:t>
      </w:r>
      <w:r>
        <w:rPr>
          <w:rStyle w:val="Fontdeparagrafimplicit"/>
          <w:color w:val="000000"/>
        </w:rPr>
        <w:t xml:space="preserve"> competenţei sale şi în condiţiile legii, cadrul necesar pentru furnizarea serviciilor publice de interes local privind:   b) serviciile sociale </w:t>
      </w:r>
      <w:r>
        <w:rPr>
          <w:rStyle w:val="Fontdeparagrafimplicit"/>
          <w:color w:val="000000"/>
        </w:rPr>
        <w:t xml:space="preserve">pentru protecţia copilului, a persoanelor cu handicap, a persoanelor vârstnice, a familiei şi a altor persoane </w:t>
      </w:r>
      <w:r>
        <w:rPr>
          <w:rStyle w:val="Fontdeparagrafimplicit"/>
          <w:color w:val="000000"/>
        </w:rPr>
        <w:t>sau grupuri aflate în nevoie socială;”</w:t>
      </w:r>
    </w:p>
    <w:p w:rsidR="00240F1E" w14:paraId="7B38F59C" w14:textId="77777777">
      <w:pPr>
        <w:jc w:val="both"/>
        <w:rPr>
          <w:rStyle w:val="Fontdeparagrafimplicit"/>
          <w:color w:val="000000"/>
        </w:rPr>
      </w:pPr>
      <w:r>
        <w:rPr>
          <w:rStyle w:val="Fontdeparagrafimplicit"/>
          <w:color w:val="000000"/>
        </w:rPr>
        <w:tab/>
        <w:t>Din prevederile de mai sus rezultă că printre atribuţiile consiliului local se numără şi aceea de „gestionare” a serviciilor sociale prin „asigurarea cadrului necesar pentru furnizarea” acestora.</w:t>
      </w:r>
    </w:p>
    <w:p w:rsidR="00240F1E" w14:paraId="53335A88" w14:textId="77777777">
      <w:pPr>
        <w:jc w:val="both"/>
        <w:rPr>
          <w:rStyle w:val="Fontdeparagrafimplicit"/>
          <w:color w:val="000000"/>
        </w:rPr>
      </w:pPr>
      <w:r>
        <w:rPr>
          <w:rStyle w:val="Fontdeparagrafimplicit"/>
          <w:color w:val="000000"/>
        </w:rPr>
        <w:tab/>
        <w:t>Dispoziţii legale i</w:t>
      </w:r>
      <w:r>
        <w:rPr>
          <w:rStyle w:val="Fontdeparagrafimplicit"/>
          <w:color w:val="000000"/>
        </w:rPr>
        <w:t xml:space="preserve">nstituie deci în sarcina consiliilor locale doar obligaţia de a crea un cadru legal care să asigure existenţa şi funcţionarea serviciilor de asistenţă socială, fără a institui răspunderea juridică a acestora pentru actele administrative ce vor fi emise de </w:t>
      </w:r>
      <w:r>
        <w:rPr>
          <w:rStyle w:val="Fontdeparagrafimplicit"/>
          <w:color w:val="000000"/>
        </w:rPr>
        <w:t>respectivele servicii.</w:t>
      </w:r>
    </w:p>
    <w:p w:rsidR="00240F1E" w14:paraId="7424ECCB" w14:textId="29539A22">
      <w:pPr>
        <w:jc w:val="both"/>
        <w:rPr>
          <w:rStyle w:val="Fontdeparagrafimplicit"/>
          <w:color w:val="000000"/>
        </w:rPr>
      </w:pPr>
      <w:r>
        <w:rPr>
          <w:rStyle w:val="Fontdeparagrafimplicit"/>
          <w:color w:val="000000"/>
        </w:rPr>
        <w:tab/>
        <w:t xml:space="preserve">În cauză, curtea constată că a fost creat cadrul legal necesar funcţionării unui astfel de serviciu, el fiind organizat sub forma unei instituţii publice cu personalitate juridică, denumite Direcţia de Asistenţă Socială </w:t>
      </w:r>
      <w:r w:rsidR="00812DED">
        <w:rPr>
          <w:rStyle w:val="Fontdeparagrafimplicit"/>
          <w:color w:val="000000"/>
        </w:rPr>
        <w:t>...B...</w:t>
      </w:r>
      <w:r>
        <w:rPr>
          <w:rStyle w:val="Fontdeparagrafimplicit"/>
          <w:color w:val="000000"/>
        </w:rPr>
        <w:t>, ins</w:t>
      </w:r>
      <w:r>
        <w:rPr>
          <w:rStyle w:val="Fontdeparagrafimplicit"/>
          <w:color w:val="000000"/>
        </w:rPr>
        <w:t>tituţie care, în temeiul art. 2 alin. (1) lit. b) din Legea nr. 554/2004, are calitatea de autoritate publică în sensul acestei legi, stând în judecată în nume propriu, potrivit art. 2 alin. (1) lit. f) din aceeaşi lege, în litigiile de contencios administ</w:t>
      </w:r>
      <w:r>
        <w:rPr>
          <w:rStyle w:val="Fontdeparagrafimplicit"/>
          <w:color w:val="000000"/>
        </w:rPr>
        <w:t>rativ generate de emiterea de către aceasta a unor acte administrative.</w:t>
      </w:r>
    </w:p>
    <w:p w:rsidR="00240F1E" w14:paraId="479D1C56" w14:textId="2AC42A05">
      <w:pPr>
        <w:jc w:val="both"/>
        <w:rPr>
          <w:rStyle w:val="Fontdeparagrafimplicit"/>
          <w:color w:val="000000"/>
        </w:rPr>
      </w:pPr>
      <w:r>
        <w:rPr>
          <w:rStyle w:val="Fontdeparagrafimplicit"/>
          <w:color w:val="000000"/>
        </w:rPr>
        <w:tab/>
        <w:t xml:space="preserve">În consecinţă, instanţa de fond a admis în mod corect excepţia lipsei calităţii procesuale pasive a intimatului-pârât Consiliul Local al Municipiului </w:t>
      </w:r>
      <w:r w:rsidR="00812DED">
        <w:rPr>
          <w:rStyle w:val="Fontdeparagrafimplicit"/>
          <w:color w:val="000000"/>
        </w:rPr>
        <w:t>...B...</w:t>
      </w:r>
      <w:r>
        <w:rPr>
          <w:rStyle w:val="Fontdeparagrafimplicit"/>
          <w:color w:val="000000"/>
        </w:rPr>
        <w:t>.</w:t>
      </w:r>
    </w:p>
    <w:p w:rsidR="00240F1E" w14:paraId="7154DAFE" w14:textId="77777777">
      <w:pPr>
        <w:jc w:val="both"/>
        <w:rPr>
          <w:rStyle w:val="Fontdeparagrafimplicit"/>
          <w:color w:val="000000"/>
        </w:rPr>
      </w:pPr>
      <w:r>
        <w:rPr>
          <w:rStyle w:val="Fontdeparagrafimplicit"/>
          <w:color w:val="000000"/>
        </w:rPr>
        <w:tab/>
      </w:r>
      <w:r>
        <w:rPr>
          <w:rStyle w:val="Fontdeparagrafimplicit"/>
          <w:i/>
          <w:color w:val="000000"/>
        </w:rPr>
        <w:t>b. Un al doilea motiv</w:t>
      </w:r>
      <w:r>
        <w:rPr>
          <w:rStyle w:val="Fontdeparagrafimplicit"/>
          <w:color w:val="000000"/>
        </w:rPr>
        <w:t xml:space="preserve"> s</w:t>
      </w:r>
      <w:r>
        <w:rPr>
          <w:rStyle w:val="Fontdeparagrafimplicit"/>
          <w:color w:val="000000"/>
        </w:rPr>
        <w:t xml:space="preserve">ubsumat cazului de casare de mai sus vizează modul de interpretare şi aplicare de către instanţa de fond a dispoziţiilor legale invocate în susţinerea condiţiei </w:t>
      </w:r>
      <w:r>
        <w:rPr>
          <w:rStyle w:val="Fontdeparagrafimplicit"/>
          <w:i/>
          <w:color w:val="000000"/>
        </w:rPr>
        <w:t>cazului bine justificat.</w:t>
      </w:r>
    </w:p>
    <w:p w:rsidR="00240F1E" w14:paraId="5F62349D" w14:textId="77777777">
      <w:pPr>
        <w:jc w:val="both"/>
        <w:rPr>
          <w:rStyle w:val="Fontdeparagrafimplicit"/>
          <w:color w:val="000000"/>
        </w:rPr>
      </w:pPr>
      <w:r>
        <w:rPr>
          <w:rStyle w:val="Fontdeparagrafimplicit"/>
          <w:color w:val="000000"/>
        </w:rPr>
        <w:tab/>
        <w:t>Sub acest aspect, recurentul a făcut referire la dispoziţiile art. 50</w:t>
      </w:r>
      <w:r>
        <w:rPr>
          <w:rStyle w:val="Fontdeparagrafimplicit"/>
          <w:color w:val="000000"/>
        </w:rPr>
        <w:t>5 alin. (1) din Ordonanţa de urgenţă a Guvernului privind Codul administrativ potrivit cărora „Detaşarea se dispune (...), pentru o perioadă de cel mult 6 luni”, susţinând că actele contestate trebuiau să menţioneze cu claritate care este durata exactă a d</w:t>
      </w:r>
      <w:r>
        <w:rPr>
          <w:rStyle w:val="Fontdeparagrafimplicit"/>
          <w:color w:val="000000"/>
        </w:rPr>
        <w:t>etaşării şi nu doar că aceasta este de maxim 6 luni, pentru a oferi certitudine şi previzibilitate salariatului.</w:t>
      </w:r>
    </w:p>
    <w:p w:rsidR="00240F1E" w14:paraId="55894C11" w14:textId="77777777">
      <w:pPr>
        <w:jc w:val="both"/>
        <w:rPr>
          <w:rStyle w:val="Fontdeparagrafimplicit"/>
          <w:color w:val="000000"/>
        </w:rPr>
      </w:pPr>
      <w:r>
        <w:rPr>
          <w:rStyle w:val="Fontdeparagrafimplicit"/>
          <w:color w:val="000000"/>
        </w:rPr>
        <w:tab/>
        <w:t>Instanţa de fond a reţinut că menţiunea „pentru o perioadă de cel mult 6 luni” respectă cerinţele legii şi că există posibilitatea ca în inter</w:t>
      </w:r>
      <w:r>
        <w:rPr>
          <w:rStyle w:val="Fontdeparagrafimplicit"/>
          <w:color w:val="000000"/>
        </w:rPr>
        <w:t>iorul celor 6 luni autoritatea să revină asupra măsurii detaşării.</w:t>
      </w:r>
    </w:p>
    <w:p w:rsidR="00240F1E" w14:paraId="0F380AA3" w14:textId="77777777">
      <w:pPr>
        <w:jc w:val="both"/>
        <w:rPr>
          <w:rStyle w:val="Fontdeparagrafimplicit"/>
          <w:color w:val="000000"/>
        </w:rPr>
      </w:pPr>
      <w:r>
        <w:rPr>
          <w:rStyle w:val="Fontdeparagrafimplicit"/>
          <w:color w:val="000000"/>
        </w:rPr>
        <w:tab/>
        <w:t>Critica recurentei este fondată.</w:t>
      </w:r>
    </w:p>
    <w:p w:rsidR="00240F1E" w14:paraId="73FCB640" w14:textId="77777777">
      <w:pPr>
        <w:jc w:val="both"/>
        <w:rPr>
          <w:rStyle w:val="Fontdeparagrafimplicit"/>
          <w:color w:val="000000"/>
        </w:rPr>
      </w:pPr>
      <w:r>
        <w:rPr>
          <w:rStyle w:val="Fontdeparagrafimplicit"/>
          <w:color w:val="000000"/>
        </w:rPr>
        <w:tab/>
        <w:t>Astfel, potrivit art. 502 alin. (6) din Codul administrativ: „Modificarea raporturilor de serviciu ale funcţionarilor publici se dispune prin act administ</w:t>
      </w:r>
      <w:r>
        <w:rPr>
          <w:rStyle w:val="Fontdeparagrafimplicit"/>
          <w:color w:val="000000"/>
        </w:rPr>
        <w:t>rativ al persoanei care are competenţa de numire, cu aplicarea corespunzătoare a prevederilor art. 528 şi 530.”</w:t>
      </w:r>
    </w:p>
    <w:p w:rsidR="00240F1E" w14:paraId="40E8A771" w14:textId="77777777">
      <w:pPr>
        <w:jc w:val="both"/>
        <w:rPr>
          <w:rStyle w:val="Fontdeparagrafimplicit"/>
          <w:color w:val="000000"/>
        </w:rPr>
      </w:pPr>
      <w:r>
        <w:rPr>
          <w:rStyle w:val="Fontdeparagrafimplicit"/>
          <w:color w:val="000000"/>
        </w:rPr>
        <w:tab/>
        <w:t>Art. 530 alin. (1) lit. e) din Codul administrativ, la care norma de mai sus face trimitere, prevede că: „(1) Actul administrativ de modificare</w:t>
      </w:r>
      <w:r>
        <w:rPr>
          <w:rStyle w:val="Fontdeparagrafimplicit"/>
          <w:color w:val="000000"/>
        </w:rPr>
        <w:t xml:space="preserve"> a raporturilor de serviciu ale funcţionarului public trebuie să conţină în mod obligatoriu următoarele elemente: e) perioada pentru care se dispune modificarea raporturilor de serviciu, dacă modalitatea de modificare a raporturilor de serviciu este tempor</w:t>
      </w:r>
      <w:r>
        <w:rPr>
          <w:rStyle w:val="Fontdeparagrafimplicit"/>
          <w:color w:val="000000"/>
        </w:rPr>
        <w:t>ară;”</w:t>
      </w:r>
    </w:p>
    <w:p w:rsidR="00240F1E" w14:paraId="386C6CFF" w14:textId="77777777">
      <w:pPr>
        <w:jc w:val="both"/>
        <w:rPr>
          <w:rStyle w:val="Fontdeparagrafimplicit"/>
          <w:color w:val="000000"/>
        </w:rPr>
      </w:pPr>
      <w:r>
        <w:rPr>
          <w:rStyle w:val="Fontdeparagrafimplicit"/>
          <w:color w:val="000000"/>
        </w:rPr>
        <w:tab/>
        <w:t>Cum în cazul detaşării, care constituie o modalitate de modificare temporară a raporturilor de serviciu, perioada maximă pe care ea poate fi dispusă este deja prevăzută de lege, ar rezulta că obligaţia impusă de norma de mai sus, de indicare a perio</w:t>
      </w:r>
      <w:r>
        <w:rPr>
          <w:rStyle w:val="Fontdeparagrafimplicit"/>
          <w:color w:val="000000"/>
        </w:rPr>
        <w:t>adei pe care ea este dispusă, ar fi inutilă.</w:t>
      </w:r>
    </w:p>
    <w:p w:rsidR="00240F1E" w14:paraId="329E4F66" w14:textId="77777777">
      <w:pPr>
        <w:jc w:val="both"/>
        <w:rPr>
          <w:rStyle w:val="Fontdeparagrafimplicit"/>
          <w:color w:val="000000"/>
        </w:rPr>
      </w:pPr>
      <w:r>
        <w:rPr>
          <w:rStyle w:val="Fontdeparagrafimplicit"/>
          <w:color w:val="000000"/>
        </w:rPr>
        <w:tab/>
        <w:t>Având însă în vedere că dispoziţiile actelor normative trebuie interpretate în sensul producerii de efecte juridice, aparenţa de drept este în sensul că obligaţia de indicare a perioadei detaşării este diferită</w:t>
      </w:r>
      <w:r>
        <w:rPr>
          <w:rStyle w:val="Fontdeparagrafimplicit"/>
          <w:color w:val="000000"/>
        </w:rPr>
        <w:t xml:space="preserve"> de obligaţia de indicare a perioadei maxime pe care ea poate fi dispusă potrivit legii, ceea ce ar implica faptul că sintagma „pentru o perioadă de cel mult 6 luni”, inserată în conţinutul actelor administrative puse în discuţie în speţă, nu ar satisface </w:t>
      </w:r>
      <w:r>
        <w:rPr>
          <w:rStyle w:val="Fontdeparagrafimplicit"/>
          <w:color w:val="000000"/>
        </w:rPr>
        <w:t>cerinţele legii.</w:t>
      </w:r>
    </w:p>
    <w:p w:rsidR="00240F1E" w14:paraId="7E58D0F2" w14:textId="2D6C94E4">
      <w:pPr>
        <w:jc w:val="both"/>
        <w:rPr>
          <w:rStyle w:val="Fontdeparagrafimplicit"/>
          <w:color w:val="000000"/>
        </w:rPr>
      </w:pPr>
      <w:r>
        <w:rPr>
          <w:rStyle w:val="Fontdeparagrafimplicit"/>
          <w:color w:val="000000"/>
        </w:rPr>
        <w:tab/>
        <w:t xml:space="preserve">De asemenea, recurentul a mai făcut referire la nerespectarea cerinţei motivării măsurii detaşării,  mai exact  a indicării argumentelor care au determinat alegerea acestuia ca fiind persoana cea mai potrivită pentru ocuparea temporară a </w:t>
      </w:r>
      <w:r>
        <w:rPr>
          <w:rStyle w:val="Fontdeparagrafimplicit"/>
          <w:color w:val="000000"/>
        </w:rPr>
        <w:t xml:space="preserve">postului vacant din cadrul Direcţiei de Asistenţă Socială </w:t>
      </w:r>
      <w:r w:rsidR="00812DED">
        <w:rPr>
          <w:rStyle w:val="Fontdeparagrafimplicit"/>
          <w:color w:val="000000"/>
        </w:rPr>
        <w:t>...B...</w:t>
      </w:r>
      <w:r>
        <w:rPr>
          <w:rStyle w:val="Fontdeparagrafimplicit"/>
          <w:color w:val="000000"/>
        </w:rPr>
        <w:t>.</w:t>
      </w:r>
    </w:p>
    <w:p w:rsidR="00240F1E" w14:paraId="3054CC66" w14:textId="6E3D0BEC">
      <w:pPr>
        <w:jc w:val="both"/>
        <w:rPr>
          <w:rStyle w:val="Fontdeparagrafimplicit"/>
          <w:color w:val="000000"/>
        </w:rPr>
      </w:pPr>
      <w:r>
        <w:rPr>
          <w:rStyle w:val="Fontdeparagrafimplicit"/>
          <w:color w:val="000000"/>
        </w:rPr>
        <w:tab/>
        <w:t xml:space="preserve">În acest sens tribunalul a reţinut că înscrisurile invocate în preambulul Dispoziţiei de detaşare nr. </w:t>
      </w:r>
      <w:r w:rsidR="00473993">
        <w:rPr>
          <w:rStyle w:val="Fontdeparagrafimplicit"/>
          <w:color w:val="000000"/>
        </w:rPr>
        <w:t>....</w:t>
      </w:r>
      <w:r>
        <w:rPr>
          <w:rStyle w:val="Fontdeparagrafimplicit"/>
          <w:color w:val="000000"/>
        </w:rPr>
        <w:t xml:space="preserve"> din 18 ianuarie 2024, respectiv Adresa Direcţiei de Asistenţă Socială </w:t>
      </w:r>
      <w:r w:rsidR="00812DED">
        <w:rPr>
          <w:rStyle w:val="Fontdeparagrafimplicit"/>
          <w:color w:val="000000"/>
        </w:rPr>
        <w:t>...B...</w:t>
      </w:r>
      <w:r>
        <w:rPr>
          <w:rStyle w:val="Fontdeparagrafimplicit"/>
          <w:color w:val="000000"/>
        </w:rPr>
        <w:t xml:space="preserve"> nr.</w:t>
      </w:r>
      <w:r>
        <w:rPr>
          <w:rStyle w:val="Fontdeparagrafimplicit"/>
          <w:color w:val="000000"/>
        </w:rPr>
        <w:t xml:space="preserve"> </w:t>
      </w:r>
      <w:r w:rsidR="00473993">
        <w:rPr>
          <w:rStyle w:val="Fontdeparagrafimplicit"/>
          <w:color w:val="000000"/>
        </w:rPr>
        <w:t>.....</w:t>
      </w:r>
      <w:r>
        <w:rPr>
          <w:rStyle w:val="Fontdeparagrafimplicit"/>
          <w:color w:val="000000"/>
        </w:rPr>
        <w:t xml:space="preserve"> din 11 ianuarie 2024 şi Referatul Serviciului Resurse Umane şi Management Instituţional nr. </w:t>
      </w:r>
      <w:r w:rsidR="00473993">
        <w:rPr>
          <w:rStyle w:val="Fontdeparagrafimplicit"/>
          <w:color w:val="000000"/>
        </w:rPr>
        <w:t>.....</w:t>
      </w:r>
      <w:r>
        <w:rPr>
          <w:rStyle w:val="Fontdeparagrafimplicit"/>
          <w:color w:val="000000"/>
        </w:rPr>
        <w:t xml:space="preserve"> din 15 ianuarie 2024, fac dovada respectării dispoziţiilor art. 505 alin. (8) din Codul administrativ, </w:t>
      </w:r>
      <w:r>
        <w:rPr>
          <w:rStyle w:val="Fontdeparagrafimplicit"/>
          <w:color w:val="000000"/>
        </w:rPr>
        <w:t xml:space="preserve">potrivit cărora „Detaşarea se dispune (...), la </w:t>
      </w:r>
      <w:r>
        <w:rPr>
          <w:rStyle w:val="Fontdeparagrafimplicit"/>
          <w:color w:val="000000"/>
        </w:rPr>
        <w:t>propunerea conducătorului autorităţii sau instituţiei publice în care urmează să îşi desfăşoare activitatea funcţionarul public detaşat” şi art. 530 alin. (1) lit. a) din acelaşi act normativ, potrivit cărora „ Actul administrativ de modificare a raporturi</w:t>
      </w:r>
      <w:r>
        <w:rPr>
          <w:rStyle w:val="Fontdeparagrafimplicit"/>
          <w:color w:val="000000"/>
        </w:rPr>
        <w:t>lor de serviciu ale funcţionarului public trebuie să conţină în mod obligatoriu următoarele elemente: a) temeiul legal al modificării raporturilor de serviciu, identificat prin dispoziţia legală incidentă, precum şi actele doveditoare care stau la baza înc</w:t>
      </w:r>
      <w:r>
        <w:rPr>
          <w:rStyle w:val="Fontdeparagrafimplicit"/>
          <w:color w:val="000000"/>
        </w:rPr>
        <w:t>adrării în textul de lege”.</w:t>
      </w:r>
    </w:p>
    <w:p w:rsidR="00240F1E" w14:paraId="403241E4" w14:textId="2E397EE3">
      <w:pPr>
        <w:jc w:val="both"/>
        <w:rPr>
          <w:rStyle w:val="Fontdeparagrafimplicit"/>
          <w:color w:val="000000"/>
        </w:rPr>
      </w:pPr>
      <w:r>
        <w:rPr>
          <w:rStyle w:val="Fontdeparagrafimplicit"/>
          <w:color w:val="000000"/>
        </w:rPr>
        <w:tab/>
        <w:t xml:space="preserve">Curtea reţine că înscrisurile de mai sus conţin, într-adevăr, solicitarea Direcţiei de Asistenţă Socială </w:t>
      </w:r>
      <w:r w:rsidR="00812DED">
        <w:rPr>
          <w:rStyle w:val="Fontdeparagrafimplicit"/>
          <w:color w:val="000000"/>
        </w:rPr>
        <w:t>...B...</w:t>
      </w:r>
      <w:r>
        <w:rPr>
          <w:rStyle w:val="Fontdeparagrafimplicit"/>
          <w:color w:val="000000"/>
        </w:rPr>
        <w:t xml:space="preserve"> de ocupare prin detaşare a postului public vacant, dar nu menţionează numele recurentului ca persoană care să fie </w:t>
      </w:r>
      <w:r>
        <w:rPr>
          <w:rStyle w:val="Fontdeparagrafimplicit"/>
          <w:color w:val="000000"/>
        </w:rPr>
        <w:t>detaşată.</w:t>
      </w:r>
    </w:p>
    <w:p w:rsidR="00240F1E" w14:paraId="6316A3B0" w14:textId="77777777">
      <w:pPr>
        <w:jc w:val="both"/>
        <w:rPr>
          <w:rStyle w:val="Fontdeparagrafimplicit"/>
          <w:color w:val="000000"/>
        </w:rPr>
      </w:pPr>
      <w:r>
        <w:rPr>
          <w:rStyle w:val="Fontdeparagrafimplicit"/>
          <w:color w:val="000000"/>
        </w:rPr>
        <w:tab/>
        <w:t>Or, în mod aparent, textul art. 505 alin. (8) din Codul administrativ se interpretează în sensul în care propunerea de detaşare formulată de conducătorul autorităţii sau instituţiei publice în care urmează să îşi desfăşoare activitatea funcţiona</w:t>
      </w:r>
      <w:r>
        <w:rPr>
          <w:rStyle w:val="Fontdeparagrafimplicit"/>
          <w:color w:val="000000"/>
        </w:rPr>
        <w:t>rul public detaşat trebuie să indice şi numele persoanei vizate de această măsură, condiţie care nu este îndeplinită în speţă.</w:t>
      </w:r>
    </w:p>
    <w:p w:rsidR="00240F1E" w14:paraId="76928B4C" w14:textId="7E358E00">
      <w:pPr>
        <w:jc w:val="both"/>
        <w:rPr>
          <w:rStyle w:val="Fontdeparagrafimplicit"/>
          <w:color w:val="000000"/>
        </w:rPr>
      </w:pPr>
      <w:r>
        <w:rPr>
          <w:rStyle w:val="Fontdeparagrafimplicit"/>
          <w:color w:val="000000"/>
        </w:rPr>
        <w:tab/>
        <w:t xml:space="preserve">În condiţiile în care nici Referatul Serviciului Resurse Umane şi Management Instituţional nr. </w:t>
      </w:r>
      <w:r w:rsidR="00473993">
        <w:rPr>
          <w:rStyle w:val="Fontdeparagrafimplicit"/>
          <w:color w:val="000000"/>
        </w:rPr>
        <w:t>.....</w:t>
      </w:r>
      <w:r>
        <w:rPr>
          <w:rStyle w:val="Fontdeparagrafimplicit"/>
          <w:color w:val="000000"/>
        </w:rPr>
        <w:t xml:space="preserve"> din 15 ianuarie 2024 nu ofe</w:t>
      </w:r>
      <w:r>
        <w:rPr>
          <w:rStyle w:val="Fontdeparagrafimplicit"/>
          <w:color w:val="000000"/>
        </w:rPr>
        <w:t>ră vreo explicaţie asupra motivelor alegerii recurentului-reclamant ca persoană care urmează a fi detaşată, critica acestuia este fondată.</w:t>
      </w:r>
    </w:p>
    <w:p w:rsidR="00240F1E" w14:paraId="6EF6E62E" w14:textId="77777777">
      <w:pPr>
        <w:jc w:val="both"/>
        <w:rPr>
          <w:rStyle w:val="Fontdeparagrafimplicit"/>
          <w:color w:val="000000"/>
        </w:rPr>
      </w:pPr>
      <w:r>
        <w:rPr>
          <w:rStyle w:val="Fontdeparagrafimplicit"/>
          <w:color w:val="000000"/>
        </w:rPr>
        <w:tab/>
        <w:t xml:space="preserve"> Un alt motiv invocat de recurent în susţinerea cazului de casare îl reprezintă greşita interpretare şi aplicare a d</w:t>
      </w:r>
      <w:r>
        <w:rPr>
          <w:rStyle w:val="Fontdeparagrafimplicit"/>
          <w:color w:val="000000"/>
        </w:rPr>
        <w:t>ispoziţiilor art. 465 alin. (1) lit. f) şi art. 505 alin. (4) din Codul administrativ, potrivit cărora funcţionarul public trebuie să îndeplinească cerinţele de „studii şi vechime în specialitate prevăzute de lege pentru ocuparea funcţiei publice”.</w:t>
      </w:r>
    </w:p>
    <w:p w:rsidR="00240F1E" w14:paraId="10E9716B" w14:textId="2BB95E7D">
      <w:pPr>
        <w:jc w:val="both"/>
        <w:rPr>
          <w:rStyle w:val="Fontdeparagrafimplicit"/>
          <w:color w:val="000000"/>
        </w:rPr>
      </w:pPr>
      <w:r>
        <w:rPr>
          <w:rStyle w:val="Fontdeparagrafimplicit"/>
          <w:color w:val="000000"/>
        </w:rPr>
        <w:tab/>
        <w:t>Cu pri</w:t>
      </w:r>
      <w:r>
        <w:rPr>
          <w:rStyle w:val="Fontdeparagrafimplicit"/>
          <w:color w:val="000000"/>
        </w:rPr>
        <w:t xml:space="preserve">vire la această critică, tribunalul a reţinut pe de o parte că recurentul îndeplinea cerinţele de studii impuse de Direcţia de Asistenţă Socială </w:t>
      </w:r>
      <w:r w:rsidR="00812DED">
        <w:rPr>
          <w:rStyle w:val="Fontdeparagrafimplicit"/>
          <w:color w:val="000000"/>
        </w:rPr>
        <w:t>...B...</w:t>
      </w:r>
      <w:r>
        <w:rPr>
          <w:rStyle w:val="Fontdeparagrafimplicit"/>
          <w:color w:val="000000"/>
        </w:rPr>
        <w:t xml:space="preserve"> pentru postul de inspector în cadrul Compartimentului Persoane cu handicap, Persoane vârstnice şi subve</w:t>
      </w:r>
      <w:r>
        <w:rPr>
          <w:rStyle w:val="Fontdeparagrafimplicit"/>
          <w:color w:val="000000"/>
        </w:rPr>
        <w:t>nţii – Serviciul Beneficii sociale, respectiv „studii universitare cu licenţă, iar pe de altă parte că nu putea pretinde „îndeplinirea aceloraşi atribuţii de serviciu cu care era familiarizat”.</w:t>
      </w:r>
    </w:p>
    <w:p w:rsidR="00240F1E" w14:paraId="66B0CF57" w14:textId="77777777">
      <w:pPr>
        <w:ind w:firstLine="708"/>
        <w:jc w:val="both"/>
        <w:rPr>
          <w:rStyle w:val="Fontdeparagrafimplicit"/>
          <w:color w:val="000000"/>
        </w:rPr>
      </w:pPr>
      <w:r>
        <w:rPr>
          <w:rStyle w:val="Fontdeparagrafimplicit"/>
          <w:color w:val="000000"/>
        </w:rPr>
        <w:t>Critica recurentului este fondată.</w:t>
      </w:r>
    </w:p>
    <w:p w:rsidR="00240F1E" w14:paraId="280F22A9" w14:textId="77777777">
      <w:pPr>
        <w:ind w:firstLine="708"/>
        <w:jc w:val="both"/>
        <w:rPr>
          <w:rStyle w:val="Fontdeparagrafimplicit"/>
          <w:color w:val="000000"/>
        </w:rPr>
      </w:pPr>
      <w:r>
        <w:rPr>
          <w:rStyle w:val="Fontdeparagrafimplicit"/>
          <w:color w:val="000000"/>
        </w:rPr>
        <w:t>Astfel, observă curtea că i</w:t>
      </w:r>
      <w:r>
        <w:rPr>
          <w:rStyle w:val="Fontdeparagrafimplicit"/>
          <w:color w:val="000000"/>
        </w:rPr>
        <w:t>nstanţa de fond a interpretat necorespunzător condiţia impusă de textele legale amintite anterior referitoare la deţinerea de către funcţionarul public a „vechimii în specialitate prevăzute de lege pentru ocuparea funcţiei publice”.</w:t>
      </w:r>
      <w:r>
        <w:rPr>
          <w:rStyle w:val="Fontdeparagrafimplicit"/>
          <w:color w:val="000000"/>
        </w:rPr>
        <w:tab/>
      </w:r>
    </w:p>
    <w:p w:rsidR="00240F1E" w14:paraId="67B17001" w14:textId="77777777">
      <w:pPr>
        <w:jc w:val="both"/>
        <w:rPr>
          <w:rStyle w:val="Fontdeparagrafimplicit"/>
          <w:color w:val="000000"/>
        </w:rPr>
      </w:pPr>
      <w:r>
        <w:rPr>
          <w:rStyle w:val="Fontdeparagrafimplicit"/>
          <w:color w:val="000000"/>
        </w:rPr>
        <w:tab/>
        <w:t xml:space="preserve">Deşi neexprimată </w:t>
      </w:r>
      <w:r>
        <w:rPr>
          <w:rStyle w:val="Fontdeparagrafimplicit"/>
          <w:color w:val="000000"/>
        </w:rPr>
        <w:t>expres, opinia tribunalului pare a fi fost în sensul că în privinţa funcţiilor publice pentru a căror ocupare se cer studii superioare de licenţă indiferent de domeniul în care acestea sunt obţinute, este suficient ca persoana care ocupă o astfel de funcţi</w:t>
      </w:r>
      <w:r>
        <w:rPr>
          <w:rStyle w:val="Fontdeparagrafimplicit"/>
          <w:color w:val="000000"/>
        </w:rPr>
        <w:t>e să fi exercitat anterior, pe durata impusă de autoritatea publică ( 7 ani în cazul de faţă), o altă funcţie pentru a cărei ocupare s-au solicitat, de asemenea, tot studii superioare de licenţă indiferent de domeniul în care au fost realizate, fiind indif</w:t>
      </w:r>
      <w:r>
        <w:rPr>
          <w:rStyle w:val="Fontdeparagrafimplicit"/>
          <w:color w:val="000000"/>
        </w:rPr>
        <w:t>erent dacă există sau nu similitudine între atribuţiile şi responsabilităţile celor două funcţii.</w:t>
      </w:r>
    </w:p>
    <w:p w:rsidR="00240F1E" w14:paraId="1D22C290" w14:textId="77777777">
      <w:pPr>
        <w:jc w:val="both"/>
        <w:rPr>
          <w:rStyle w:val="Fontdeparagrafimplicit"/>
          <w:color w:val="000000"/>
        </w:rPr>
      </w:pPr>
      <w:r>
        <w:rPr>
          <w:rStyle w:val="Fontdeparagrafimplicit"/>
          <w:color w:val="000000"/>
        </w:rPr>
        <w:tab/>
        <w:t xml:space="preserve">Curtea apreciază că o atare interpretare pare se a îndepărta de la scopul avut în vedere de legiuitor la instituirea dublei condiţii de studii şi vechime în </w:t>
      </w:r>
      <w:r>
        <w:rPr>
          <w:rStyle w:val="Fontdeparagrafimplicit"/>
          <w:color w:val="000000"/>
        </w:rPr>
        <w:t>specialitate, respectiv acela de a asigura un grad corespunzător de adecvare a funcţionarului la specificul postului ocupat.</w:t>
      </w:r>
    </w:p>
    <w:p w:rsidR="00240F1E" w14:paraId="598ECCE0" w14:textId="77777777">
      <w:pPr>
        <w:jc w:val="both"/>
        <w:rPr>
          <w:rStyle w:val="Fontdeparagrafimplicit"/>
          <w:color w:val="000000"/>
        </w:rPr>
      </w:pPr>
      <w:r>
        <w:rPr>
          <w:rStyle w:val="Fontdeparagrafimplicit"/>
          <w:color w:val="000000"/>
        </w:rPr>
        <w:tab/>
        <w:t xml:space="preserve">Or, după cum rezultă din fişa postului pe care a fost detaşat (filele 61-62 din dosarul de fond), cu unele excepţii,  atribuţiile </w:t>
      </w:r>
      <w:r>
        <w:rPr>
          <w:rStyle w:val="Fontdeparagrafimplicit"/>
          <w:color w:val="000000"/>
        </w:rPr>
        <w:t>recurentului nu aveau legătură cu cele exercitate anterior, acesta având ca sarcini, spre exemplu, însoţirea pe teren a specialiştilor Direcţiei de Asistenţă Socială pentru efectuarea vizitelor periodice sau pentru rezolvarea altor probleme, formularea răs</w:t>
      </w:r>
      <w:r>
        <w:rPr>
          <w:rStyle w:val="Fontdeparagrafimplicit"/>
          <w:color w:val="000000"/>
        </w:rPr>
        <w:t>punsurilor la petiţiile electronice adresate direcţiei, realizarea sarcinilor specifice serviciului rezultând din legislaţia în vigoare, din notele de serviciu şi deciziile directorului executiv sau repartizate de şeful ierarhic în funcţie de nevoile speci</w:t>
      </w:r>
      <w:r>
        <w:rPr>
          <w:rStyle w:val="Fontdeparagrafimplicit"/>
          <w:color w:val="000000"/>
        </w:rPr>
        <w:t>fice ale direcţiei.</w:t>
      </w:r>
    </w:p>
    <w:p w:rsidR="00240F1E" w14:paraId="5656A0EA" w14:textId="77777777">
      <w:pPr>
        <w:jc w:val="both"/>
        <w:rPr>
          <w:rStyle w:val="Fontdeparagrafimplicit"/>
          <w:color w:val="000000"/>
        </w:rPr>
      </w:pPr>
      <w:r>
        <w:rPr>
          <w:rStyle w:val="Fontdeparagrafimplicit"/>
          <w:color w:val="000000"/>
        </w:rPr>
        <w:tab/>
        <w:t xml:space="preserve">Ultima critică formulată de recurent cu privire la </w:t>
      </w:r>
      <w:r>
        <w:rPr>
          <w:rStyle w:val="Fontdeparagrafimplicit"/>
          <w:i/>
          <w:color w:val="000000"/>
        </w:rPr>
        <w:t xml:space="preserve">cazul bine justificat </w:t>
      </w:r>
      <w:r>
        <w:rPr>
          <w:rStyle w:val="Fontdeparagrafimplicit"/>
          <w:color w:val="000000"/>
        </w:rPr>
        <w:t>vizează nerespectarea cerinţei impuse de art. 505 alin. (10) din Codul administrativ care dispune: „Pe perioada detaşării funcţionarul public îşi păstrează funcţi</w:t>
      </w:r>
      <w:r>
        <w:rPr>
          <w:rStyle w:val="Fontdeparagrafimplicit"/>
          <w:color w:val="000000"/>
        </w:rPr>
        <w:t>a publică şi salariul.”</w:t>
      </w:r>
    </w:p>
    <w:p w:rsidR="00240F1E" w14:paraId="54680E4B" w14:textId="77777777">
      <w:pPr>
        <w:jc w:val="both"/>
        <w:rPr>
          <w:rStyle w:val="Fontdeparagrafimplicit"/>
          <w:color w:val="000000"/>
        </w:rPr>
      </w:pPr>
      <w:r>
        <w:rPr>
          <w:rStyle w:val="Fontdeparagrafimplicit"/>
          <w:color w:val="000000"/>
        </w:rPr>
        <w:tab/>
        <w:t xml:space="preserve">Sub acest aspect, se susţine pe de o parte că tribunalul a refuzat cercetarea aparenţei de temeinicie a criticilor recurentului, cu motivarea că ele ar constitui apărări de fond ce urmează a fi </w:t>
      </w:r>
      <w:r>
        <w:rPr>
          <w:rStyle w:val="Fontdeparagrafimplicit"/>
          <w:color w:val="000000"/>
        </w:rPr>
        <w:t>analizate de instanţa învestită cu ac</w:t>
      </w:r>
      <w:r>
        <w:rPr>
          <w:rStyle w:val="Fontdeparagrafimplicit"/>
          <w:color w:val="000000"/>
        </w:rPr>
        <w:t>ţiunea în anularea actelor, iar pe de altă parte că deşi au prevăzut menţinerea aceluiaşi salariu de bază brut, intimatele-pârâte l-au privat pe recurent de scutirea de impozitul pe venit de care beneficia în temeiul art. 60 pct. 2 din legea nr. 227/2015 p</w:t>
      </w:r>
      <w:r>
        <w:rPr>
          <w:rStyle w:val="Fontdeparagrafimplicit"/>
          <w:color w:val="000000"/>
        </w:rPr>
        <w:t>rivind Codul fiscal, precum şi de posibilitatea obţinerii de indemnizaţii pentru proiectele cu fonduri europene la care participa în calitate de specialist în informatică.</w:t>
      </w:r>
    </w:p>
    <w:p w:rsidR="00240F1E" w14:paraId="36F9328E" w14:textId="77777777">
      <w:pPr>
        <w:jc w:val="both"/>
        <w:rPr>
          <w:rStyle w:val="Fontdeparagrafimplicit"/>
          <w:color w:val="000000"/>
        </w:rPr>
      </w:pPr>
      <w:r>
        <w:rPr>
          <w:rStyle w:val="Fontdeparagrafimplicit"/>
          <w:color w:val="000000"/>
        </w:rPr>
        <w:tab/>
        <w:t>Critica recurentului este fondată.</w:t>
      </w:r>
    </w:p>
    <w:p w:rsidR="00240F1E" w14:paraId="11154D3A" w14:textId="77777777">
      <w:pPr>
        <w:jc w:val="both"/>
        <w:rPr>
          <w:rStyle w:val="Fontdeparagrafimplicit"/>
          <w:color w:val="000000"/>
        </w:rPr>
      </w:pPr>
      <w:r>
        <w:rPr>
          <w:rStyle w:val="Fontdeparagrafimplicit"/>
          <w:color w:val="000000"/>
        </w:rPr>
        <w:tab/>
        <w:t>Curtea constată că deşi nu a precizat în mod ex</w:t>
      </w:r>
      <w:r>
        <w:rPr>
          <w:rStyle w:val="Fontdeparagrafimplicit"/>
          <w:color w:val="000000"/>
        </w:rPr>
        <w:t xml:space="preserve">pres, tribunalul a cercetat aparenţa de legalitate a actelor administrative contestate din perspectiva respectării dispoziţiilor art. 505 alin. (10) din Codul administrativ, în condiţiile în care a reţinut că intimatele-pârâte au menţinut salariul de bază </w:t>
      </w:r>
      <w:r>
        <w:rPr>
          <w:rStyle w:val="Fontdeparagrafimplicit"/>
          <w:color w:val="000000"/>
        </w:rPr>
        <w:t>brut al recurentului, aspect care sugerează că, în opinia instanţei de fond, există aparenţa că s-ar fi respectat cerinţa legală de „păstrare a salariului” de care beneficia funcţionarul public anterior detaşării.</w:t>
      </w:r>
    </w:p>
    <w:p w:rsidR="00240F1E" w14:paraId="7940632A" w14:textId="77777777">
      <w:pPr>
        <w:jc w:val="both"/>
        <w:rPr>
          <w:rStyle w:val="Fontdeparagrafimplicit"/>
          <w:color w:val="000000"/>
        </w:rPr>
      </w:pPr>
      <w:r>
        <w:rPr>
          <w:rStyle w:val="Fontdeparagrafimplicit"/>
          <w:color w:val="000000"/>
        </w:rPr>
        <w:tab/>
        <w:t>Cu toate acestea, curtea apreciază că ace</w:t>
      </w:r>
      <w:r>
        <w:rPr>
          <w:rStyle w:val="Fontdeparagrafimplicit"/>
          <w:color w:val="000000"/>
        </w:rPr>
        <w:t>astă concluzie este eronată.</w:t>
      </w:r>
    </w:p>
    <w:p w:rsidR="00240F1E" w14:paraId="36292BD5" w14:textId="77777777">
      <w:pPr>
        <w:jc w:val="both"/>
        <w:rPr>
          <w:rStyle w:val="Fontdeparagrafimplicit"/>
          <w:color w:val="000000"/>
        </w:rPr>
      </w:pPr>
      <w:r>
        <w:rPr>
          <w:rStyle w:val="Fontdeparagrafimplicit"/>
          <w:color w:val="000000"/>
        </w:rPr>
        <w:tab/>
        <w:t xml:space="preserve">După cum se observă din lecturarea textului legal, cerinţa de păstrare a salariului nu se referă doar la </w:t>
      </w:r>
      <w:r>
        <w:rPr>
          <w:rStyle w:val="Fontdeparagrafimplicit"/>
          <w:i/>
          <w:color w:val="000000"/>
        </w:rPr>
        <w:t>salariul de bază</w:t>
      </w:r>
      <w:r>
        <w:rPr>
          <w:rStyle w:val="Fontdeparagrafimplicit"/>
          <w:color w:val="000000"/>
        </w:rPr>
        <w:t xml:space="preserve">, ci la </w:t>
      </w:r>
      <w:r>
        <w:rPr>
          <w:rStyle w:val="Fontdeparagrafimplicit"/>
          <w:i/>
          <w:color w:val="000000"/>
        </w:rPr>
        <w:t>salariu,</w:t>
      </w:r>
      <w:r>
        <w:rPr>
          <w:rStyle w:val="Fontdeparagrafimplicit"/>
          <w:color w:val="000000"/>
        </w:rPr>
        <w:t xml:space="preserve"> sens în care, pentru determinarea sensului acestui cuvânt se va apela la dispoziţiile ar</w:t>
      </w:r>
      <w:r>
        <w:rPr>
          <w:rStyle w:val="Fontdeparagrafimplicit"/>
          <w:color w:val="000000"/>
        </w:rPr>
        <w:t>t. 25 din Legea nr. 24/2000 care dispun: „În cadrul soluţiilor legislative preconizate trebuie să se realizeze o configurare explicită a conceptelor şi noţiunilor folosite în noua reglementare, care au un alt înţeles decât cel comun, pentru a se asigura as</w:t>
      </w:r>
      <w:r>
        <w:rPr>
          <w:rStyle w:val="Fontdeparagrafimplicit"/>
          <w:color w:val="000000"/>
        </w:rPr>
        <w:t>tfel înţelegerea lor corectă şi a se evita interpretările greşite.”</w:t>
      </w:r>
    </w:p>
    <w:p w:rsidR="00240F1E" w14:paraId="648361AB" w14:textId="77777777">
      <w:pPr>
        <w:jc w:val="both"/>
        <w:rPr>
          <w:rStyle w:val="Fontdeparagrafimplicit"/>
          <w:color w:val="000000"/>
        </w:rPr>
      </w:pPr>
      <w:r>
        <w:rPr>
          <w:rStyle w:val="Fontdeparagrafimplicit"/>
          <w:color w:val="000000"/>
        </w:rPr>
        <w:tab/>
        <w:t xml:space="preserve">Cum Codul administrativ nu conţine „o configurare explicită” a noţiunii de </w:t>
      </w:r>
      <w:r>
        <w:rPr>
          <w:rStyle w:val="Fontdeparagrafimplicit"/>
          <w:i/>
          <w:color w:val="000000"/>
        </w:rPr>
        <w:t>salariu</w:t>
      </w:r>
      <w:r>
        <w:rPr>
          <w:rStyle w:val="Fontdeparagrafimplicit"/>
          <w:color w:val="000000"/>
        </w:rPr>
        <w:t xml:space="preserve"> va rezulta că aceasta va avea sensul comun prevăzut în legislaţia privind salarizarea funcţionarilor pub</w:t>
      </w:r>
      <w:r>
        <w:rPr>
          <w:rStyle w:val="Fontdeparagrafimplicit"/>
          <w:color w:val="000000"/>
        </w:rPr>
        <w:t>lici.</w:t>
      </w:r>
    </w:p>
    <w:p w:rsidR="00240F1E" w14:paraId="1F46CE6A" w14:textId="77777777">
      <w:pPr>
        <w:jc w:val="both"/>
      </w:pPr>
      <w:r>
        <w:rPr>
          <w:rStyle w:val="Fontdeparagrafimplicit"/>
          <w:color w:val="000000"/>
        </w:rPr>
        <w:tab/>
        <w:t>În acelaşi sens sunt şi dispoziţiile art. 417 din Codul administrativ, potrivit cărora „(</w:t>
      </w:r>
      <w:r>
        <w:t>1) Pentru activitatea desfăşurată, funcţionarii publici au dreptul la salariu, prime şi alte drepturi, în condiţiile legislaţiei privind salarizarea personalulu</w:t>
      </w:r>
      <w:r>
        <w:t>i plătit din fonduri publice. (2) Salarizarea funcţionarilor publici se face în conformitate cu prevederile legii privind salarizarea personalului plătit din fonduri publice.”</w:t>
      </w:r>
    </w:p>
    <w:p w:rsidR="00240F1E" w14:paraId="7A69848F" w14:textId="77777777">
      <w:pPr>
        <w:jc w:val="both"/>
      </w:pPr>
      <w:r>
        <w:tab/>
        <w:t>Or, potrivit art. 7 lit. e) din Legea nr. 153/2017, „</w:t>
      </w:r>
      <w:r>
        <w:rPr>
          <w:rStyle w:val="Fontdeparagrafimplicit"/>
          <w:i/>
        </w:rPr>
        <w:t>salariul lunar</w:t>
      </w:r>
      <w:r>
        <w:t xml:space="preserve"> cuprinde sa</w:t>
      </w:r>
      <w:r>
        <w:t>lariul de bază ori, după caz, indemnizaţia lunară sau indemnizaţia de încadrare, compensaţiile, indemnizaţiile, sporurile, adaosurile, primele, premiile, precum şi celelalte elemente ale sistemului de salarizare corespunzătoare fiecărei categorii de person</w:t>
      </w:r>
      <w:r>
        <w:t>al din sectorul bugetar.”</w:t>
      </w:r>
    </w:p>
    <w:p w:rsidR="00240F1E" w14:paraId="3D0F49CD" w14:textId="77777777">
      <w:pPr>
        <w:jc w:val="both"/>
      </w:pPr>
      <w:r>
        <w:tab/>
        <w:t xml:space="preserve">Ca atare, aparenţa este în sensul că noţiunea de </w:t>
      </w:r>
      <w:r>
        <w:rPr>
          <w:rStyle w:val="Fontdeparagrafimplicit"/>
          <w:i/>
        </w:rPr>
        <w:t>salariu</w:t>
      </w:r>
      <w:r>
        <w:t xml:space="preserve"> utilizată de </w:t>
      </w:r>
      <w:r>
        <w:rPr>
          <w:rStyle w:val="Fontdeparagrafimplicit"/>
          <w:color w:val="000000"/>
        </w:rPr>
        <w:t xml:space="preserve">art. 505 alin. (10) din Codul administrativ nu se rezumă la </w:t>
      </w:r>
      <w:r>
        <w:rPr>
          <w:rStyle w:val="Fontdeparagrafimplicit"/>
          <w:i/>
          <w:color w:val="000000"/>
        </w:rPr>
        <w:t xml:space="preserve">salariul de bază, </w:t>
      </w:r>
      <w:r>
        <w:rPr>
          <w:rStyle w:val="Fontdeparagrafimplicit"/>
          <w:color w:val="000000"/>
        </w:rPr>
        <w:t xml:space="preserve">ci are în vedere toate componentele salariale enumerate de </w:t>
      </w:r>
      <w:r>
        <w:t>art. 7 lit. e) din Leg</w:t>
      </w:r>
      <w:r>
        <w:t>ea nr. 153/2017, incluzând deci indemnizaţiile, cum ar fi cele acordate pentru participarea la proiectele implicând fonduri europene.</w:t>
      </w:r>
    </w:p>
    <w:p w:rsidR="00240F1E" w14:paraId="0E8F0E06" w14:textId="77777777">
      <w:pPr>
        <w:jc w:val="both"/>
      </w:pPr>
      <w:r>
        <w:tab/>
        <w:t>Faţă de cele expuse mai sus, curtea reţine că, într-adevăr, tribunalul a interpretat şi aplicat eronat normele de drept m</w:t>
      </w:r>
      <w:r>
        <w:t xml:space="preserve">aterial incidente în analiza condiţiei </w:t>
      </w:r>
      <w:r>
        <w:rPr>
          <w:rStyle w:val="Fontdeparagrafimplicit"/>
          <w:i/>
        </w:rPr>
        <w:t>cazului bine justificat</w:t>
      </w:r>
      <w:r>
        <w:t>, împrejurare care atrage reţinerea cazului de casare prevăzut de art. 488 alin. (1) pct. 8 din Codul de procedură civilă, cu consecinţa casării hotărârii recurate.</w:t>
      </w:r>
    </w:p>
    <w:p w:rsidR="00240F1E" w14:paraId="2119B9C6" w14:textId="77777777">
      <w:pPr>
        <w:jc w:val="both"/>
      </w:pPr>
      <w:r>
        <w:tab/>
        <w:t>În rejudecare, curtea reţine</w:t>
      </w:r>
      <w:r>
        <w:t xml:space="preserve"> că în speţă era îndeplinită condiţia </w:t>
      </w:r>
      <w:r>
        <w:rPr>
          <w:rStyle w:val="Fontdeparagrafimplicit"/>
          <w:i/>
        </w:rPr>
        <w:t>cazului bine justificat</w:t>
      </w:r>
      <w:r>
        <w:t xml:space="preserve">, astfel cum este definită de art. 2 alin. (1) lit. t) din Legea nr. 554/2004, respectiv „împrejurările legate de starea de fapt şi de drept, care sunt de natură să creeze o îndoială serioasă în </w:t>
      </w:r>
      <w:r>
        <w:t>privinţa legalităţii actului administrativ”.</w:t>
      </w:r>
    </w:p>
    <w:p w:rsidR="00240F1E" w14:paraId="72F8A03E" w14:textId="77777777">
      <w:pPr>
        <w:jc w:val="both"/>
        <w:rPr>
          <w:rStyle w:val="Fontdeparagrafimplicit"/>
          <w:color w:val="000000"/>
        </w:rPr>
      </w:pPr>
      <w:r>
        <w:tab/>
        <w:t>c</w:t>
      </w:r>
      <w:r>
        <w:rPr>
          <w:rStyle w:val="Fontdeparagrafimplicit"/>
          <w:i/>
          <w:color w:val="000000"/>
        </w:rPr>
        <w:t>. Un al treilea motiv</w:t>
      </w:r>
      <w:r>
        <w:rPr>
          <w:rStyle w:val="Fontdeparagrafimplicit"/>
          <w:color w:val="000000"/>
        </w:rPr>
        <w:t xml:space="preserve"> subsumat cazului de casare de mai sus vizează modul de interpretare şi aplicare de către instanţa de fond a dispoziţiilor legale invocate în susţinerea condiţiei </w:t>
      </w:r>
      <w:r>
        <w:rPr>
          <w:rStyle w:val="Fontdeparagrafimplicit"/>
          <w:i/>
          <w:color w:val="000000"/>
        </w:rPr>
        <w:t>pagubei iminente.</w:t>
      </w:r>
    </w:p>
    <w:p w:rsidR="00240F1E" w14:paraId="47285705" w14:textId="77777777">
      <w:pPr>
        <w:jc w:val="both"/>
        <w:rPr>
          <w:rStyle w:val="Fontdeparagrafimplicit"/>
          <w:color w:val="000000"/>
        </w:rPr>
      </w:pPr>
      <w:r>
        <w:rPr>
          <w:rStyle w:val="Fontdeparagrafimplicit"/>
          <w:color w:val="000000"/>
        </w:rPr>
        <w:tab/>
        <w:t>Sub ac</w:t>
      </w:r>
      <w:r>
        <w:rPr>
          <w:rStyle w:val="Fontdeparagrafimplicit"/>
          <w:color w:val="000000"/>
        </w:rPr>
        <w:t>est aspect, recurentul a făcut referire la dispoziţiile</w:t>
      </w:r>
      <w:r>
        <w:t xml:space="preserve"> </w:t>
      </w:r>
      <w:r>
        <w:rPr>
          <w:rStyle w:val="Fontdeparagrafimplicit"/>
          <w:color w:val="000000"/>
        </w:rPr>
        <w:t xml:space="preserve">art. 2 alin. (1) lit. ş) din Legea nr. 554/2004, care definesc </w:t>
      </w:r>
      <w:r>
        <w:rPr>
          <w:rStyle w:val="Fontdeparagrafimplicit"/>
          <w:i/>
          <w:color w:val="000000"/>
        </w:rPr>
        <w:t xml:space="preserve">paguba iminentă </w:t>
      </w:r>
      <w:r>
        <w:rPr>
          <w:rStyle w:val="Fontdeparagrafimplicit"/>
          <w:color w:val="000000"/>
        </w:rPr>
        <w:t xml:space="preserve"> ca fiind „prejudiciul material viitor şi previzibil sau, după caz, perturbarea previzibilă gravă a funcţionării unei aut</w:t>
      </w:r>
      <w:r>
        <w:rPr>
          <w:rStyle w:val="Fontdeparagrafimplicit"/>
          <w:color w:val="000000"/>
        </w:rPr>
        <w:t>orităţi publice sau a unui serviciu public”.</w:t>
      </w:r>
    </w:p>
    <w:p w:rsidR="00240F1E" w14:paraId="719F3541" w14:textId="77777777">
      <w:pPr>
        <w:jc w:val="both"/>
        <w:rPr>
          <w:rStyle w:val="Fontdeparagrafimplicit"/>
          <w:color w:val="000000"/>
        </w:rPr>
      </w:pPr>
      <w:r>
        <w:rPr>
          <w:rStyle w:val="Fontdeparagrafimplicit"/>
          <w:color w:val="000000"/>
        </w:rPr>
        <w:tab/>
        <w:t>Potrivit recurentului, în speţă ar fi incidente ambele ipoteze prevăzute de legiuitor, respectiv atât producerea în patrimoniul recurentului a unei vătămări constând în încasarea unor venituri nete lunare mai m</w:t>
      </w:r>
      <w:r>
        <w:rPr>
          <w:rStyle w:val="Fontdeparagrafimplicit"/>
          <w:color w:val="000000"/>
        </w:rPr>
        <w:t>ici decât cele anterioare detaşării, cât şi afectarea negativă a activităţii Compartimentului Informatică din aparatul de specialitate al primarului prin aceea că singurul angajat rămas nu are nici experienţa, nici posibilitatea de a îndeplini toate sarcin</w:t>
      </w:r>
      <w:r>
        <w:rPr>
          <w:rStyle w:val="Fontdeparagrafimplicit"/>
          <w:color w:val="000000"/>
        </w:rPr>
        <w:t>ile, respectiv a Compartimentului Persoane cu handicap, Persoane vârstnice şi subvenţii – Serviciul Beneficii sociale din cadrul Direcţiei de Asistenţă Socială prin aceea că recurentul nu are pregătirea necesară realizării sarcinilor specifice acestui dome</w:t>
      </w:r>
      <w:r>
        <w:rPr>
          <w:rStyle w:val="Fontdeparagrafimplicit"/>
          <w:color w:val="000000"/>
        </w:rPr>
        <w:t>niu de activitate.</w:t>
      </w:r>
    </w:p>
    <w:p w:rsidR="00240F1E" w14:paraId="03CAE1AC" w14:textId="77777777">
      <w:pPr>
        <w:jc w:val="both"/>
        <w:rPr>
          <w:rStyle w:val="Fontdeparagrafimplicit"/>
          <w:color w:val="000000"/>
        </w:rPr>
      </w:pPr>
      <w:r>
        <w:rPr>
          <w:rStyle w:val="Fontdeparagrafimplicit"/>
          <w:color w:val="000000"/>
        </w:rPr>
        <w:tab/>
        <w:t>Analizând criticile reclamantului, tribunalul a reţinut pe de o parte că prejudiciul material produs destinatarului măsurii contestate nu trebuie să fie consecinţa directă a punerii în executare a actului administrativ, iar pe de altă p</w:t>
      </w:r>
      <w:r>
        <w:rPr>
          <w:rStyle w:val="Fontdeparagrafimplicit"/>
          <w:color w:val="000000"/>
        </w:rPr>
        <w:t>arte că perturbarea activităţii autorităţilor publice nu îl vizează pe reclamant.</w:t>
      </w:r>
    </w:p>
    <w:p w:rsidR="00240F1E" w14:paraId="19403C0F" w14:textId="77777777">
      <w:pPr>
        <w:jc w:val="both"/>
        <w:rPr>
          <w:rStyle w:val="Fontdeparagrafimplicit"/>
          <w:color w:val="000000"/>
        </w:rPr>
      </w:pPr>
      <w:r>
        <w:rPr>
          <w:rStyle w:val="Fontdeparagrafimplicit"/>
          <w:color w:val="000000"/>
        </w:rPr>
        <w:tab/>
        <w:t>În ceea ce priveşte ultima constatare a tribunalului, curtea reţine că aceasta este corectă, deoarece una din condiţiile de exerciţiu a acţiunii civile şi, în general, de ut</w:t>
      </w:r>
      <w:r>
        <w:rPr>
          <w:rStyle w:val="Fontdeparagrafimplicit"/>
          <w:color w:val="000000"/>
        </w:rPr>
        <w:t>ilizare a oricărui mijloc procesual, o constituie, potrivit art. 32 alin. (1) lit. d şi art. 33 din Codul de procedură civilă, respectiv art. 1 alin. (1) din Legea nr. 554/2004, invocarea unui interes legitim şi personal.</w:t>
      </w:r>
    </w:p>
    <w:p w:rsidR="00240F1E" w14:paraId="504CC43F" w14:textId="77777777">
      <w:pPr>
        <w:jc w:val="both"/>
        <w:rPr>
          <w:rStyle w:val="Fontdeparagrafimplicit"/>
          <w:color w:val="000000"/>
        </w:rPr>
      </w:pPr>
      <w:r>
        <w:rPr>
          <w:rStyle w:val="Fontdeparagrafimplicit"/>
          <w:color w:val="000000"/>
        </w:rPr>
        <w:tab/>
        <w:t>Or, recurentul nu a invocat vreun</w:t>
      </w:r>
      <w:r>
        <w:rPr>
          <w:rStyle w:val="Fontdeparagrafimplicit"/>
          <w:color w:val="000000"/>
        </w:rPr>
        <w:t xml:space="preserve"> interes personal vătămat prin perturbarea activităţii autorităţilor şi instituţiilor publice implicate în modificarea raporturilor sale de serviciu.</w:t>
      </w:r>
    </w:p>
    <w:p w:rsidR="00240F1E" w14:paraId="2C117297" w14:textId="77777777">
      <w:pPr>
        <w:jc w:val="both"/>
        <w:rPr>
          <w:rStyle w:val="Fontdeparagrafimplicit"/>
          <w:color w:val="000000"/>
        </w:rPr>
      </w:pPr>
      <w:r>
        <w:rPr>
          <w:rStyle w:val="Fontdeparagrafimplicit"/>
          <w:color w:val="000000"/>
        </w:rPr>
        <w:tab/>
        <w:t>În ceea ce priveşte însă prima constatare a tribunalului, curtea reţine că aceasta se bazează pe o interp</w:t>
      </w:r>
      <w:r>
        <w:rPr>
          <w:rStyle w:val="Fontdeparagrafimplicit"/>
          <w:color w:val="000000"/>
        </w:rPr>
        <w:t>retare eronată a dispoziţiilor art. 2 alin. (1) lit. ş) din Legea nr. 554/2004, care nu impun condiţia ca prejudiciul material produs destinatarului să nu rezulte direct din punerea în executare a actului administrativ.</w:t>
      </w:r>
    </w:p>
    <w:p w:rsidR="00240F1E" w14:paraId="3465CC32" w14:textId="77777777">
      <w:pPr>
        <w:ind w:firstLine="708"/>
        <w:jc w:val="both"/>
        <w:rPr>
          <w:rStyle w:val="Fontdeparagrafimplicit"/>
          <w:color w:val="000000"/>
        </w:rPr>
      </w:pPr>
      <w:r>
        <w:rPr>
          <w:rStyle w:val="Fontdeparagrafimplicit"/>
          <w:color w:val="000000"/>
        </w:rPr>
        <w:t>Dimpotrivă, scopul mijlocului proces</w:t>
      </w:r>
      <w:r>
        <w:rPr>
          <w:rStyle w:val="Fontdeparagrafimplicit"/>
          <w:color w:val="000000"/>
        </w:rPr>
        <w:t>ual prevăzut de art. 14 din Legea nr. 554/2004 este tocmai acela de a preîntâmpina producerea unor efecte patrimoniale negative în urma punerii în executare a unui act administrativ a cărui legalitate este în mod serios pusă sub semnul îndoielii.</w:t>
      </w:r>
    </w:p>
    <w:p w:rsidR="00240F1E" w14:paraId="40575CA0" w14:textId="77777777">
      <w:pPr>
        <w:jc w:val="both"/>
        <w:rPr>
          <w:rStyle w:val="Fontdeparagrafimplicit"/>
          <w:color w:val="000000"/>
        </w:rPr>
      </w:pPr>
      <w:r>
        <w:rPr>
          <w:rStyle w:val="Fontdeparagrafimplicit"/>
          <w:color w:val="000000"/>
        </w:rPr>
        <w:tab/>
        <w:t>Susţiner</w:t>
      </w:r>
      <w:r>
        <w:rPr>
          <w:rStyle w:val="Fontdeparagrafimplicit"/>
          <w:color w:val="000000"/>
        </w:rPr>
        <w:t>ea tribunalului se întemeiază pe o decizie de speţă pronunţată de instanţa supremă, reprodusă în mod frecvent de părţile din dosare, dar care nu are caracter obligatoriu şi nici de îndrumare pentru celelalte instanţe.</w:t>
      </w:r>
    </w:p>
    <w:p w:rsidR="00240F1E" w14:paraId="72894462" w14:textId="77777777">
      <w:pPr>
        <w:jc w:val="both"/>
        <w:rPr>
          <w:rStyle w:val="Fontdeparagrafimplicit"/>
          <w:i/>
          <w:color w:val="000000"/>
        </w:rPr>
      </w:pPr>
      <w:r>
        <w:rPr>
          <w:rStyle w:val="Fontdeparagrafimplicit"/>
          <w:color w:val="000000"/>
        </w:rPr>
        <w:tab/>
        <w:t>În speţă, curtea reţine că privarea r</w:t>
      </w:r>
      <w:r>
        <w:rPr>
          <w:rStyle w:val="Fontdeparagrafimplicit"/>
          <w:color w:val="000000"/>
        </w:rPr>
        <w:t xml:space="preserve">ecurentului de posibilitatea obţinerii unor indemnizaţii suplimentare ca urmare a participării la proiecte cu fonduri europene constituie un prejudiciu material a cărui preîntâmpinare se impune, fiind  îndeplinită şi condiţia </w:t>
      </w:r>
      <w:r>
        <w:rPr>
          <w:rStyle w:val="Fontdeparagrafimplicit"/>
          <w:i/>
          <w:color w:val="000000"/>
        </w:rPr>
        <w:t>pagubei iminente.</w:t>
      </w:r>
    </w:p>
    <w:p w:rsidR="00240F1E" w14:paraId="171150C6" w14:textId="77777777">
      <w:pPr>
        <w:jc w:val="both"/>
        <w:rPr>
          <w:rStyle w:val="Fontdeparagrafimplicit"/>
          <w:color w:val="000000"/>
        </w:rPr>
      </w:pPr>
      <w:r>
        <w:rPr>
          <w:rStyle w:val="Fontdeparagrafimplicit"/>
          <w:i/>
          <w:color w:val="000000"/>
        </w:rPr>
        <w:tab/>
      </w:r>
      <w:r>
        <w:rPr>
          <w:rStyle w:val="Fontdeparagrafimplicit"/>
          <w:color w:val="000000"/>
        </w:rPr>
        <w:t>Având în ve</w:t>
      </w:r>
      <w:r>
        <w:rPr>
          <w:rStyle w:val="Fontdeparagrafimplicit"/>
          <w:color w:val="000000"/>
        </w:rPr>
        <w:t xml:space="preserve">dere că în cauză era îndeplinită şi condiţia </w:t>
      </w:r>
      <w:r>
        <w:rPr>
          <w:rStyle w:val="Fontdeparagrafimplicit"/>
          <w:i/>
          <w:color w:val="000000"/>
        </w:rPr>
        <w:t xml:space="preserve">cazului bine justificat </w:t>
      </w:r>
      <w:r>
        <w:rPr>
          <w:rStyle w:val="Fontdeparagrafimplicit"/>
          <w:color w:val="000000"/>
        </w:rPr>
        <w:t>curtea reţine că pe fond soluţia care se impune este aceea de admitere a cererii de suspendare.</w:t>
      </w:r>
    </w:p>
    <w:p w:rsidR="00240F1E" w14:paraId="0E54886F" w14:textId="77777777">
      <w:pPr>
        <w:jc w:val="both"/>
        <w:rPr>
          <w:rStyle w:val="Fontdeparagrafimplicit"/>
          <w:i/>
          <w:color w:val="000000"/>
        </w:rPr>
      </w:pPr>
      <w:r>
        <w:rPr>
          <w:rStyle w:val="Fontdeparagrafimplicit"/>
          <w:color w:val="000000"/>
        </w:rPr>
        <w:tab/>
      </w:r>
      <w:r>
        <w:rPr>
          <w:rStyle w:val="Fontdeparagrafimplicit"/>
          <w:i/>
          <w:color w:val="000000"/>
        </w:rPr>
        <w:t>II.2.Temeiul legal al soluției</w:t>
      </w:r>
    </w:p>
    <w:p w:rsidR="00240F1E" w14:paraId="5C02CF42" w14:textId="7417F4B7">
      <w:pPr>
        <w:ind w:firstLine="567"/>
        <w:contextualSpacing/>
        <w:jc w:val="both"/>
        <w:rPr>
          <w:rStyle w:val="Fontdeparagrafimplicit"/>
          <w:color w:val="000000"/>
        </w:rPr>
      </w:pPr>
      <w:r>
        <w:rPr>
          <w:rStyle w:val="Fontdeparagrafimplicit"/>
          <w:color w:val="000000"/>
        </w:rPr>
        <w:t xml:space="preserve">Față de cele de mai sus, în baza art. 496 alin. (2) </w:t>
      </w:r>
      <w:r>
        <w:rPr>
          <w:rStyle w:val="Fontdeparagrafimplicit"/>
          <w:color w:val="000000"/>
        </w:rPr>
        <w:t>coroborat cu art. 498 alin. (1) din Codul de procedură civilă, curtea va admite recursul,  va</w:t>
      </w:r>
      <w:r>
        <w:rPr>
          <w:rStyle w:val="Fontdeparagrafimplicit"/>
          <w:b/>
          <w:color w:val="000000"/>
        </w:rPr>
        <w:t xml:space="preserve"> </w:t>
      </w:r>
      <w:r>
        <w:rPr>
          <w:rStyle w:val="Fontdeparagrafimplicit"/>
          <w:color w:val="000000"/>
        </w:rPr>
        <w:t>casa  în parte sentinţa atacată şi în rejudecare, în temeiul art. 535-536 din Codul administrativ şi al art. 14 alin. (1) din Legea nr. 554/2004,  va admite în pa</w:t>
      </w:r>
      <w:r>
        <w:rPr>
          <w:rStyle w:val="Fontdeparagrafimplicit"/>
          <w:color w:val="000000"/>
        </w:rPr>
        <w:t xml:space="preserve">rte acţiunea şi va suspenda executarea Dispoziţiei nr. </w:t>
      </w:r>
      <w:r w:rsidR="00F375E0">
        <w:rPr>
          <w:rStyle w:val="Fontdeparagrafimplicit"/>
          <w:color w:val="000000"/>
        </w:rPr>
        <w:t>....</w:t>
      </w:r>
      <w:r>
        <w:rPr>
          <w:rStyle w:val="Fontdeparagrafimplicit"/>
          <w:color w:val="000000"/>
        </w:rPr>
        <w:t xml:space="preserve"> din 18 ianuarie 2024 şi a Deciziei nr. </w:t>
      </w:r>
      <w:r w:rsidR="00E575C9">
        <w:rPr>
          <w:rStyle w:val="Fontdeparagrafimplicit"/>
          <w:color w:val="000000"/>
        </w:rPr>
        <w:t>.....</w:t>
      </w:r>
      <w:bookmarkStart w:name="_GoBack" w:id="3"/>
      <w:bookmarkEnd w:id="3"/>
      <w:r>
        <w:rPr>
          <w:rStyle w:val="Fontdeparagrafimplicit"/>
          <w:color w:val="000000"/>
        </w:rPr>
        <w:t xml:space="preserve"> din 18 ianuarie 2024 până la pronunţarea instanţei pe fond.</w:t>
      </w:r>
    </w:p>
    <w:p w:rsidR="00240F1E" w14:paraId="72D5F502" w14:textId="0846E752">
      <w:pPr>
        <w:ind w:firstLine="567"/>
        <w:contextualSpacing/>
        <w:jc w:val="both"/>
        <w:rPr>
          <w:rStyle w:val="Fontdeparagrafimplicit"/>
          <w:color w:val="000000"/>
        </w:rPr>
      </w:pPr>
      <w:r>
        <w:rPr>
          <w:rStyle w:val="Fontdeparagrafimplicit"/>
          <w:color w:val="000000"/>
        </w:rPr>
        <w:t>Totodată, în baza art. 453 din Codul de procedură civilă, curtea va obliga intimaţii-pârâţi P</w:t>
      </w:r>
      <w:r>
        <w:rPr>
          <w:rStyle w:val="Fontdeparagrafimplicit"/>
          <w:color w:val="000000"/>
        </w:rPr>
        <w:t xml:space="preserve">rimarul Municipiului </w:t>
      </w:r>
      <w:r w:rsidR="00812DED">
        <w:rPr>
          <w:rStyle w:val="Fontdeparagrafimplicit"/>
          <w:color w:val="000000"/>
        </w:rPr>
        <w:t>...B...</w:t>
      </w:r>
      <w:r>
        <w:rPr>
          <w:rStyle w:val="Fontdeparagrafimplicit"/>
          <w:color w:val="000000"/>
        </w:rPr>
        <w:t xml:space="preserve"> şi Direcţia de Asistenţă Socială </w:t>
      </w:r>
      <w:r w:rsidR="00812DED">
        <w:rPr>
          <w:rStyle w:val="Fontdeparagrafimplicit"/>
          <w:color w:val="000000"/>
        </w:rPr>
        <w:t>...B...</w:t>
      </w:r>
      <w:r>
        <w:rPr>
          <w:rStyle w:val="Fontdeparagrafimplicit"/>
          <w:color w:val="000000"/>
        </w:rPr>
        <w:t xml:space="preserve"> la plata către recurentul-reclamant a cheltuielilor de judecată</w:t>
      </w:r>
      <w:r>
        <w:t xml:space="preserve"> </w:t>
      </w:r>
      <w:r>
        <w:rPr>
          <w:rStyle w:val="Fontdeparagrafimplicit"/>
          <w:color w:val="000000"/>
        </w:rPr>
        <w:t>aferente ambelor faze procesuale.</w:t>
      </w:r>
    </w:p>
    <w:p w:rsidR="00240F1E" w14:paraId="15254C5C" w14:textId="77777777">
      <w:pPr>
        <w:ind w:firstLine="567"/>
        <w:contextualSpacing/>
        <w:jc w:val="both"/>
        <w:rPr>
          <w:rStyle w:val="Fontdeparagrafimplicit"/>
          <w:color w:val="000000"/>
        </w:rPr>
      </w:pPr>
      <w:r>
        <w:rPr>
          <w:rStyle w:val="Fontdeparagrafimplicit"/>
          <w:color w:val="000000"/>
        </w:rPr>
        <w:t>În privinţa nivelului acestor cheltuieli, făcând aplicarea art. 451 alin. (2) din acelaş</w:t>
      </w:r>
      <w:r>
        <w:rPr>
          <w:rStyle w:val="Fontdeparagrafimplicit"/>
          <w:color w:val="000000"/>
        </w:rPr>
        <w:t>i act normativ, curtea reţine că suma de 12.687,73 de lei avansată de recurent este excesivă prin raportare la complexitatea redusă a cauzei, ce nu a implicat lămurirea unor probleme de fapt sau de drept deosebite, la miza concretă a acesteia pentru recure</w:t>
      </w:r>
      <w:r>
        <w:rPr>
          <w:rStyle w:val="Fontdeparagrafimplicit"/>
          <w:color w:val="000000"/>
        </w:rPr>
        <w:t>ntul-reclamant dedusă din aceea că măsura detaşării urma să îşi producă efectele pe o perioadă de maxim 6 luni şi că diminuarea salarială nu avea un cuantum deosebit de ridicat, la faptul că obiectul cererii l-a constituit suspendarea şi nu anularea măsuri</w:t>
      </w:r>
      <w:r>
        <w:rPr>
          <w:rStyle w:val="Fontdeparagrafimplicit"/>
          <w:color w:val="000000"/>
        </w:rPr>
        <w:t>i, ceea ce a implicat doar o analiză a aparenţei de legalitate a actelor contestate şi nu o tranşare definitivă a fondului litigiului şi la numărul redus de termene de judecată, respectiv unul în faţa instanţei de fond şi unul în faţa instanţei de recurs.</w:t>
      </w:r>
    </w:p>
    <w:p w:rsidR="00240F1E" w14:paraId="52EF17FF" w14:textId="77777777">
      <w:pPr>
        <w:ind w:firstLine="567"/>
        <w:contextualSpacing/>
        <w:jc w:val="both"/>
        <w:rPr>
          <w:rStyle w:val="Fontdeparagrafimplicit"/>
          <w:color w:val="000000"/>
        </w:rPr>
      </w:pPr>
      <w:r>
        <w:rPr>
          <w:rStyle w:val="Fontdeparagrafimplicit"/>
          <w:color w:val="000000"/>
        </w:rPr>
        <w:t>Prin raportare la cele de mai sus, curtea apreciază că suma de 5.000 de lei este mai adecvată împrejurărilor concrete ale speţei.</w:t>
      </w:r>
    </w:p>
    <w:bookmarkEnd w:id="1"/>
    <w:p w:rsidR="00240F1E" w14:paraId="397882C7" w14:textId="77777777">
      <w:pPr>
        <w:ind w:firstLine="708"/>
        <w:jc w:val="both"/>
        <w:rPr>
          <w:rStyle w:val="Fontdeparagrafimplicit"/>
          <w:color w:val="000000"/>
        </w:rPr>
      </w:pPr>
    </w:p>
    <w:p w:rsidR="00240F1E" w14:paraId="5F3DF0C5" w14:textId="77777777">
      <w:pPr>
        <w:ind w:firstLine="720"/>
        <w:jc w:val="center"/>
        <w:rPr>
          <w:rStyle w:val="Fontdeparagrafimplicit"/>
          <w:b/>
          <w:color w:val="000000"/>
        </w:rPr>
      </w:pPr>
      <w:r>
        <w:rPr>
          <w:rStyle w:val="Fontdeparagrafimplicit"/>
          <w:b/>
          <w:color w:val="000000"/>
        </w:rPr>
        <w:t>PENTRU ACESTE MOTIVE</w:t>
      </w:r>
    </w:p>
    <w:p w:rsidR="00240F1E" w14:paraId="664AA5A8" w14:textId="77777777">
      <w:pPr>
        <w:jc w:val="center"/>
        <w:rPr>
          <w:rStyle w:val="Fontdeparagrafimplicit"/>
          <w:b/>
          <w:color w:val="000000"/>
        </w:rPr>
      </w:pPr>
      <w:r>
        <w:rPr>
          <w:rStyle w:val="Fontdeparagrafimplicit"/>
          <w:b/>
          <w:color w:val="000000"/>
        </w:rPr>
        <w:t xml:space="preserve">         ÎN NUMELE LEGII</w:t>
      </w:r>
    </w:p>
    <w:p w:rsidR="00240F1E" w14:paraId="58C2140B" w14:textId="77777777">
      <w:pPr>
        <w:jc w:val="center"/>
        <w:rPr>
          <w:rStyle w:val="Fontdeparagrafimplicit"/>
          <w:b/>
          <w:color w:val="000000"/>
        </w:rPr>
      </w:pPr>
      <w:r>
        <w:rPr>
          <w:rStyle w:val="Fontdeparagrafimplicit"/>
          <w:b/>
          <w:color w:val="000000"/>
        </w:rPr>
        <w:t xml:space="preserve">      DECIDE:</w:t>
      </w:r>
    </w:p>
    <w:p w:rsidR="00240F1E" w14:paraId="2887C70F" w14:textId="77777777">
      <w:pPr>
        <w:ind w:firstLine="708"/>
        <w:jc w:val="both"/>
        <w:rPr>
          <w:rStyle w:val="Fontdeparagrafimplicit"/>
          <w:color w:val="000000"/>
        </w:rPr>
      </w:pPr>
    </w:p>
    <w:p w:rsidR="00240F1E" w14:paraId="7BEC54DA" w14:textId="248D4C13">
      <w:pPr>
        <w:ind w:firstLine="708"/>
        <w:jc w:val="both"/>
        <w:rPr>
          <w:rStyle w:val="Fontdeparagrafimplicit"/>
          <w:color w:val="000000"/>
        </w:rPr>
      </w:pPr>
      <w:r>
        <w:rPr>
          <w:rStyle w:val="Fontdeparagrafimplicit"/>
          <w:color w:val="000000"/>
        </w:rPr>
        <w:t xml:space="preserve">Admite recursul </w:t>
      </w:r>
      <w:r>
        <w:t xml:space="preserve">declarat de recurentul-reclamant </w:t>
      </w:r>
      <w:r w:rsidR="00812DED">
        <w:rPr>
          <w:rStyle w:val="Fontdeparagrafimplicit"/>
          <w:b/>
        </w:rPr>
        <w:t>...Y...</w:t>
      </w:r>
      <w:r>
        <w:t xml:space="preserve">, </w:t>
      </w:r>
      <w:r>
        <w:rPr>
          <w:rStyle w:val="Fontdeparagrafimplicit"/>
          <w:u w:val="single"/>
        </w:rPr>
        <w:t>cu dom</w:t>
      </w:r>
      <w:r>
        <w:rPr>
          <w:rStyle w:val="Fontdeparagrafimplicit"/>
          <w:u w:val="single"/>
        </w:rPr>
        <w:t>iciliul procesual ales</w:t>
      </w:r>
      <w:r>
        <w:t xml:space="preserve"> la Societatea Civilă de Avocaţi </w:t>
      </w:r>
      <w:r w:rsidR="0014112D">
        <w:t>................</w:t>
      </w:r>
      <w:r>
        <w:t xml:space="preserve">, cu sediul profesional în </w:t>
      </w:r>
      <w:r w:rsidR="0014112D">
        <w:t>..........................</w:t>
      </w:r>
      <w:r>
        <w:t>, împotriva sentinţei civile nr.</w:t>
      </w:r>
      <w:r w:rsidR="00812DED">
        <w:t>..... din ...............</w:t>
      </w:r>
      <w:r>
        <w:t xml:space="preserve">, pronunţată de Tribunalul </w:t>
      </w:r>
      <w:r w:rsidR="00812DED">
        <w:t>...A...</w:t>
      </w:r>
      <w:r>
        <w:t xml:space="preserve"> – secţia civilă, în dosarul nr.</w:t>
      </w:r>
      <w:r w:rsidR="0014112D">
        <w:t>...../.../2024</w:t>
      </w:r>
      <w:r>
        <w:t xml:space="preserve">, în contradictoriu cu intimaţii-pârâţi </w:t>
      </w:r>
      <w:r>
        <w:rPr>
          <w:rStyle w:val="Fontdeparagrafimplicit"/>
          <w:b/>
        </w:rPr>
        <w:t xml:space="preserve">Municipiul </w:t>
      </w:r>
      <w:r w:rsidR="00812DED">
        <w:rPr>
          <w:rStyle w:val="Fontdeparagrafimplicit"/>
          <w:b/>
        </w:rPr>
        <w:t>...B...</w:t>
      </w:r>
      <w:r>
        <w:rPr>
          <w:rStyle w:val="Fontdeparagrafimplicit"/>
          <w:b/>
        </w:rPr>
        <w:t xml:space="preserve">, Consiliul Local </w:t>
      </w:r>
      <w:r w:rsidR="00812DED">
        <w:rPr>
          <w:rStyle w:val="Fontdeparagrafimplicit"/>
          <w:b/>
        </w:rPr>
        <w:t>...B...</w:t>
      </w:r>
      <w:r>
        <w:rPr>
          <w:rStyle w:val="Fontdeparagrafimplicit"/>
          <w:b/>
        </w:rPr>
        <w:t xml:space="preserve">, Primarul Municipiului </w:t>
      </w:r>
      <w:r w:rsidR="00812DED">
        <w:rPr>
          <w:rStyle w:val="Fontdeparagrafimplicit"/>
          <w:b/>
        </w:rPr>
        <w:t>...B...</w:t>
      </w:r>
      <w:r>
        <w:rPr>
          <w:rStyle w:val="Fontdeparagrafimplicit"/>
          <w:b/>
        </w:rPr>
        <w:t xml:space="preserve"> şi Direcţia de Asistenţă Socială </w:t>
      </w:r>
      <w:r w:rsidR="00812DED">
        <w:rPr>
          <w:rStyle w:val="Fontdeparagrafimplicit"/>
          <w:b/>
        </w:rPr>
        <w:t>...B...</w:t>
      </w:r>
      <w:r>
        <w:t xml:space="preserve">, </w:t>
      </w:r>
      <w:r>
        <w:rPr>
          <w:rStyle w:val="Fontdeparagrafimplicit"/>
          <w:u w:val="single"/>
        </w:rPr>
        <w:t>cu sediul ales in vederea comunicării actelor de procedura</w:t>
      </w:r>
      <w:r>
        <w:t xml:space="preserve"> la Societatea Civilă Profesionala d</w:t>
      </w:r>
      <w:r>
        <w:t xml:space="preserve">e Avocaţi </w:t>
      </w:r>
      <w:r w:rsidR="0014112D">
        <w:t>................</w:t>
      </w:r>
      <w:r>
        <w:t xml:space="preserve">, cu sediul profesional în </w:t>
      </w:r>
      <w:r w:rsidR="0014112D">
        <w:t>....................................................</w:t>
      </w:r>
      <w:r>
        <w:rPr>
          <w:rStyle w:val="Fontdeparagrafimplicit"/>
          <w:color w:val="000000"/>
        </w:rPr>
        <w:t xml:space="preserve">. </w:t>
      </w:r>
    </w:p>
    <w:p w:rsidR="00240F1E" w14:paraId="34801732" w14:textId="77777777">
      <w:pPr>
        <w:ind w:firstLine="708"/>
        <w:jc w:val="both"/>
        <w:rPr>
          <w:rStyle w:val="Fontdeparagrafimplicit"/>
          <w:color w:val="000000"/>
        </w:rPr>
      </w:pPr>
      <w:r>
        <w:rPr>
          <w:rStyle w:val="Fontdeparagrafimplicit"/>
          <w:color w:val="000000"/>
        </w:rPr>
        <w:t xml:space="preserve">Casează în parte sentinţa recurată şi în rejudecare: </w:t>
      </w:r>
    </w:p>
    <w:p w:rsidR="00240F1E" w14:paraId="3106B780" w14:textId="77777777">
      <w:pPr>
        <w:ind w:firstLine="708"/>
        <w:jc w:val="both"/>
        <w:rPr>
          <w:rStyle w:val="Fontdeparagrafimplicit"/>
          <w:color w:val="000000"/>
        </w:rPr>
      </w:pPr>
      <w:r>
        <w:rPr>
          <w:rStyle w:val="Fontdeparagrafimplicit"/>
          <w:color w:val="000000"/>
        </w:rPr>
        <w:t xml:space="preserve">Admite în parte acţiunea. </w:t>
      </w:r>
    </w:p>
    <w:p w:rsidR="00240F1E" w14:paraId="69BA7746" w14:textId="39E582A5">
      <w:pPr>
        <w:ind w:firstLine="708"/>
        <w:jc w:val="both"/>
        <w:rPr>
          <w:rStyle w:val="Fontdeparagrafimplicit"/>
          <w:color w:val="000000"/>
        </w:rPr>
      </w:pPr>
      <w:r>
        <w:rPr>
          <w:rStyle w:val="Fontdeparagrafimplicit"/>
          <w:color w:val="000000"/>
        </w:rPr>
        <w:t xml:space="preserve">Suspendă executarea dispoziţiei nr. </w:t>
      </w:r>
      <w:r w:rsidR="00473993">
        <w:rPr>
          <w:rStyle w:val="Fontdeparagrafimplicit"/>
          <w:color w:val="000000"/>
        </w:rPr>
        <w:t>..../18.01.2024</w:t>
      </w:r>
      <w:r>
        <w:rPr>
          <w:rStyle w:val="Fontdeparagrafimplicit"/>
          <w:color w:val="000000"/>
        </w:rPr>
        <w:t xml:space="preserve"> şi a deciziei nr. </w:t>
      </w:r>
      <w:r w:rsidR="00473993">
        <w:rPr>
          <w:rStyle w:val="Fontdeparagrafimplicit"/>
          <w:color w:val="000000"/>
        </w:rPr>
        <w:t>..../18.01.2024</w:t>
      </w:r>
      <w:r>
        <w:rPr>
          <w:rStyle w:val="Fontdeparagrafimplicit"/>
          <w:color w:val="000000"/>
        </w:rPr>
        <w:t xml:space="preserve"> până la pronunţarea instanţei pe fond. </w:t>
      </w:r>
    </w:p>
    <w:p w:rsidR="00240F1E" w14:paraId="317EA71A" w14:textId="651572F3">
      <w:pPr>
        <w:ind w:firstLine="708"/>
        <w:jc w:val="both"/>
        <w:rPr>
          <w:rStyle w:val="Fontdeparagrafimplicit"/>
          <w:color w:val="000000"/>
        </w:rPr>
      </w:pPr>
      <w:r>
        <w:rPr>
          <w:rStyle w:val="Fontdeparagrafimplicit"/>
          <w:color w:val="000000"/>
        </w:rPr>
        <w:t xml:space="preserve">Obligă intimaţii-pârâţi Primarul Municipiului </w:t>
      </w:r>
      <w:r w:rsidR="00812DED">
        <w:rPr>
          <w:rStyle w:val="Fontdeparagrafimplicit"/>
          <w:color w:val="000000"/>
        </w:rPr>
        <w:t>...B...</w:t>
      </w:r>
      <w:r>
        <w:rPr>
          <w:rStyle w:val="Fontdeparagrafimplicit"/>
          <w:color w:val="000000"/>
        </w:rPr>
        <w:t xml:space="preserve"> şi Direcţia de Asistenţă Socială </w:t>
      </w:r>
      <w:r w:rsidR="00812DED">
        <w:rPr>
          <w:rStyle w:val="Fontdeparagrafimplicit"/>
          <w:color w:val="000000"/>
        </w:rPr>
        <w:t>...B...</w:t>
      </w:r>
      <w:r>
        <w:rPr>
          <w:rStyle w:val="Fontdeparagrafimplicit"/>
          <w:color w:val="000000"/>
        </w:rPr>
        <w:t xml:space="preserve"> la plata către recurentul-reclamant a sumei de 5.000 lei cu titlu de onorariu de avoca</w:t>
      </w:r>
      <w:r>
        <w:rPr>
          <w:rStyle w:val="Fontdeparagrafimplicit"/>
          <w:color w:val="000000"/>
        </w:rPr>
        <w:t xml:space="preserve">t. </w:t>
      </w:r>
    </w:p>
    <w:p w:rsidR="00240F1E" w14:paraId="62DD4EC9" w14:textId="77777777">
      <w:pPr>
        <w:ind w:firstLine="708"/>
        <w:jc w:val="both"/>
        <w:rPr>
          <w:rStyle w:val="Fontdeparagrafimplicit"/>
          <w:color w:val="000000"/>
        </w:rPr>
      </w:pPr>
      <w:r>
        <w:rPr>
          <w:rStyle w:val="Fontdeparagrafimplicit"/>
          <w:color w:val="000000"/>
        </w:rPr>
        <w:t xml:space="preserve">Menţine în rest sentinţa atacată. </w:t>
      </w:r>
    </w:p>
    <w:p w:rsidR="00240F1E" w14:paraId="5F2453A7" w14:textId="77777777">
      <w:pPr>
        <w:ind w:firstLine="708"/>
        <w:jc w:val="both"/>
        <w:rPr>
          <w:rStyle w:val="Fontdeparagrafimplicit"/>
          <w:color w:val="000000"/>
        </w:rPr>
      </w:pPr>
      <w:r>
        <w:rPr>
          <w:rStyle w:val="Fontdeparagrafimplicit"/>
          <w:color w:val="000000"/>
        </w:rPr>
        <w:t xml:space="preserve">Definitivă. </w:t>
      </w:r>
    </w:p>
    <w:p w:rsidR="00240F1E" w14:paraId="0FAA1752" w14:textId="76FB753A">
      <w:pPr>
        <w:ind w:firstLine="708"/>
        <w:jc w:val="both"/>
        <w:rPr>
          <w:rStyle w:val="Fontdeparagrafimplicit"/>
          <w:color w:val="000000"/>
        </w:rPr>
      </w:pPr>
      <w:r>
        <w:rPr>
          <w:rStyle w:val="Fontdeparagrafimplicit"/>
          <w:color w:val="000000"/>
        </w:rPr>
        <w:t xml:space="preserve">Pronunţată prin punerea soluţiei la dispoziţia părţilor, prin intermediul grefei instanţei, azi, </w:t>
      </w:r>
      <w:r w:rsidR="0014112D">
        <w:rPr>
          <w:rStyle w:val="Fontdeparagrafimplicit"/>
          <w:color w:val="000000"/>
        </w:rPr>
        <w:t>................</w:t>
      </w:r>
      <w:r>
        <w:rPr>
          <w:rStyle w:val="Fontdeparagrafimplicit"/>
          <w:color w:val="000000"/>
        </w:rPr>
        <w:t>.</w:t>
      </w:r>
    </w:p>
    <w:p w:rsidR="00240F1E" w14:paraId="0B4D5C9D" w14:textId="77777777">
      <w:pPr>
        <w:ind w:firstLine="708"/>
        <w:jc w:val="both"/>
        <w:rPr>
          <w:rStyle w:val="Fontdeparagrafimplicit"/>
          <w:color w:val="000000"/>
        </w:rPr>
      </w:pPr>
    </w:p>
    <w:p w:rsidR="00240F1E" w14:paraId="31E6B2E0" w14:textId="77777777">
      <w:pPr>
        <w:jc w:val="both"/>
        <w:rPr>
          <w:rStyle w:val="Fontdeparagrafimplicit"/>
          <w:b/>
          <w:color w:val="000000"/>
        </w:rPr>
      </w:pPr>
      <w:r>
        <w:rPr>
          <w:rStyle w:val="Fontdeparagrafimplicit"/>
          <w:color w:val="000000"/>
        </w:rPr>
        <w:t xml:space="preserve">                 </w:t>
      </w:r>
      <w:r>
        <w:rPr>
          <w:rStyle w:val="Fontdeparagrafimplicit"/>
          <w:b/>
          <w:color w:val="000000"/>
        </w:rPr>
        <w:t xml:space="preserve">PREŞEDINTE,             JUDECĂTOR,                       JUDECĂTOR,   </w:t>
      </w:r>
    </w:p>
    <w:p w:rsidR="00240F1E" w14:paraId="7A690BEB" w14:textId="1C8EB09F">
      <w:pPr>
        <w:rPr>
          <w:rStyle w:val="Fontdeparagrafimplicit"/>
          <w:b/>
          <w:color w:val="000000"/>
        </w:rPr>
      </w:pPr>
      <w:r>
        <w:rPr>
          <w:rStyle w:val="Fontdeparagrafimplicit"/>
          <w:b/>
          <w:color w:val="000000"/>
        </w:rPr>
        <w:t xml:space="preserve">                 </w:t>
      </w:r>
      <w:r w:rsidR="0014112D">
        <w:rPr>
          <w:rStyle w:val="Fontdeparagrafimplicit"/>
          <w:b/>
          <w:color w:val="000000"/>
        </w:rPr>
        <w:t xml:space="preserve">        A0005</w:t>
      </w:r>
      <w:r>
        <w:rPr>
          <w:rStyle w:val="Fontdeparagrafimplicit"/>
          <w:b/>
          <w:color w:val="000000"/>
        </w:rPr>
        <w:t xml:space="preserve">          </w:t>
      </w:r>
      <w:r w:rsidR="0014112D">
        <w:rPr>
          <w:rStyle w:val="Fontdeparagrafimplicit"/>
          <w:b/>
          <w:color w:val="000000"/>
        </w:rPr>
        <w:t xml:space="preserve">             ................</w:t>
      </w:r>
      <w:r>
        <w:rPr>
          <w:rStyle w:val="Fontdeparagrafimplicit"/>
          <w:b/>
          <w:color w:val="000000"/>
        </w:rPr>
        <w:t xml:space="preserve">      </w:t>
      </w:r>
      <w:r w:rsidR="0014112D">
        <w:rPr>
          <w:rStyle w:val="Fontdeparagrafimplicit"/>
          <w:b/>
          <w:color w:val="000000"/>
        </w:rPr>
        <w:t xml:space="preserve">                           ................</w:t>
      </w:r>
      <w:r>
        <w:rPr>
          <w:rStyle w:val="Fontdeparagrafimplicit"/>
          <w:b/>
          <w:color w:val="000000"/>
        </w:rPr>
        <w:t xml:space="preserve"> </w:t>
      </w:r>
    </w:p>
    <w:p w:rsidR="00240F1E" w14:paraId="2AFB40B1" w14:textId="77777777">
      <w:pPr>
        <w:rPr>
          <w:rStyle w:val="Fontdeparagrafimplicit"/>
          <w:b/>
          <w:color w:val="000000"/>
        </w:rPr>
      </w:pPr>
    </w:p>
    <w:p w:rsidR="00240F1E" w14:paraId="03ED85C5" w14:textId="77777777">
      <w:pPr>
        <w:pStyle w:val="Corptext"/>
        <w:spacing w:line="240" w:lineRule="auto"/>
        <w:rPr>
          <w:rStyle w:val="Fontdeparagrafimplicit"/>
          <w:b/>
          <w:color w:val="000000"/>
          <w:lang w:val="ro-RO"/>
        </w:rPr>
      </w:pPr>
      <w:r>
        <w:rPr>
          <w:rStyle w:val="Fontdeparagrafimplicit"/>
          <w:b/>
          <w:color w:val="000000"/>
          <w:lang w:val="ro-RO"/>
        </w:rPr>
        <w:t xml:space="preserve">                      </w:t>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r>
      <w:r>
        <w:rPr>
          <w:rStyle w:val="Fontdeparagrafimplicit"/>
          <w:b/>
          <w:color w:val="000000"/>
          <w:lang w:val="ro-RO"/>
        </w:rPr>
        <w:tab/>
        <w:t xml:space="preserve">      </w:t>
      </w:r>
    </w:p>
    <w:p w:rsidR="00240F1E" w14:paraId="4A318446" w14:textId="77777777">
      <w:pPr>
        <w:pStyle w:val="Corptext"/>
        <w:spacing w:line="240" w:lineRule="auto"/>
        <w:rPr>
          <w:rStyle w:val="Fontdeparagrafimplicit"/>
          <w:b/>
          <w:color w:val="000000"/>
          <w:lang w:val="ro-RO"/>
        </w:rPr>
      </w:pPr>
      <w:r>
        <w:rPr>
          <w:rStyle w:val="Fontdeparagrafimplicit"/>
          <w:b/>
          <w:color w:val="000000"/>
          <w:lang w:val="ro-RO"/>
        </w:rPr>
        <w:t xml:space="preserve">                                                                                                 </w:t>
      </w:r>
      <w:r>
        <w:rPr>
          <w:rStyle w:val="Fontdeparagrafimplicit"/>
          <w:b/>
          <w:color w:val="000000"/>
          <w:lang w:val="ro-RO"/>
        </w:rPr>
        <w:t xml:space="preserve">           </w:t>
      </w:r>
    </w:p>
    <w:p w:rsidR="00240F1E" w14:paraId="68AC43A0" w14:textId="77777777">
      <w:pPr>
        <w:pStyle w:val="Corptext"/>
        <w:spacing w:line="240" w:lineRule="auto"/>
        <w:rPr>
          <w:rStyle w:val="Fontdeparagrafimplicit"/>
          <w:b/>
          <w:color w:val="000000"/>
          <w:lang w:val="ro-RO"/>
        </w:rPr>
      </w:pPr>
      <w:r>
        <w:rPr>
          <w:rStyle w:val="Fontdeparagrafimplicit"/>
          <w:b/>
          <w:color w:val="000000"/>
          <w:lang w:val="ro-RO"/>
        </w:rPr>
        <w:t xml:space="preserve">                                                                                                                  GREFIER</w:t>
      </w:r>
    </w:p>
    <w:p w:rsidR="00240F1E" w14:paraId="33AB34EE" w14:textId="5A27CA44">
      <w:pPr>
        <w:ind w:right="-125" w:firstLine="672"/>
        <w:jc w:val="both"/>
        <w:rPr>
          <w:rStyle w:val="Fontdeparagrafimplicit"/>
          <w:b/>
          <w:color w:val="000000"/>
        </w:rPr>
      </w:pPr>
      <w:r>
        <w:rPr>
          <w:rStyle w:val="Fontdeparagrafimplicit"/>
          <w:b/>
          <w:color w:val="000000"/>
        </w:rPr>
        <w:t xml:space="preserve">    </w:t>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r>
      <w:r>
        <w:rPr>
          <w:rStyle w:val="Fontdeparagrafimplicit"/>
          <w:b/>
          <w:color w:val="000000"/>
        </w:rPr>
        <w:tab/>
        <w:t xml:space="preserve"> </w:t>
      </w:r>
      <w:r w:rsidR="0014112D">
        <w:rPr>
          <w:rStyle w:val="Fontdeparagrafimplicit"/>
          <w:b/>
          <w:color w:val="000000"/>
        </w:rPr>
        <w:t xml:space="preserve">       ................</w:t>
      </w:r>
    </w:p>
    <w:p w:rsidR="00240F1E" w14:paraId="4A1A6634" w14:textId="77777777">
      <w:pPr>
        <w:ind w:right="-125" w:firstLine="672"/>
        <w:jc w:val="both"/>
        <w:rPr>
          <w:rStyle w:val="Fontdeparagrafimplicit"/>
          <w:b/>
          <w:color w:val="000000"/>
        </w:rPr>
      </w:pPr>
    </w:p>
    <w:p w:rsidR="00240F1E" w14:paraId="71CFA743" w14:textId="77777777">
      <w:pPr>
        <w:rPr>
          <w:rStyle w:val="Fontdeparagrafimplicit"/>
          <w:b/>
          <w:color w:val="000000"/>
        </w:rPr>
      </w:pPr>
    </w:p>
    <w:p w:rsidR="00240F1E" w14:paraId="4650B564" w14:textId="77777777">
      <w:pPr>
        <w:rPr>
          <w:rStyle w:val="Fontdeparagrafimplicit"/>
        </w:rPr>
      </w:pPr>
    </w:p>
    <w:p w:rsidR="00240F1E" w14:paraId="214BA781" w14:textId="77777777">
      <w:pPr>
        <w:rPr>
          <w:rStyle w:val="Fontdeparagrafimplicit"/>
        </w:rPr>
      </w:pPr>
    </w:p>
    <w:p w:rsidR="00240F1E" w14:paraId="6E65C219" w14:textId="77777777">
      <w:pPr>
        <w:rPr>
          <w:rStyle w:val="Fontdeparagrafimplicit"/>
        </w:rPr>
      </w:pPr>
    </w:p>
    <w:p w:rsidR="00240F1E" w14:paraId="50D428CD" w14:textId="77777777">
      <w:pPr>
        <w:jc w:val="both"/>
        <w:rPr>
          <w:rStyle w:val="Fontdeparagrafimplicit"/>
        </w:rPr>
      </w:pPr>
    </w:p>
    <w:p w:rsidR="00240F1E" w14:paraId="762E13B7" w14:textId="4561F9C6">
      <w:pPr>
        <w:jc w:val="both"/>
      </w:pPr>
      <w:r>
        <w:t xml:space="preserve">Red </w:t>
      </w:r>
      <w:r w:rsidR="0014112D">
        <w:t>A0005</w:t>
      </w:r>
      <w:r>
        <w:t>– 7 ex./</w:t>
      </w:r>
      <w:r w:rsidR="0014112D">
        <w:t>......</w:t>
      </w:r>
    </w:p>
    <w:p w:rsidR="00240F1E" w14:paraId="60B74C1D" w14:textId="53E9900B">
      <w:pPr>
        <w:rPr>
          <w:rStyle w:val="Fontdeparagrafimplicit"/>
          <w:b/>
        </w:rPr>
      </w:pPr>
      <w:r>
        <w:t xml:space="preserve">Tribunalul </w:t>
      </w:r>
      <w:r w:rsidR="00812DED">
        <w:t>...A...</w:t>
      </w:r>
      <w:r>
        <w:t xml:space="preserve"> - Secţia civilă- jud.</w:t>
      </w:r>
      <w:r>
        <w:rPr>
          <w:rStyle w:val="Fontdeparagrafimplicit"/>
          <w:b/>
        </w:rPr>
        <w:t xml:space="preserve"> </w:t>
      </w:r>
      <w:r w:rsidR="0014112D">
        <w:t>....................</w:t>
      </w:r>
    </w:p>
    <w:p w:rsidR="00240F1E" w14:paraId="72EFDF74" w14:textId="77777777">
      <w:r>
        <w:t>Comunicat 5 exemplare la data de</w:t>
      </w:r>
    </w:p>
    <w:p w:rsidR="00240F1E" w14:paraId="775C6D0F" w14:textId="77777777"/>
    <w:sectPr>
      <w:footerReference w:type="default" r:id="rId4"/>
      <w:pgSz w:w="11906" w:h="16838"/>
      <w:pgMar w:top="1361" w:right="991" w:bottom="1361" w:left="1361"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0F1E" w14:paraId="4323E15C" w14:textId="77777777">
    <w:pPr>
      <w:pStyle w:val="Subsol"/>
      <w:jc w:val="right"/>
      <w:rPr>
        <w:rStyle w:val="Fontdeparagrafimplicit"/>
        <w:rFonts w:ascii="Times New Roman" w:hAnsi="Times New Roman"/>
        <w:sz w:val="24"/>
      </w:rPr>
    </w:pPr>
    <w:r>
      <w:fldChar w:fldCharType="begin"/>
    </w:r>
    <w:r>
      <w:rPr>
        <w:rStyle w:val="Fontdeparagrafimplicit"/>
        <w:rFonts w:ascii="Times New Roman" w:hAnsi="Times New Roman"/>
        <w:sz w:val="24"/>
      </w:rPr>
      <w:instrText>PAGE   \* MERGEFORMAT</w:instrText>
    </w:r>
    <w:r>
      <w:rPr>
        <w:rStyle w:val="Fontdeparagrafimplicit"/>
        <w:rFonts w:ascii="Times New Roman" w:hAnsi="Times New Roman"/>
        <w:sz w:val="24"/>
      </w:rPr>
      <w:fldChar w:fldCharType="separate"/>
    </w:r>
    <w:r>
      <w:rPr>
        <w:rStyle w:val="Fontdeparagrafimplicit"/>
        <w:rFonts w:ascii="Times New Roman" w:hAnsi="Times New Roman"/>
        <w:sz w:val="24"/>
      </w:rPr>
      <w:t>#</w:t>
    </w:r>
    <w:r>
      <w:rPr>
        <w:rStyle w:val="Fontdeparagrafimplicit"/>
        <w:rFonts w:ascii="Times New Roman" w:hAnsi="Times New Roman"/>
        <w:sz w:val="24"/>
      </w:rPr>
      <w:fldChar w:fldCharType="end"/>
    </w:r>
  </w:p>
  <w:p w:rsidR="00240F1E" w14:paraId="528956E5" w14:textId="77777777">
    <w:pPr>
      <w:pStyle w:val="Subsol"/>
      <w:rPr>
        <w:rStyle w:val="Fontdeparagrafimplicit"/>
        <w:rFonts w:ascii="Times New Roman" w:hAnsi="Times New Roman"/>
        <w:sz w:val="24"/>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655C5051"/>
    <w:multiLevelType w:val="multilevel"/>
    <w:tmpl w:val="BC360FC4"/>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F1E"/>
    <w:rsid w:val="0014112D"/>
    <w:rsid w:val="00240F1E"/>
    <w:rsid w:val="00343E8E"/>
    <w:rsid w:val="00390FBA"/>
    <w:rsid w:val="00473993"/>
    <w:rsid w:val="007D54B8"/>
    <w:rsid w:val="00812DED"/>
    <w:rsid w:val="00A264B0"/>
    <w:rsid w:val="00DD7727"/>
    <w:rsid w:val="00E575C9"/>
    <w:rsid w:val="00F375E0"/>
  </w:rsids>
  <w:docVars>
    <w:docVar w:name="url" w:val="https://cabuc.just.ro/ecris_cdms/document_upload.aspx?id_document=200000005012516&amp;id_departament=54&amp;id_sesiune=5781575&amp;id_user=86&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7D8DB145"/>
  <w15:docId w15:val="{9D0F738F-96B5-4A91-9E95-16DEADA4F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orptext">
    <w:name w:val="Corp text"/>
    <w:basedOn w:val="Normal"/>
    <w:link w:val="CorptextCaracter"/>
    <w:pPr>
      <w:widowControl w:val="0"/>
      <w:spacing w:line="288" w:lineRule="auto"/>
    </w:pPr>
    <w:rPr>
      <w:lang w:val="en-US"/>
    </w:rPr>
  </w:style>
  <w:style w:type="paragraph" w:customStyle="1" w:styleId="Antet">
    <w:name w:val="Antet"/>
    <w:basedOn w:val="Normal"/>
    <w:link w:val="AntetCaracter"/>
    <w:pPr>
      <w:tabs>
        <w:tab w:val="center" w:pos="4536"/>
        <w:tab w:val="right" w:pos="9072"/>
      </w:tabs>
    </w:pPr>
    <w:rPr>
      <w:rFonts w:ascii="Calibri" w:hAnsi="Calibri"/>
      <w:sz w:val="22"/>
    </w:rPr>
  </w:style>
  <w:style w:type="paragraph" w:customStyle="1" w:styleId="Subsol">
    <w:name w:val="Subsol"/>
    <w:basedOn w:val="Normal"/>
    <w:link w:val="SubsolCaracter"/>
    <w:pPr>
      <w:tabs>
        <w:tab w:val="center" w:pos="4536"/>
        <w:tab w:val="right" w:pos="9072"/>
      </w:tabs>
    </w:pPr>
    <w:rPr>
      <w:rFonts w:ascii="Calibri" w:hAnsi="Calibri"/>
      <w:sz w:val="22"/>
    </w:rPr>
  </w:style>
  <w:style w:type="paragraph" w:customStyle="1" w:styleId="pj">
    <w:name w:val="pj"/>
    <w:basedOn w:val="Normal"/>
    <w:pPr>
      <w:spacing w:after="150" w:line="312" w:lineRule="atLeast"/>
      <w:ind w:firstLine="600"/>
      <w:jc w:val="both"/>
    </w:pPr>
  </w:style>
  <w:style w:type="paragraph" w:customStyle="1" w:styleId="Listparagraf">
    <w:name w:val="Listă paragraf"/>
    <w:basedOn w:val="Normal"/>
    <w:qFormat/>
    <w:pPr>
      <w:spacing w:after="160" w:line="252" w:lineRule="auto"/>
      <w:ind w:left="720"/>
      <w:contextualSpacing/>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orptextCaracter">
    <w:name w:val="Corp text Caracter"/>
    <w:link w:val="Corptext"/>
    <w:rPr>
      <w:lang w:val="en-US"/>
    </w:rPr>
  </w:style>
  <w:style w:type="character" w:customStyle="1" w:styleId="AntetCaracter">
    <w:name w:val="Antet Caracter"/>
    <w:link w:val="Antet"/>
    <w:rPr>
      <w:rFonts w:ascii="Calibri" w:hAnsi="Calibri"/>
      <w:sz w:val="22"/>
    </w:rPr>
  </w:style>
  <w:style w:type="character" w:customStyle="1" w:styleId="SubsolCaracter">
    <w:name w:val="Subsol Caracter"/>
    <w:link w:val="Subsol"/>
    <w:rPr>
      <w:rFonts w:ascii="Calibri" w:hAnsi="Calibri"/>
      <w:sz w:val="22"/>
    </w:rPr>
  </w:style>
  <w:style w:type="character" w:customStyle="1" w:styleId="Bodytext3BoldItalic">
    <w:name w:val="Body text (3) + Bold;Italic"/>
    <w:rPr>
      <w:rFonts w:ascii="Times New Roman" w:hAnsi="Times New Roman"/>
      <w:b/>
      <w:i/>
      <w:color w:val="000000"/>
      <w:sz w:val="24"/>
      <w:u w:val="none"/>
      <w:shd w:val="clear" w:color="auto" w:fill="FFFFFF"/>
      <w:lang w:val="ro-RO"/>
    </w:rPr>
  </w:style>
  <w:style w:type="character" w:customStyle="1" w:styleId="Bodytext3NotItalic">
    <w:name w:val="Body text (3) + Not Italic"/>
    <w:rPr>
      <w:rFonts w:ascii="Times New Roman" w:hAnsi="Times New Roman"/>
      <w:i/>
      <w:color w:val="000000"/>
      <w:sz w:val="20"/>
      <w:u w:val="none"/>
      <w:lang w:val="ro-RO"/>
    </w:rPr>
  </w:style>
  <w:style w:type="character" w:customStyle="1" w:styleId="l5def1">
    <w:name w:val="l5def1"/>
    <w:rPr>
      <w:rFonts w:ascii="Arial" w:hAnsi="Arial"/>
      <w:color w:val="000000"/>
      <w:sz w:val="26"/>
    </w:rPr>
  </w:style>
  <w:style w:type="character" w:customStyle="1" w:styleId="rvts7">
    <w:name w:val="rvts7"/>
  </w:style>
  <w:style w:type="character" w:customStyle="1" w:styleId="rvts11">
    <w:name w:val="rvts11"/>
  </w:style>
  <w:style w:type="character" w:customStyle="1" w:styleId="FontStyle22">
    <w:name w:val="Font Style22"/>
    <w:rPr>
      <w:rFonts w:ascii="Calibri" w:hAnsi="Calibri"/>
      <w:i/>
      <w:sz w:val="20"/>
    </w:rPr>
  </w:style>
  <w:style w:type="character" w:customStyle="1" w:styleId="FontStyle23">
    <w:name w:val="Font Style23"/>
    <w:rPr>
      <w:rFonts w:ascii="Calibri" w:hAnsi="Calibri"/>
      <w:sz w:val="20"/>
    </w:rPr>
  </w:style>
  <w:style w:type="character" w:customStyle="1" w:styleId="FontStyle25">
    <w:name w:val="Font Style25"/>
    <w:rPr>
      <w:rFonts w:ascii="Times New Roman" w:hAnsi="Times New Roman"/>
      <w:sz w:val="20"/>
    </w:rPr>
  </w:style>
  <w:style w:type="character" w:customStyle="1" w:styleId="FontStyle45">
    <w:name w:val="Font Style45"/>
    <w:rPr>
      <w:rFonts w:ascii="Calibri" w:hAnsi="Calibri"/>
      <w:sz w:val="22"/>
    </w:rPr>
  </w:style>
  <w:style w:type="character" w:customStyle="1" w:styleId="FontStyle50">
    <w:name w:val="Font Style50"/>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53</ap:TotalTime>
  <ap:Pages>21</ap:Pages>
  <ap:Words>13202</ap:Words>
  <ap:Characters>75257</ap:Characters>
  <ap:Application>Microsoft Office Word</ap:Application>
  <ap:DocSecurity>0</ap:DocSecurity>
  <ap:Lines>627</ap:Lines>
  <ap:Paragraphs>176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88283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