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oter1.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&#65279;<?xml version="1.0" encoding="utf-8"?><Relationships xmlns="http://schemas.openxmlformats.org/package/2006/relationships"><Relationship Type="http://schemas.openxmlformats.org/package/2006/relationships/metadata/core-properties" Target="docProps/core.xml" Id="rId1" /><Relationship Type="http://schemas.openxmlformats.org/officeDocument/2006/relationships/extended-properties" Target="docProps/app.xml" Id="rId2" /><Relationship Type="http://schemas.openxmlformats.org/officeDocument/2006/relationships/officeDocument" Target="word/document.xml" Id="rId4"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pPr>
      <w:r>
        <w:rPr/>
        <w:t>Hot. 8</w:t>
      </w:r>
    </w:p>
    <w:p>
      <w:pPr>
        <w:pStyle w:val="Heading3"/>
        <w:rPr>
          <w:rFonts w:ascii="Times New Roman" w:hAnsi="Times New Roman"/>
        </w:rPr>
      </w:pPr>
      <w:r>
        <w:rPr>
          <w:rFonts w:ascii="Times New Roman" w:hAnsi="Times New Roman"/>
        </w:rPr>
        <w:t>R O M Â N I A</w:t>
      </w:r>
    </w:p>
    <w:p>
      <w:pPr>
        <w:pStyle w:val="Normal"/>
        <w:jc w:val="center"/>
        <w:rPr/>
      </w:pPr>
      <w:r>
        <w:rPr/>
        <w:t>CURTEA DE APEL ...</w:t>
      </w:r>
    </w:p>
    <w:p>
      <w:pPr>
        <w:pStyle w:val="Normal"/>
        <w:jc w:val="center"/>
        <w:rPr>
          <w:lang w:val="en-US"/>
        </w:rPr>
      </w:pPr>
      <w:r>
        <w:rPr/>
        <w:t>SECŢIA .... - NCPP</w:t>
      </w:r>
    </w:p>
    <w:p>
      <w:pPr>
        <w:pStyle w:val="Normal"/>
        <w:rPr/>
      </w:pPr>
      <w:r>
        <w:rPr/>
      </w:r>
    </w:p>
    <w:p>
      <w:pPr>
        <w:pStyle w:val="Normal"/>
        <w:rPr/>
      </w:pPr>
      <w:r>
        <w:rPr/>
        <w:t>Dosar nr. D1</w:t>
      </w:r>
    </w:p>
    <w:p>
      <w:pPr>
        <w:pStyle w:val="Heading2"/>
        <w:rPr>
          <w:rFonts w:ascii="Times New Roman" w:hAnsi="Times New Roman"/>
        </w:rPr>
      </w:pPr>
      <w:r>
        <w:rPr>
          <w:rFonts w:ascii="Times New Roman" w:hAnsi="Times New Roman"/>
        </w:rPr>
      </w:r>
    </w:p>
    <w:p>
      <w:pPr>
        <w:pStyle w:val="Heading2"/>
        <w:rPr>
          <w:rFonts w:ascii="Times New Roman" w:hAnsi="Times New Roman"/>
        </w:rPr>
      </w:pPr>
      <w:r>
        <w:rPr>
          <w:rFonts w:ascii="Times New Roman" w:hAnsi="Times New Roman"/>
        </w:rPr>
        <w:t>Încheierea nr. ...</w:t>
      </w:r>
    </w:p>
    <w:p>
      <w:pPr>
        <w:pStyle w:val="Normal"/>
        <w:rPr/>
      </w:pPr>
      <w:r>
        <w:rPr/>
      </w:r>
    </w:p>
    <w:p>
      <w:pPr>
        <w:pStyle w:val="Normal"/>
        <w:jc w:val="center"/>
        <w:rPr/>
      </w:pPr>
      <w:r>
        <w:rPr/>
        <w:t xml:space="preserve">Şedinţa din camera de consiliu din ... </w:t>
      </w:r>
    </w:p>
    <w:p>
      <w:pPr>
        <w:pStyle w:val="Normal"/>
        <w:jc w:val="center"/>
        <w:rPr/>
      </w:pPr>
      <w:r>
        <w:rPr/>
      </w:r>
    </w:p>
    <w:p>
      <w:pPr>
        <w:pStyle w:val="Normal"/>
        <w:jc w:val="center"/>
        <w:rPr/>
      </w:pPr>
      <w:r>
        <w:rPr/>
        <w:t>Completul compus din:</w:t>
      </w:r>
    </w:p>
    <w:p>
      <w:pPr>
        <w:pStyle w:val="Normal"/>
        <w:jc w:val="center"/>
        <w:rPr>
          <w:b/>
        </w:rPr>
      </w:pPr>
      <w:r>
        <w:rPr>
          <w:b/>
        </w:rPr>
        <w:t>Judecător de cameră preliminară A0013</w:t>
      </w:r>
    </w:p>
    <w:p>
      <w:pPr>
        <w:pStyle w:val="Normal"/>
        <w:jc w:val="center"/>
        <w:rPr>
          <w:b/>
        </w:rPr>
      </w:pPr>
      <w:r>
        <w:rPr>
          <w:b/>
        </w:rPr>
        <w:t>Grefier ....</w:t>
      </w:r>
    </w:p>
    <w:p>
      <w:pPr>
        <w:pStyle w:val="Normal"/>
        <w:jc w:val="center"/>
        <w:rPr>
          <w:b/>
        </w:rPr>
      </w:pPr>
      <w:r>
        <w:rPr>
          <w:b/>
        </w:rPr>
      </w:r>
    </w:p>
    <w:p>
      <w:pPr>
        <w:pStyle w:val="Normal"/>
        <w:jc w:val="center"/>
        <w:rPr/>
      </w:pPr>
      <w:r>
        <w:rPr/>
      </w:r>
    </w:p>
    <w:p>
      <w:pPr>
        <w:pStyle w:val="Normal"/>
        <w:ind w:firstLine="1134"/>
        <w:jc w:val="both"/>
        <w:rPr/>
      </w:pPr>
      <w:r>
        <w:rPr/>
        <w:t xml:space="preserve">Pe rol se află pronunţarea asupra cauzei penale privind pe petenta </w:t>
      </w:r>
      <w:r>
        <w:rPr>
          <w:b/>
        </w:rPr>
        <w:t>A1,</w:t>
      </w:r>
      <w:r>
        <w:rPr/>
        <w:t xml:space="preserve"> având ca obiect plângere soluţii de neurmărire/netrimitere judecată (art. 340 NCPP) împotriva Ordonanţei de clasare din data de ..., dispusă în dosarul nr. D2 de către Parchetul de pe lângă Curtea de Apel ..., menţinută prin Ordonanţa Procurorului general din data de ..., dispusă în dosarul nr. D3</w:t>
      </w:r>
    </w:p>
    <w:p>
      <w:pPr>
        <w:pStyle w:val="Normal"/>
        <w:ind w:firstLine="1134"/>
        <w:jc w:val="both"/>
        <w:rPr/>
      </w:pPr>
      <w:r>
        <w:rPr/>
        <w:t xml:space="preserve">S-a făcut referatul cauzei de către grefierul de şedinţă care învederează că dezbaterile asupra fondului au avut loc </w:t>
      </w:r>
      <w:r>
        <w:rPr>
          <w:i/>
        </w:rPr>
        <w:t xml:space="preserve">în data de ..., </w:t>
      </w:r>
      <w:r>
        <w:rPr/>
        <w:t>în şedinţa din camera de consiliu (cu participarea din partea Ministerului Public a doamnei procuror ... din cadrul Parchetului de pe lângă Curtea de Apel ...), susţinerile şi concluziile părţilor fiind consemnate în încheierea de şedinţă din acea zi, ce face parte integrantă din prezenta, când, din lipsă de timp pentru a delibera, s-a amânat pronunţarea pentru astăzi, ....</w:t>
      </w:r>
    </w:p>
    <w:p>
      <w:pPr>
        <w:pStyle w:val="Normal"/>
        <w:ind w:firstLine="708"/>
        <w:jc w:val="both"/>
        <w:rPr/>
      </w:pPr>
      <w:r>
        <w:rPr/>
      </w:r>
    </w:p>
    <w:p>
      <w:pPr>
        <w:pStyle w:val="Normal"/>
        <w:ind w:firstLine="708"/>
        <w:jc w:val="both"/>
        <w:rPr/>
      </w:pPr>
      <w:r>
        <w:rPr/>
      </w:r>
    </w:p>
    <w:p>
      <w:pPr>
        <w:pStyle w:val="Normal"/>
        <w:ind w:firstLine="708"/>
        <w:jc w:val="center"/>
        <w:rPr>
          <w:b/>
        </w:rPr>
      </w:pPr>
      <w:r>
        <w:rPr>
          <w:b/>
        </w:rPr>
      </w:r>
    </w:p>
    <w:p>
      <w:pPr>
        <w:pStyle w:val="Normal"/>
        <w:ind w:firstLine="708"/>
        <w:jc w:val="center"/>
        <w:rPr>
          <w:b/>
        </w:rPr>
      </w:pPr>
      <w:r>
        <w:rPr>
          <w:b/>
        </w:rPr>
        <w:t>JUDECĂTOR DE CAMERĂ PRELIMINARĂ</w:t>
      </w:r>
    </w:p>
    <w:p>
      <w:pPr>
        <w:pStyle w:val="Normal"/>
        <w:ind w:firstLine="1134"/>
        <w:jc w:val="both"/>
        <w:rPr>
          <w:b/>
          <w:sz w:val="28"/>
        </w:rPr>
      </w:pPr>
      <w:r>
        <w:rPr>
          <w:b/>
          <w:sz w:val="28"/>
        </w:rPr>
      </w:r>
    </w:p>
    <w:p>
      <w:pPr>
        <w:pStyle w:val="Normal"/>
        <w:ind w:firstLine="1134"/>
        <w:jc w:val="both"/>
        <w:rPr>
          <w:b/>
        </w:rPr>
      </w:pPr>
      <w:r>
        <w:rPr>
          <w:b/>
        </w:rPr>
      </w:r>
    </w:p>
    <w:p>
      <w:pPr>
        <w:pStyle w:val="Normal"/>
        <w:ind w:firstLine="1134"/>
        <w:jc w:val="both"/>
        <w:rPr>
          <w:b/>
          <w:lang w:val="en-US"/>
        </w:rPr>
      </w:pPr>
      <w:r>
        <w:rPr>
          <w:b/>
        </w:rPr>
        <w:t>Deliberând asupra cauzei penale de faţă, constată următoarele</w:t>
      </w:r>
      <w:r>
        <w:rPr>
          <w:b/>
          <w:lang w:val="en-US"/>
        </w:rPr>
        <w:t>:</w:t>
      </w:r>
    </w:p>
    <w:p>
      <w:pPr>
        <w:pStyle w:val="Normal"/>
        <w:ind w:firstLine="1134"/>
        <w:jc w:val="both"/>
        <w:rPr>
          <w:color w:val="FF0000"/>
          <w:sz w:val="28"/>
        </w:rPr>
      </w:pPr>
      <w:r>
        <w:rPr>
          <w:color w:val="FF0000"/>
          <w:sz w:val="28"/>
        </w:rPr>
      </w:r>
    </w:p>
    <w:p>
      <w:pPr>
        <w:pStyle w:val="Normal"/>
        <w:ind w:firstLine="1134"/>
        <w:jc w:val="both"/>
        <w:rPr/>
      </w:pPr>
      <w:r>
        <w:rPr/>
      </w:r>
    </w:p>
    <w:p>
      <w:pPr>
        <w:pStyle w:val="Normal"/>
        <w:ind w:firstLine="1134"/>
        <w:jc w:val="both"/>
        <w:rPr/>
      </w:pPr>
      <w:r>
        <w:rPr/>
        <w:t xml:space="preserve">Prin plângerea înregistrată pe rolul Curţii de Apel ..., la data de 11.08.2015, sub numărul de mai sus, petenta </w:t>
      </w:r>
      <w:r>
        <w:rPr>
          <w:b/>
        </w:rPr>
        <w:t>A1</w:t>
      </w:r>
      <w:r>
        <w:rPr/>
        <w:t xml:space="preserve"> a formulat plângere împotriva Ordonanței din data de ..., pronunțată în dosarul nr. D3 al Parchetului de pe lângă Curtea de Apel ..., sub aspectul nelegalității și netemeiniciei acesteia.</w:t>
      </w:r>
    </w:p>
    <w:p>
      <w:pPr>
        <w:pStyle w:val="Normal"/>
        <w:ind w:firstLine="1134"/>
        <w:jc w:val="both"/>
        <w:rPr/>
      </w:pPr>
      <w:r>
        <w:rPr>
          <w:i/>
        </w:rPr>
        <w:t>În esență</w:t>
      </w:r>
      <w:r>
        <w:rPr/>
        <w:t>, a arătat că soluția nu corespunde situației de fapt, având la bază preluarea unor fragmente dintr-o sentință civilă și nu efectuarea unei anchete, a unor cercetări, a unor audieri de persoane vătămate, persoane învinuite și martori. Niciun proprietar nu a formulat cerere de restituire în 1991 decât strict pe terenul său predat la C.A.P., a cărui localizare era foarte bine cunoscută.</w:t>
      </w:r>
    </w:p>
    <w:p>
      <w:pPr>
        <w:pStyle w:val="Normal"/>
        <w:ind w:firstLine="1134"/>
        <w:jc w:val="both"/>
        <w:rPr/>
      </w:pPr>
      <w:r>
        <w:rPr/>
        <w:t>Precizează că dreptul de proprietate asupra terenului de 2.231 de metri pătrați este clar stipulat în sentința civilă nr. SC1 și în raportul de expertiză întocmit de expert Exp1. La patru luni de la înscrierea în cartea funciară și de la vânzarea terenului,  se face trasarea acestuia cu țăruși de metal, suprapus peste proprietatea sa, menționându-se că ar fi participat și tatăl său, decedat însă de doi ani. B1 nu avea cum să știe cine este proprietarul de drept, acesta putând să constate doar urmele fostului gard, pe care cumpărătorii de rea-credință l-au stricat în anul 2009, din dorința de a se distruge bornele de punere în posesie ale proprietarilor din 1991.</w:t>
      </w:r>
    </w:p>
    <w:p>
      <w:pPr>
        <w:pStyle w:val="Normal"/>
        <w:ind w:firstLine="1134"/>
        <w:jc w:val="both"/>
        <w:rPr/>
      </w:pPr>
      <w:r>
        <w:rPr/>
        <w:t>Partajul nu lasă nicio îndoială cu privire la localizarea lotului.</w:t>
      </w:r>
    </w:p>
    <w:p>
      <w:pPr>
        <w:pStyle w:val="Normal"/>
        <w:ind w:firstLine="1134"/>
        <w:jc w:val="both"/>
        <w:rPr/>
      </w:pPr>
      <w:r>
        <w:rPr/>
        <w:t>Indică și faptul că nu s-a făcut nicio analiză a contractelor de vânzare-cumpărare, care cuprind mențiuni false. Astfel, terenul nu a fost tot timpul în stăpânirea vânzătoarei, ci a lui B2, iar suprafața de 2.180 mp era în partaj. Este falsă și declarația vânzătoarei B3 că dimensiunile și amplasamentul corespund cu realitatea și nu au suferit nicio modificare, întrucât B3 vinde inițial 12500 mp, apoi 8800 mp, schimbând locația peste terenul său.</w:t>
      </w:r>
    </w:p>
    <w:p>
      <w:pPr>
        <w:pStyle w:val="Normal"/>
        <w:ind w:firstLine="1134"/>
        <w:jc w:val="both"/>
        <w:rPr/>
      </w:pPr>
      <w:r>
        <w:rPr/>
        <w:t>O</w:t>
        <w:tab/>
        <w:t>parte a documentelor doveditoare au fost pierdute, urmare a conexărilor și transferării dosarelor de la un organ de cercetare penală la altul, iar, cu ocazia disjungerii dosarului inițial, s-au pierdut date și fapte importante. S-au pierdut și plângerile împotriva fostului primar B4, actualului primar B5 și a secretarei B6.</w:t>
      </w:r>
    </w:p>
    <w:p>
      <w:pPr>
        <w:pStyle w:val="Normal"/>
        <w:ind w:firstLine="1134"/>
        <w:jc w:val="both"/>
        <w:rPr/>
      </w:pPr>
      <w:r>
        <w:rPr/>
        <w:t>Tergiversarea și distrugerea de documente doveditoare ale dreptului de proprietate conform Legii nr. 18/1991, refuzul punerii în aplicare a acesteia, dar și punerii în posesie cu întreaga suprafață retrocedată, reprezintă fapte penale, solicitând pedepsirea celor vinovați. Constituie fapte de natură penală și nerespectarea solicitărilor Instituției Prefectului, dar și a Administrației Prezidențiale, de a fi soluționată problema funciară a familiei sale.</w:t>
      </w:r>
    </w:p>
    <w:p>
      <w:pPr>
        <w:pStyle w:val="Normal"/>
        <w:ind w:firstLine="1134"/>
        <w:jc w:val="both"/>
        <w:rPr/>
      </w:pPr>
      <w:r>
        <w:rPr/>
        <w:t xml:space="preserve">Nu se face nicio referire la săvârșirea infracțiunilor de abuz în serviciu și trafic de influență. Mai mult decât atât, este instigată o altă persoană, B7, să o agreseze verbal, fizic, să o amenințe cu moartea, astfel încât să fie oprită din demersurile sale. </w:t>
      </w:r>
    </w:p>
    <w:p>
      <w:pPr>
        <w:pStyle w:val="Normal"/>
        <w:ind w:firstLine="1134"/>
        <w:jc w:val="both"/>
        <w:rPr/>
      </w:pPr>
      <w:r>
        <w:rPr/>
        <w:t>Precizează și că, urmare a soluției de rejudecare, dispusă prin decizia civilă nr. DC1 a Tribunalului ..., cauza a fost repartizată aceluiași complet de judecată, aspect pe care îl consideră nelegal.</w:t>
      </w:r>
    </w:p>
    <w:p>
      <w:pPr>
        <w:pStyle w:val="Normal"/>
        <w:ind w:firstLine="1134"/>
        <w:jc w:val="both"/>
        <w:rPr/>
      </w:pPr>
      <w:r>
        <w:rPr/>
        <w:t>În susținere, a depus înscrisuri (</w:t>
      </w:r>
      <w:r>
        <w:rPr>
          <w:i/>
        </w:rPr>
        <w:t>filele 16-121 dosar Curtea de Apel ...</w:t>
      </w:r>
      <w:r>
        <w:rPr/>
        <w:t>).</w:t>
      </w:r>
    </w:p>
    <w:p>
      <w:pPr>
        <w:pStyle w:val="Normal"/>
        <w:rPr/>
      </w:pPr>
      <w:r>
        <w:rPr/>
        <w:tab/>
      </w:r>
    </w:p>
    <w:p>
      <w:pPr>
        <w:pStyle w:val="Normal"/>
        <w:rPr/>
      </w:pPr>
      <w:r>
        <w:rPr/>
      </w:r>
    </w:p>
    <w:p>
      <w:pPr>
        <w:pStyle w:val="Normal"/>
        <w:ind w:firstLine="1134"/>
        <w:jc w:val="both"/>
        <w:rPr>
          <w:i/>
          <w:i/>
        </w:rPr>
      </w:pPr>
      <w:r>
        <w:rPr>
          <w:b/>
        </w:rPr>
        <w:t>Examinând cauza</w:t>
      </w:r>
      <w:r>
        <w:rPr/>
        <w:t xml:space="preserve">, </w:t>
      </w:r>
      <w:r>
        <w:rPr>
          <w:b/>
        </w:rPr>
        <w:t>judecătorul de cameră preliminară</w:t>
      </w:r>
      <w:r>
        <w:rPr/>
        <w:t xml:space="preserve"> constată că, în cauză, Parchetul de pe lângă Curtea de Apel ... a fost sesizat de către petenta </w:t>
      </w:r>
      <w:r>
        <w:rPr>
          <w:b/>
        </w:rPr>
        <w:t>A1</w:t>
      </w:r>
      <w:r>
        <w:rPr/>
        <w:t xml:space="preserve"> cu privire la împrejurarea că </w:t>
      </w:r>
      <w:r>
        <w:rPr>
          <w:i/>
        </w:rPr>
        <w:t>procurorii care au soluţionat cauza penală nr. D4 (în care au fost conexate mai multe plângeri), înregistrată la Parchetul de pe lângă Judecătoria ..., au săvârșit infracţiunile de „abuz în serviciu" şi „favorizarea făptuitorului" pentru faptul că au dispus neînceperea urmăririi penale faţă de persoanele reclamate de ea.</w:t>
      </w:r>
    </w:p>
    <w:p>
      <w:pPr>
        <w:pStyle w:val="Normal"/>
        <w:ind w:firstLine="1134"/>
        <w:jc w:val="both"/>
        <w:rPr>
          <w:i/>
          <w:i/>
        </w:rPr>
      </w:pPr>
      <w:r>
        <w:rPr>
          <w:i/>
        </w:rPr>
        <w:t>În conţinutul aceleiaşi plângeri, sus-numita şi-a exprimat nemulţumirea şi cu privire la modul în care au fost judecate acţiunile sale civile formulate în dosarul nr. D6 al Judecătoriei ...i.</w:t>
      </w:r>
    </w:p>
    <w:p>
      <w:pPr>
        <w:pStyle w:val="Normal"/>
        <w:ind w:firstLine="1134"/>
        <w:jc w:val="both"/>
        <w:rPr/>
      </w:pPr>
      <w:r>
        <w:rPr/>
        <w:t>În acest cadru procesual, organul de urmărire penală a procedat la efectuarea cercetărilor specifice, detaliat redate în conţinutul Ordonanţei nr. O2 din ... a procurorului de caz şi al Ordonanţei nr. D3 din ... a procurorului general al Parchetului de pe lângă Curtea de Apel ...</w:t>
      </w:r>
    </w:p>
    <w:p>
      <w:pPr>
        <w:pStyle w:val="Normal"/>
        <w:ind w:firstLine="1134"/>
        <w:jc w:val="both"/>
        <w:rPr/>
      </w:pPr>
      <w:r>
        <w:rPr/>
      </w:r>
    </w:p>
    <w:p>
      <w:pPr>
        <w:pStyle w:val="Normal"/>
        <w:ind w:firstLine="1134"/>
        <w:jc w:val="both"/>
        <w:rPr/>
      </w:pPr>
      <w:r>
        <w:rPr/>
        <w:t xml:space="preserve">Judecătorul de cameră preliminară reţine că prin </w:t>
      </w:r>
      <w:r>
        <w:rPr>
          <w:u w:val="single"/>
        </w:rPr>
        <w:t>Ordonanţa nr. D2 din ...</w:t>
      </w:r>
      <w:r>
        <w:rPr/>
        <w:t xml:space="preserve"> s-a dispus,</w:t>
      </w:r>
      <w:r>
        <w:rPr>
          <w:sz w:val="28"/>
        </w:rPr>
        <w:t xml:space="preserve"> </w:t>
      </w:r>
      <w:r>
        <w:rPr/>
        <w:t>în temeiul art. 315 alin. 1 lit. b) Cod procedură penală şi art. 16 alin. 1 lit. a) Cod procedură penală, clasarea cauzei penale având ca obiect plângerea formulată</w:t>
        <w:br/>
        <w:t>de petenta A1 împotriva magistraţilor judecători şi procurori</w:t>
        <w:br/>
        <w:t>care au soluţionat acţiunile civile şi penale formulate de aceasta sub aspectul</w:t>
        <w:br/>
        <w:t>infracţiunilor de „abuz în serviciu" şi „favorizarea făptuitorului" prev. de art.</w:t>
        <w:br/>
        <w:t>297 alin. 1 Cod penal şi art. 269 Cod penal</w:t>
      </w:r>
    </w:p>
    <w:p>
      <w:pPr>
        <w:pStyle w:val="Normal"/>
        <w:ind w:firstLine="1134"/>
        <w:jc w:val="both"/>
        <w:rPr/>
      </w:pPr>
      <w:r>
        <w:rPr/>
        <w:t xml:space="preserve">S-a reținut de către procuror că din verificările efectuate au rezultat următoarele aspecte: </w:t>
      </w:r>
    </w:p>
    <w:p>
      <w:pPr>
        <w:pStyle w:val="Normal"/>
        <w:ind w:firstLine="1134"/>
        <w:jc w:val="both"/>
        <w:rPr/>
      </w:pPr>
      <w:r>
        <w:rPr/>
        <w:t xml:space="preserve">- </w:t>
      </w:r>
      <w:r>
        <w:rPr>
          <w:b/>
        </w:rPr>
        <w:t>dosarul civil nr. D6</w:t>
      </w:r>
      <w:r>
        <w:rPr/>
        <w:t xml:space="preserve">, înregistrat la Judecătoria ..., a avut ca obiect cererea prin care reclamanta A1 i-a chemat în judecată pe B8 - administrator al S.C. T1 S.R.L. şi B2 .., pe de o parte, şi </w:t>
      </w:r>
      <w:r>
        <w:rPr>
          <w:i/>
        </w:rPr>
        <w:t>Comisia locală de punere în posesie al cărei preşedinte este primarul comunei ...</w:t>
      </w:r>
      <w:r>
        <w:rPr/>
        <w:t>, B4, pe de altă parte, pentru punerea în legalitate a hotărârii definitive şi irevocabile a Judecătoriei .. (sentinţa civilă nr. SC2), stabilirea hotarului între cele două proprietăţi, completarea rolului agricol nr. ..., cu diferenţa de teren şi daune morale în valoare de 200.000 lei.</w:t>
      </w:r>
    </w:p>
    <w:p>
      <w:pPr>
        <w:pStyle w:val="Normal"/>
        <w:ind w:firstLine="1134"/>
        <w:jc w:val="both"/>
        <w:rPr/>
      </w:pPr>
      <w:r>
        <w:rPr/>
        <w:t xml:space="preserve">În motivarea acţiunii, s-a arătat că, în luna martie 2010, B2 .. a făcut un act de vânzare-cumpărare cu S.C. T1 S.R.L. pe un teren vecin cu reclamanta şi, deşi au fost informaţi că este un litigiu pe rol, aceştia împreună cu primarul comunei au făcut intabularea suprafeţei de teren peste o parte din jumătatea ce i  s-a cuvenit ca moştenire. </w:t>
      </w:r>
    </w:p>
    <w:p>
      <w:pPr>
        <w:pStyle w:val="Normal"/>
        <w:ind w:firstLine="1134"/>
        <w:jc w:val="both"/>
        <w:rPr/>
      </w:pPr>
      <w:r>
        <w:rPr/>
        <w:t>Moştenirea a fost dezbătută în instanţă, reclamanta a obţinut o hotărâre definitivă şi irevocabilă a Judecătoriei ..., însă cei chemaţi în judecată nu au respectat această hotărâre şi au intrat pe terenul proprietatea reclamantei, au bătut ţăruşi şi au distrus recolte diferite. Titularul titlului de proprietate nr. ... este B9, tatăl reclamantei al cărui titlu nu era suprapus cu titlul de proprietate al numitei B3, emis în anul 2008, pe baza căruia s-a făcut vânzarea sus-amintită.</w:t>
      </w:r>
    </w:p>
    <w:p>
      <w:pPr>
        <w:pStyle w:val="Normal"/>
        <w:ind w:firstLine="1134"/>
        <w:jc w:val="both"/>
        <w:rPr/>
      </w:pPr>
      <w:r>
        <w:rPr/>
        <w:t>Din întâmpinarea S.C. T1. S.R.L. rezultă că aceasta a procedat la trasarea şi marcarea cu ţăruşi de metal a suprafeţei de teren cumpărate</w:t>
      </w:r>
      <w:r>
        <w:rPr>
          <w:rFonts w:ascii="Century Schoolbook" w:hAnsi="Century Schoolbook"/>
        </w:rPr>
        <w:t xml:space="preserve"> </w:t>
      </w:r>
      <w:r>
        <w:rPr/>
        <w:t>de 8728 mp situată în satul ..., comuna ..., jud. ..., identificat prin tarlaua ..., parcela arabil .., având nr. cadastral ... şi că vânzarea-cumpărarea s-a făcut pe titlul numitei B3 care nu se suprapunea cu cel al reclamantei.</w:t>
      </w:r>
    </w:p>
    <w:p>
      <w:pPr>
        <w:pStyle w:val="Normal"/>
        <w:ind w:firstLine="1134"/>
        <w:jc w:val="both"/>
        <w:rPr/>
      </w:pPr>
      <w:r>
        <w:rPr/>
        <w:t>De asemenea, prin acelaşi act procedural, s-a arătat că nu s-a făcut nici o modificare a liniilor de hotar între proprietăţi.</w:t>
      </w:r>
    </w:p>
    <w:p>
      <w:pPr>
        <w:pStyle w:val="Normal"/>
        <w:ind w:firstLine="1134"/>
        <w:jc w:val="both"/>
        <w:rPr/>
      </w:pPr>
      <w:r>
        <w:rPr>
          <w:u w:val="single"/>
        </w:rPr>
        <w:t>Prin sentinţa civilă nr. SC3</w:t>
      </w:r>
      <w:r>
        <w:rPr/>
        <w:t xml:space="preserve"> s-a hotărât: respingerea ca neîntemeiată a excepţiei lipsei calităţii procesuale pasive a pârâtei S.C. T1 S.R.L. .., reprezentată de B8, invocată de aceasta prin întâmpinare; admiterea primului capăt de cerere având ca obiect „constatarea opozabilităţii faţă de pârât a dreptului de proprietate al reclamantei asupra suprafeţei de 2231 mp, atribuit acesteia prin sentinţa civilă nr. SC1 pronunţată de Judecătoria ..., delimitată de expert în cadrul raportului de expertiză întocmit în cauză; admiterea capătului de cerere formulat de reclamantă în contradictoriu cu pârâta având ca obiect „grăniţuire şi stabilirea graniţei reale între proprietăţile părţilor conform planului de situaţie nr. 3 din cadrul aceluiaşi raport de expertiză; disjungerea celui de-al treilea capăt de cerere având ca obiect „rectificarea cărţii funciare a paratului".</w:t>
      </w:r>
    </w:p>
    <w:p>
      <w:pPr>
        <w:pStyle w:val="Normal"/>
        <w:ind w:firstLine="1134"/>
        <w:jc w:val="both"/>
        <w:rPr/>
      </w:pPr>
      <w:r>
        <w:rPr/>
        <w:t>S.C. T1 ... S.R.L. a promovat recurs împotriva acestei hotărâri, criticând-o pentru nelegalitate şi netemeinicie întrucât instanţa de fond a făcut o interpretare eronată a dispoziţiilor legale referitoare de dreptul de proprietate şi a stabilit o graniţă între proprietăţi neconformă actelor de proprietate şi în mod prematur.</w:t>
      </w:r>
    </w:p>
    <w:p>
      <w:pPr>
        <w:pStyle w:val="Normal"/>
        <w:ind w:firstLine="1134"/>
        <w:jc w:val="both"/>
        <w:rPr/>
      </w:pPr>
      <w:r>
        <w:rPr/>
        <w:t>Instanţa de recurs din cadrul Tribunalului ... a constatat faptul că expertiza efectuată la instanţa de fond a stabilit o graniţă între proprietăţi neconformă cu actele de proprietate.</w:t>
      </w:r>
    </w:p>
    <w:p>
      <w:pPr>
        <w:pStyle w:val="Normal"/>
        <w:ind w:firstLine="1134"/>
        <w:jc w:val="both"/>
        <w:rPr/>
      </w:pPr>
      <w:r>
        <w:rPr/>
        <w:t>Astfel, în efectuarea operaţiunilor de măsurare, expertul nu s-a limitat a identifica strict proprietăţile părţilor conform actelor de proprietate, ci a inclus în mod incorect şi suprafeţele de teren deţinute în posesie, fără acte, în consecinţă, s-a reţinut că reclamanta A1 are teren identificat în proprietate şi posesie în totalitate de 8936 mp (faţă de 7550 mp atribuiţi ca efect al partajului), iar pentru pârâta S.C. T1 ... S.R.L. suprafaţa totală de 8735 mp faţă de 8728, cât se atestă că a cumpărat conform contractului de vânzare-cumpărare. Graniţa reală dintre cele două imobile este dată de limitele proprietăţilor, aşa cum sunt ele stabilite în actele de proprietate şi nu conform posesiei părţilor, acţiunea în grăniţuire fiind o acţiune reală ce vizează stabilirea liniei de hotar între două proprietăţi fără relevanţă în privinţa posesiei din teren</w:t>
      </w:r>
    </w:p>
    <w:p>
      <w:pPr>
        <w:pStyle w:val="Normal"/>
        <w:ind w:firstLine="1134"/>
        <w:jc w:val="both"/>
        <w:rPr/>
      </w:pPr>
      <w:r>
        <w:rPr>
          <w:u w:val="single"/>
        </w:rPr>
        <w:t>Prin decizia civilă nr. SC4, Tribunalul ...</w:t>
      </w:r>
      <w:r>
        <w:rPr/>
        <w:t xml:space="preserve"> a hotărât: admiterea recursului declarat de S.C. T1 ... S.R.L. împotriva sentinţei civile nr. SC5 a Judecătoriei ..., respingerea capătului de cerere având ca obiect constatarea opozabilităţii faţă de pârât a dreptului de proprietate al reclamantei asupra suprafeţei de 2231 mp individualizat prin sentinţa civilă nr. SC1 pronunţată de Judecătoria ..., în dosarul nr. D7; dispunerea grăniţuirii proprietăţilor celor două părţi pe aliniamentul real dintre acestea; menţinerea dispoziţiei primei instanţe referitoare la respingerea excepţiei lipsei calităţii procesuale pasive a pârâtei S.C. T1 ... S.R.L. şi la disjungerea judecăţii celui de-al treilea capăt de cerere având ca obiect „rectificarea cărţii funciare a pârâtului".</w:t>
      </w:r>
    </w:p>
    <w:p>
      <w:pPr>
        <w:pStyle w:val="Normal"/>
        <w:ind w:firstLine="708"/>
        <w:jc w:val="both"/>
        <w:rPr/>
      </w:pPr>
      <w:r>
        <w:rPr/>
        <w:t xml:space="preserve">- </w:t>
      </w:r>
      <w:r>
        <w:rPr>
          <w:b/>
        </w:rPr>
        <w:t>dosarul penal nr. D8,</w:t>
      </w:r>
      <w:r>
        <w:rPr/>
        <w:t xml:space="preserve"> înregistrat la Parchetul de pe lângă Judecătoria ..., a avut ca obiect plângerile penale formulate de numita B10    ...    împotriva    numiţilor    B3    şi</w:t>
      </w:r>
      <w:r>
        <w:rPr>
          <w:rFonts w:ascii="Bookman Old Style" w:hAnsi="Bookman Old Style"/>
        </w:rPr>
        <w:t xml:space="preserve"> </w:t>
      </w:r>
      <w:r>
        <w:rPr/>
        <w:t>B2 pentru săvârşirea infracţiunilor prev. de art. 290, 291, 292 şi 220 Cod penal anterior, B11 pentru săvârşirea infracţiunii prev. de art. 289 Cod penal anterior şi B12 pentru săvârşirea infracţiunii prev. de art. 288 şi 291 Cod penal anterior.</w:t>
      </w:r>
    </w:p>
    <w:p>
      <w:pPr>
        <w:pStyle w:val="Normal"/>
        <w:ind w:firstLine="1134"/>
        <w:jc w:val="both"/>
        <w:rPr/>
      </w:pPr>
      <w:r>
        <w:rPr/>
        <w:t>Potrivit cercetărilor efectuate în această cauză, situaţia de fapt rezultată este:</w:t>
      </w:r>
    </w:p>
    <w:p>
      <w:pPr>
        <w:pStyle w:val="Normal"/>
        <w:ind w:firstLine="1134"/>
        <w:jc w:val="both"/>
        <w:rPr/>
      </w:pPr>
      <w:r>
        <w:rPr/>
        <w:t>La marginea satului ..., comuna ..., în tarlaua 54, numiţii B9, B3 şi B13 figurează cu diferite parcele în proprietate, conform evidenţelor Primăriei ..., întocmite la nivelul anilor 1990, odată cu punerea în aplicare a legilor fondului funciar.</w:t>
      </w:r>
    </w:p>
    <w:p>
      <w:pPr>
        <w:pStyle w:val="Normal"/>
        <w:ind w:firstLine="1134"/>
        <w:jc w:val="both"/>
        <w:rPr/>
      </w:pPr>
      <w:r>
        <w:rPr/>
        <w:t>În anul 1992, printr-un înscris de mână redactat în prezenţa unor martori, numita B3 şi-a vândut suprafaţa sa de teren numitului B2 .., urmând ca, după obţinerea actelor de proprietate, să fie încheiat un act de vânzare-cumpărare în formă autentică.</w:t>
      </w:r>
    </w:p>
    <w:p>
      <w:pPr>
        <w:pStyle w:val="Normal"/>
        <w:ind w:firstLine="1134"/>
        <w:jc w:val="both"/>
        <w:rPr/>
      </w:pPr>
      <w:r>
        <w:rPr/>
        <w:t>Între aceleaşi părţi, în anul 2004 a fost încheiat un antecontract de vânzare-cumpărare, întrucât numita B3 nu reuşise să obţină titlu de proprietate pe numele său.</w:t>
      </w:r>
    </w:p>
    <w:p>
      <w:pPr>
        <w:pStyle w:val="Normal"/>
        <w:ind w:firstLine="1134"/>
        <w:jc w:val="both"/>
        <w:rPr/>
      </w:pPr>
      <w:r>
        <w:rPr/>
        <w:t>Contractul de vânzare-cumpărare în formă autentică a fost întocmit la data de 25.03.2010, odată cu obţinerea titlului de proprietate şi intabularea dreptului de proprietate pe numele B3.</w:t>
      </w:r>
    </w:p>
    <w:p>
      <w:pPr>
        <w:pStyle w:val="Normal"/>
        <w:ind w:firstLine="1134"/>
        <w:jc w:val="both"/>
        <w:rPr/>
      </w:pPr>
      <w:r>
        <w:rPr/>
        <w:t>La momentul încheierii acestui contract, B2 .. a hotărât ca vânzarea în formă autentică să se facă către S.C. T1 ... S.R.L., al cărei acţionar majoritar şi reprezentant legal era.</w:t>
      </w:r>
    </w:p>
    <w:p>
      <w:pPr>
        <w:pStyle w:val="Normal"/>
        <w:ind w:firstLine="1134"/>
        <w:jc w:val="both"/>
        <w:rPr/>
      </w:pPr>
      <w:r>
        <w:rPr/>
        <w:t>Sus-numitul preluase, deţinuse şi folosise terenul respectiv încă din anul 1992, când fusese întocmit înscrisul de mână referitor la acesta.</w:t>
      </w:r>
    </w:p>
    <w:p>
      <w:pPr>
        <w:pStyle w:val="Normal"/>
        <w:ind w:firstLine="1134"/>
        <w:jc w:val="both"/>
        <w:rPr/>
      </w:pPr>
      <w:r>
        <w:rPr>
          <w:i/>
        </w:rPr>
        <w:t>Cu privire la suprafeţe de teren aflate de o parte şi de alta celei deţinute de B2 ..</w:t>
      </w:r>
      <w:r>
        <w:rPr/>
        <w:t>, în cazul celei aparţinând lui B9 a intervenit cu vocaţie la dreptul de proprietate fiica acestuia, A1, iar în cazul celei aparţinând numitului B13, proprietarul a devenit B7, în calitate de cumpărător.</w:t>
      </w:r>
    </w:p>
    <w:p>
      <w:pPr>
        <w:pStyle w:val="Normal"/>
        <w:ind w:firstLine="1134"/>
        <w:jc w:val="both"/>
        <w:rPr/>
      </w:pPr>
      <w:r>
        <w:rPr/>
        <w:t>În timp, între cele trei persoane proprietare ale celor trei suprafeţe de teren învecinate au apărut neînţelegeri privind liniile de hotar dintre acestea.</w:t>
      </w:r>
    </w:p>
    <w:p>
      <w:pPr>
        <w:pStyle w:val="Normal"/>
        <w:ind w:firstLine="1134"/>
        <w:jc w:val="both"/>
        <w:rPr/>
      </w:pPr>
      <w:r>
        <w:rPr/>
        <w:t>În acest context, numita B3 a fost reclamată pentru săvârşirea infracţiunii prev. de art. 292 Cod penal, constând în faptul că, în cuprinsul contractului de vânzare-cumpărare nr. ...5/25.03.2010, prin care a vândut terenul către S.C. T1 ... S.R.L. ar fi afirmat, în faţa notarului public, că terenul respectiv nu este în litigiu, nu a fost promis altei persoane spre vânzare şi nu a încheiat cu altă persoană un antecontract în acest sens, deşi în realitate, sus-numita vânduse terenul sau îl promisese spre vânzare numitului B2 .. prin zdelca din anul 1992 şi antecontractul din anul 2004.</w:t>
      </w:r>
    </w:p>
    <w:p>
      <w:pPr>
        <w:pStyle w:val="Normal"/>
        <w:ind w:firstLine="1134"/>
        <w:jc w:val="both"/>
        <w:rPr/>
      </w:pPr>
      <w:r>
        <w:rPr/>
        <w:t>În raport de cele arătate, s-a constatat că infracţiunea prev. de art. 292 Cod  penal nu există întrucât cele trei înţelegeri scrise dintre B3 şi B2   s-au   referit   la   acelaşi</w:t>
      </w:r>
      <w:r>
        <w:rPr>
          <w:b/>
        </w:rPr>
        <w:t xml:space="preserve">  </w:t>
      </w:r>
      <w:r>
        <w:rPr/>
        <w:t>cumpărător, care are şi calitatea de acţionar majoritar  la S.C. T1 ... S.R.L..</w:t>
      </w:r>
    </w:p>
    <w:p>
      <w:pPr>
        <w:pStyle w:val="Normal"/>
        <w:ind w:firstLine="1134"/>
        <w:jc w:val="both"/>
        <w:rPr/>
      </w:pPr>
      <w:r>
        <w:rPr/>
        <w:t>De    asemenea,    numita   B10    ...   i-a   reclamat    pe B2 pentru faptul că, la momentul încheierii contractului de vânzare-cumpărare nr. ...5/25.03.2010 ar fi afirmat în mod mincinos că dimensiunile amplasamentului şi delimitarea căilor de acces privind terenul ce a făcut obiectul contractului i-au fost prezentate la faţa locului de către vânzătoare; pe B11 pentru faptul că, în calitatea sa de specialist topometrist, la data de 29.07.2010, cu ocazia efectuării de măsurători la terenul în cauză, ar fi menţionat în mod nereal, în cuprinsul procesului-verbal întocmit în acest sens, faptul că ar fi participat şi tatăl reclamantei care era decedat la acea dată; pe B12 pentru faptul că ar fi menţionat în cuprinsul extrasului de carte funciară că terenul</w:t>
      </w:r>
      <w:r>
        <w:rPr>
          <w:b/>
          <w:i/>
        </w:rPr>
        <w:t xml:space="preserve"> </w:t>
      </w:r>
      <w:r>
        <w:rPr/>
        <w:t>petentei este fără localizare certă din lipsa planului parcelar.</w:t>
      </w:r>
    </w:p>
    <w:p>
      <w:pPr>
        <w:pStyle w:val="Normal"/>
        <w:ind w:firstLine="1134"/>
        <w:jc w:val="both"/>
        <w:rPr/>
      </w:pPr>
      <w:r>
        <w:rPr>
          <w:u w:val="single"/>
        </w:rPr>
        <w:t>Prin Ordonanţa nr. D4 din data de ... procurorul din cadrul Parchetului de pe lângă Judecătoria ...</w:t>
      </w:r>
      <w:r>
        <w:rPr/>
        <w:t xml:space="preserve"> a dispus: </w:t>
      </w:r>
      <w:r>
        <w:rPr>
          <w:i/>
        </w:rPr>
        <w:t>clasarea cauzei</w:t>
      </w:r>
      <w:r>
        <w:rPr/>
        <w:t xml:space="preserve"> privind plângerea persoanei vătămate B10 .. sub aspectul săvârşirii infracţiunii de „fals în declaraţii", prev. de art. 326 Cod penal, întrucât fapta nu este prevăzută de legea penală; </w:t>
      </w:r>
      <w:r>
        <w:rPr>
          <w:i/>
        </w:rPr>
        <w:t>disjungerea cauzei</w:t>
      </w:r>
      <w:r>
        <w:rPr/>
        <w:t xml:space="preserve"> sub aspectul infracţiunii de „fals în înscrisuri sub semnătură privată" prev. de art. 290 alin. 1 cu aplicarea art. 5 al. 1 Cod penal, „uz de fals", prev. de art. 323 Cod penal şi „tulburare de posesie", prev. de art. 256 Cod penal cu aplicarea art. 5 al. 1 Cod penal şi trimiterea acesteia Secţiei nr. 3 Rurală ... pentru continuarea cercetărilor.</w:t>
      </w:r>
    </w:p>
    <w:p>
      <w:pPr>
        <w:pStyle w:val="Normal"/>
        <w:ind w:firstLine="1134"/>
        <w:jc w:val="both"/>
        <w:rPr/>
      </w:pPr>
      <w:r>
        <w:rPr/>
        <w:t>Cauza penală disjunsă din dosarul penal nr. D4 a fost înregistrată la nr. D9 şi se află în lucru la Parchetul de pe lângă Judecătoria ....</w:t>
      </w:r>
    </w:p>
    <w:p>
      <w:pPr>
        <w:pStyle w:val="Normal"/>
        <w:ind w:firstLine="1134"/>
        <w:jc w:val="both"/>
        <w:rPr/>
      </w:pPr>
      <w:r>
        <w:rPr/>
        <w:t>Având în vedere aspectele arătate, constat că faptele reclamatei prezenta cauză de către petenta A1 nu există întrucât, pe de o parte, magistraţii judecători şi procurori care au judecat şi soluţionat cauze prezentate mai sus şi-au îndeplinit atribuţiile de serviciu, constând</w:t>
      </w:r>
      <w:r>
        <w:rPr>
          <w:vertAlign w:val="superscript"/>
        </w:rPr>
        <w:t xml:space="preserve"> </w:t>
      </w:r>
      <w:r>
        <w:rPr/>
        <w:t>verificarea aspectelor sesizate sau solicitate, administrarea de probe utile concludente (înscrisuri, expertize, declaraţii ale părţilor şi ale martorilor, etc.), emiterea unor hotărâri sau soluţii motivate pe considerente de fapt şi de drept.</w:t>
      </w:r>
    </w:p>
    <w:p>
      <w:pPr>
        <w:pStyle w:val="Normal"/>
        <w:ind w:firstLine="1134"/>
        <w:jc w:val="both"/>
        <w:rPr/>
      </w:pPr>
      <w:r>
        <w:rPr/>
        <w:t>Pe de altă parte, nemulţumirea petentei cu privire la hotărârile judecătoreşti pronunţate de instanţele civile ori soluţiile dispuse de procurori nu pot antrena răspunderea penală a magistraţilor respectivi în lipsa oricăror indicii privind săvârşirea unor fapte prevăzute de legea penală.</w:t>
      </w:r>
    </w:p>
    <w:p>
      <w:pPr>
        <w:pStyle w:val="Normal"/>
        <w:ind w:firstLine="1134"/>
        <w:jc w:val="both"/>
        <w:rPr>
          <w:sz w:val="28"/>
        </w:rPr>
      </w:pPr>
      <w:r>
        <w:rPr>
          <w:sz w:val="28"/>
        </w:rPr>
      </w:r>
    </w:p>
    <w:p>
      <w:pPr>
        <w:pStyle w:val="Normal"/>
        <w:ind w:firstLine="1134"/>
        <w:jc w:val="both"/>
        <w:rPr/>
      </w:pPr>
      <w:r>
        <w:rPr/>
        <w:t>Această soluţie a fost atacată de către A1, la procurorul general al Parchetului de pe lângă Curtea de Apel ..., petenta susținând că, deși calitatea de proprietar îi este recunoscută prin sentința civilă nr. SC1, se află în situația de a i se respinge înscrierea în cartea funciară, precum și în imposibilitatea de grănițuire a terenului atribuit. Arată și că asupra sa se exercită presiuni și amenințări cu moartea.</w:t>
      </w:r>
    </w:p>
    <w:p>
      <w:pPr>
        <w:pStyle w:val="Normal"/>
        <w:ind w:firstLine="1134"/>
        <w:jc w:val="both"/>
        <w:rPr/>
      </w:pPr>
      <w:r>
        <w:rPr/>
        <w:t xml:space="preserve">Prin </w:t>
      </w:r>
      <w:r>
        <w:rPr>
          <w:u w:val="single"/>
        </w:rPr>
        <w:t>Ordonanţa nr. D3 din ...</w:t>
      </w:r>
      <w:r>
        <w:rPr/>
        <w:t>, în temeiul dispoziţiilor art. 339 alin. 4 Cod procedură penală, procurorul general al Parchetului de pe lângă Curtea de Apel .... a respins plângerea, ca neîntemeiată, constatând că ordonanţa prin care s-a dispus clasarea cauzei este legală şi temeinică şi nu se impune a fi infirmată.</w:t>
      </w:r>
    </w:p>
    <w:p>
      <w:pPr>
        <w:pStyle w:val="Normal"/>
        <w:ind w:firstLine="1134"/>
        <w:jc w:val="both"/>
        <w:rPr/>
      </w:pPr>
      <w:r>
        <w:rPr/>
        <w:t xml:space="preserve">S-a motivat că infracţiunea de </w:t>
      </w:r>
      <w:r>
        <w:rPr>
          <w:i/>
        </w:rPr>
        <w:t>abuz în serviciu</w:t>
      </w:r>
      <w:r>
        <w:rPr/>
        <w:t xml:space="preserve"> constă în fapta funcţionarului public, care, în exerciţiul atribuţiilor sale de serviciu, cu ştiinţă, nu îndeplineşte un act ori îl îndeplineşte în mod defectuos şi prin aceasta cauzează o vătămare intereselor legale ale unei persoane.</w:t>
      </w:r>
    </w:p>
    <w:p>
      <w:pPr>
        <w:pStyle w:val="Normal"/>
        <w:ind w:firstLine="1134"/>
        <w:jc w:val="both"/>
        <w:rPr/>
      </w:pPr>
      <w:r>
        <w:rPr/>
        <w:t xml:space="preserve">Infracţiunea de </w:t>
      </w:r>
      <w:r>
        <w:rPr>
          <w:i/>
        </w:rPr>
        <w:t>favorizarea infractorului</w:t>
      </w:r>
      <w:r>
        <w:rPr/>
        <w:t xml:space="preserve"> constă în ajutorul dat unui infractor, fără o înţelegere stabilită înainte sau în timpul săvârşirii infracţiunii, pentru a îngreuna sau a zădărnici urmărirea penală, judecata sau executarea pedepsei ori pentru a asigura infractorului folosul sau produsul infracţiunii; pentru existenţa infracţiunii de favorizarea infractorului, trebuie să se facă dovada ajutorului dat unui infractor pentru a-i asigura folosul sau produsul infracţiunii ori pentru a îngreuna sau zădărnici urmărirea penală, judecata sau executarea pedepsei.</w:t>
      </w:r>
    </w:p>
    <w:p>
      <w:pPr>
        <w:pStyle w:val="Normal"/>
        <w:ind w:firstLine="1134"/>
        <w:jc w:val="both"/>
        <w:rPr/>
      </w:pPr>
      <w:r>
        <w:rPr/>
        <w:t>Ca atare, pentru existenţa acestei infracţiuni este necesar ca funcţionarul public  să-şi exercite abuziv atribuţiile de serviciu, fie printr-o inacţiune - neîndeplinirea unui act - fie printr-o acţiune - îndeplinirea defectuoasă a unui act - care trebuie să aibă ca urmare vătămarea intereselor legale ale unei persoane.</w:t>
      </w:r>
    </w:p>
    <w:p>
      <w:pPr>
        <w:pStyle w:val="Normal"/>
        <w:ind w:firstLine="1134"/>
        <w:jc w:val="both"/>
        <w:rPr/>
      </w:pPr>
      <w:r>
        <w:rPr/>
        <w:t>Ca regulă generală, orice litigiu presupune existenţa unor interese contrarii promovate în faţa justiţiei. Magistratul chemat să rezolve diferendul astfel ivit (în cazul de faţă, procurori) va examina justeţea aspectelor sesizate, prin prisma elementelor probatorii strânse în cauză, iar pe baza acestora îşi va forma o convingere fermă asupra temeiniciei acuzaţiilor şi va da o soluţie care, în mod invariabil, este nefavorabilă pentru cel puţin una dintre părţile aflate în litigiu. Emiterea sau pronunţarea unei soluţii, în detrimentul uneia dintre părţi, nu echivalează însă cu o îndeplinire defectuoasă a îndatoririlor de serviciu, prin care ar fi lezate interesele legale ale persoanei şi nici nu se circumscrie conţinutului constitutiv al vreunei alte fapte prevăzute de legea penală.</w:t>
      </w:r>
    </w:p>
    <w:p>
      <w:pPr>
        <w:pStyle w:val="Normal"/>
        <w:ind w:firstLine="1134"/>
        <w:jc w:val="both"/>
        <w:rPr/>
      </w:pPr>
      <w:r>
        <w:rPr/>
        <w:t>Împrejurarea că magistraţii acuzaţi de numita B10l .. de abuz în serviciu au ajuns la o concluzie care a generat nemulţumirea petiţionarului, nu se circumscrie conţinutului constitutiv al acestei infracţiuni, actul decizional al acestora fiind urmarea aplicării dispoziţiilor legale în concordanţă cu convingerea organului judiciar, fundamentată pe elementele probatorii existente în cauză.</w:t>
      </w:r>
    </w:p>
    <w:p>
      <w:pPr>
        <w:pStyle w:val="Normal"/>
        <w:ind w:firstLine="708"/>
        <w:jc w:val="both"/>
        <w:rPr/>
      </w:pPr>
      <w:r>
        <w:rPr/>
      </w:r>
    </w:p>
    <w:p>
      <w:pPr>
        <w:pStyle w:val="Normal"/>
        <w:ind w:firstLine="1134"/>
        <w:jc w:val="both"/>
        <w:rPr/>
      </w:pPr>
      <w:r>
        <w:rPr/>
        <w:t xml:space="preserve">Ulterior, petenta </w:t>
      </w:r>
      <w:r>
        <w:rPr>
          <w:b/>
        </w:rPr>
        <w:t xml:space="preserve">A1 </w:t>
      </w:r>
      <w:r>
        <w:rPr/>
        <w:t xml:space="preserve">a declanşat controlul jurisdicţional, în procedura instituită de art. 341 Cod de procedură penală, </w:t>
      </w:r>
      <w:r>
        <w:rPr>
          <w:b/>
        </w:rPr>
        <w:t>control limitat însă la persoanele și faptele</w:t>
      </w:r>
      <w:r>
        <w:rPr/>
        <w:t xml:space="preserve"> indicate în plângerea adresată procurorului, așadar nesusceptibil a fi extins cu privire la aspecte învederate direct în plângerea adresată judecătorului de cameră preliminară.</w:t>
      </w:r>
    </w:p>
    <w:p>
      <w:pPr>
        <w:pStyle w:val="Normal"/>
        <w:ind w:firstLine="1134"/>
        <w:jc w:val="both"/>
        <w:rPr/>
      </w:pPr>
      <w:r>
        <w:rPr/>
        <w:t xml:space="preserve">Judecătorul de cameră preliminară arată că nu poate constitui obiect al examinării nici modalitatea de efectuare a urmării penale în dosarul format, ca urmare a disjungerii dispusă </w:t>
      </w:r>
      <w:r>
        <w:rPr>
          <w:i/>
        </w:rPr>
        <w:t>prin Ordonanţa nr. D4 din data de ..., prin care procurorul din cadrul Parchetului de pe lângă Judecătoria ...</w:t>
      </w:r>
      <w:r>
        <w:rPr/>
        <w:t xml:space="preserve"> a dispus </w:t>
      </w:r>
      <w:r>
        <w:rPr>
          <w:i/>
        </w:rPr>
        <w:t>disjungerea cauzei</w:t>
      </w:r>
      <w:r>
        <w:rPr/>
        <w:t xml:space="preserve"> sub aspectul infracţiunii de „fals în înscrisuri sub semnătură privată" prev. de art. 290 alin. 1 cu aplicarea art. 5 al. 1 Cod penal, „uz de fals", prev. de art. 323 Cod penal şi „tulburare de posesie", prev. de art. 256 Cod penal cu aplicarea art. 5 al. 1 Cod penal şi trimiterea acesteia Secţiei nr. 3 Rurală ... pentru continuarea cercetărilor.</w:t>
      </w:r>
    </w:p>
    <w:p>
      <w:pPr>
        <w:pStyle w:val="Normal"/>
        <w:ind w:firstLine="1134"/>
        <w:jc w:val="both"/>
        <w:rPr/>
      </w:pPr>
      <w:r>
        <w:rPr/>
        <w:t>Cauza penală disjunsă din dosarul penal nr. D4 a fost înregistrată la nr. D9 şi se află în lucru la Parchetul de pe lângă Judecătoria .... Conform actelor depuse chiar de către petentă, procurorul a emis Ordonanța de soluționare a cauzei la data de 15 iunie 2015, ulterior momentului la care petenta A1 a înaintat plângere către Parchetul de pe lângă Curtea de Apel ..., respectiv la data de 20.02.2015.</w:t>
      </w:r>
    </w:p>
    <w:p>
      <w:pPr>
        <w:pStyle w:val="Normal"/>
        <w:ind w:firstLine="1134"/>
        <w:jc w:val="both"/>
        <w:rPr/>
      </w:pPr>
      <w:r>
        <w:rPr/>
      </w:r>
    </w:p>
    <w:p>
      <w:pPr>
        <w:pStyle w:val="Normal"/>
        <w:ind w:firstLine="1134"/>
        <w:jc w:val="both"/>
        <w:rPr/>
      </w:pPr>
      <w:r>
        <w:rPr>
          <w:b/>
        </w:rPr>
        <w:t>Judecătorul de cameră preliminară</w:t>
      </w:r>
      <w:r>
        <w:rPr/>
        <w:t xml:space="preserve"> constată că, din ansamblul probatoriului administrat în cauză, nu a putut fi dovedită existenţa vreunei suspiciuni cu privire la comiterea de către </w:t>
      </w:r>
      <w:r>
        <w:rPr>
          <w:i/>
        </w:rPr>
        <w:t>magistrații procurori</w:t>
      </w:r>
      <w:r>
        <w:rPr/>
        <w:t xml:space="preserve">, </w:t>
      </w:r>
      <w:r>
        <w:rPr>
          <w:u w:val="single"/>
        </w:rPr>
        <w:t>învestiți cu soluționarea dosarului penal nr. D8</w:t>
      </w:r>
      <w:r>
        <w:rPr/>
        <w:t xml:space="preserve">, și de către </w:t>
      </w:r>
      <w:r>
        <w:rPr>
          <w:i/>
        </w:rPr>
        <w:t>magistrații judecători,</w:t>
      </w:r>
      <w:r>
        <w:rPr>
          <w:u w:val="single"/>
        </w:rPr>
        <w:t>învestiți cu soluționarea dosarului civil nr. D6</w:t>
      </w:r>
      <w:r>
        <w:rPr>
          <w:i/>
        </w:rPr>
        <w:t>,</w:t>
      </w:r>
      <w:r>
        <w:rPr/>
        <w:t xml:space="preserve"> a infracţiunii de abuz în serviciu prevăzută de art. 297 Cod penal, respectiv a infracțiunii de favorizare a făptuitorului prevăzută de art. 269 Cod penal, aserţiunile petentei nefiind confirmate.</w:t>
      </w:r>
    </w:p>
    <w:p>
      <w:pPr>
        <w:pStyle w:val="Normal"/>
        <w:ind w:firstLine="1134"/>
        <w:jc w:val="both"/>
        <w:rPr>
          <w:color w:val="000000"/>
        </w:rPr>
      </w:pPr>
      <w:r>
        <w:rPr/>
        <w:t xml:space="preserve">Judecătorul de cameră preliminară arată că organele de urmărire penală, potrivit principiilor legalităţii şi aflării adevărului, au procedat la realizarea unei anchete efective, care a fost în măsură </w:t>
      </w:r>
      <w:r>
        <w:rPr>
          <w:color w:val="000000"/>
        </w:rPr>
        <w:t xml:space="preserve">să lămurească toate împrejurările faptice sesizate de petentă. </w:t>
      </w:r>
    </w:p>
    <w:p>
      <w:pPr>
        <w:pStyle w:val="Normal"/>
        <w:ind w:firstLine="1134"/>
        <w:jc w:val="both"/>
        <w:rPr>
          <w:color w:val="000000"/>
        </w:rPr>
      </w:pPr>
      <w:r>
        <w:rPr>
          <w:color w:val="000000"/>
        </w:rPr>
        <w:t>De asemenea, din ansamblul probatoriului administrat în cauză nu a putut fi dovedită existenţa vreunei suspiciuni cu privire la comiterea de către magistraţii judecători a vreunei infracţiuni de abuz în serviciu sau de favorizare a făptuitorului, aserţiunile petentei nefiind confirmate.</w:t>
      </w:r>
    </w:p>
    <w:p>
      <w:pPr>
        <w:pStyle w:val="Normal"/>
        <w:ind w:firstLine="1134"/>
        <w:jc w:val="both"/>
        <w:rPr>
          <w:color w:val="000000"/>
        </w:rPr>
      </w:pPr>
      <w:r>
        <w:rPr>
          <w:color w:val="000000"/>
        </w:rPr>
      </w:r>
    </w:p>
    <w:p>
      <w:pPr>
        <w:pStyle w:val="Normal"/>
        <w:ind w:firstLine="1134"/>
        <w:jc w:val="both"/>
        <w:rPr>
          <w:color w:val="000000"/>
        </w:rPr>
      </w:pPr>
      <w:r>
        <w:rPr>
          <w:color w:val="000000"/>
        </w:rPr>
        <w:t>În condiţiile expunerii propriilor convingeri asupra problemelor de drept tranşate de către magistraţii judecători în cadrul raţionamentului logico-juridic, care a stat la baza soluţiilor, nu este posibilă prezumarea asupra comiterii de către aceştia a infracţiunii de abuz în serviciu sau de favorizare a făptuitorului, în privinţa magistraţilor judecători nicio probă neputând releva indicii ale vreunei implicării infracţionale.</w:t>
      </w:r>
    </w:p>
    <w:p>
      <w:pPr>
        <w:pStyle w:val="Normal"/>
        <w:ind w:firstLine="1134"/>
        <w:jc w:val="both"/>
        <w:rPr>
          <w:color w:val="000000"/>
        </w:rPr>
      </w:pPr>
      <w:r>
        <w:rPr>
          <w:color w:val="000000"/>
        </w:rPr>
        <w:t>Simplul dezacord al petentului cu privire la soluţiile pronunţate de magistraţii judecători sau cu privire la argumentele juridice care au fundamentat soluţiile, simpla presupunere subiectivă a petentului cu privire la comiterea de către judecători a faptelor sesizate, nu sunt de natură, în lipsa unor indicii decelate sub aspect obiectiv şi subiectiv, să reprezinte temeiuri pentru inculparea magistraţilor.</w:t>
      </w:r>
    </w:p>
    <w:p>
      <w:pPr>
        <w:pStyle w:val="Normal"/>
        <w:ind w:firstLine="1134"/>
        <w:jc w:val="both"/>
        <w:rPr/>
      </w:pPr>
      <w:r>
        <w:rPr/>
        <w:t>Petenta nu a indicat elemente, acte, înscrisuri din care să rezulte că magistraţii judecători au comis o faptă de natură penală, criticile acesteia cu privire la soluţiile pronunţate în cadrul dosarelor şi la considerentele acestora, vizând aspecte de nelegalitate şi netemeinicie a hotărârilor criticate, care însă nu pot constitui temei pentru punerea în mişcare sau pentru exercitarea acţiunii penale.</w:t>
      </w:r>
    </w:p>
    <w:p>
      <w:pPr>
        <w:pStyle w:val="Normal"/>
        <w:ind w:firstLine="1134"/>
        <w:jc w:val="both"/>
        <w:rPr/>
      </w:pPr>
      <w:r>
        <w:rPr/>
        <w:t>Toate criticile formulate de petentă reprezintă consideraţii cu privire la aplicarea unor dispoziţii de natură civilă și procesual civilă, iar pretinsa încălcare a unor astfel de norme nu poate constitui o faptă care să atragă răspunderea penală a persoanelor cercetate.</w:t>
      </w:r>
    </w:p>
    <w:p>
      <w:pPr>
        <w:pStyle w:val="Normal"/>
        <w:ind w:firstLine="1134"/>
        <w:jc w:val="both"/>
        <w:rPr/>
      </w:pPr>
      <w:r>
        <w:rPr/>
      </w:r>
    </w:p>
    <w:p>
      <w:pPr>
        <w:pStyle w:val="Normal"/>
        <w:ind w:firstLine="1134"/>
        <w:jc w:val="both"/>
        <w:rPr>
          <w:b w:val="false"/>
        </w:rPr>
      </w:pPr>
      <w:r>
        <w:rPr/>
        <w:t xml:space="preserve">Judecătorul de cameră preliminară de la </w:t>
      </w:r>
      <w:r>
        <w:rPr>
          <w:rStyle w:val="Strong"/>
          <w:b w:val="false"/>
          <w:color w:val="000000"/>
        </w:rPr>
        <w:t>Curtea de Apel constată că procurorul, în mod legal şi temeinic motivat, a dispus soluţia clasării cauzei, ca urmare a inexistenţei faptelor sesizate, deoarece nu se poate antrena răspunderea penală a magistraților judecători și procurori pentru soluţiile date, deoarece acestea au fost pronunţate în baza unui proces de interpretare a materialului probator şi a aprecierii condiţiilor legale incidente.</w:t>
      </w:r>
    </w:p>
    <w:p>
      <w:pPr>
        <w:pStyle w:val="Normal"/>
        <w:ind w:firstLine="1134"/>
        <w:jc w:val="both"/>
        <w:rPr>
          <w:b w:val="false"/>
        </w:rPr>
      </w:pPr>
      <w:r>
        <w:rPr>
          <w:rStyle w:val="Strong"/>
          <w:b w:val="false"/>
          <w:color w:val="000000"/>
        </w:rPr>
        <w:t>Dispoziţiile art. 2 din Principiile Fundamentale ale Independenţei Justiţiei adoptate de Adunarea Generală a Naţiunilor Unite în noiembrie 1985 stipulează că puterea judecătorească decide în cauzele în care este investită de o manieră imparţială pe baza faptelor şi în conformitate cu legea.</w:t>
      </w:r>
    </w:p>
    <w:p>
      <w:pPr>
        <w:pStyle w:val="Normal"/>
        <w:ind w:firstLine="1134"/>
        <w:jc w:val="both"/>
        <w:rPr>
          <w:b w:val="false"/>
        </w:rPr>
      </w:pPr>
      <w:r>
        <w:rPr>
          <w:rStyle w:val="Strong"/>
          <w:b w:val="false"/>
          <w:color w:val="000000"/>
        </w:rPr>
        <w:t>Curtea Europeană a Drepturilor Omului a statuat în jurisprudenţa sa, în deplin acord cu dispoziţiile art. 4 din Recomandarea Comitetului de Miniştri al Consiliului Europei nr. (94)12, că standardele universal recunoscute ale independenţei puterii judecătoreşti interzic orice intervenţie negarantată sau care nu oferă garanţia unui proces judiciar şi impun ca hotărârile judecătoreşti să nu poată fi modificate decât prin procedurile de control judiciar prevăzute de lege.</w:t>
      </w:r>
    </w:p>
    <w:p>
      <w:pPr>
        <w:pStyle w:val="Normal"/>
        <w:ind w:firstLine="1134"/>
        <w:jc w:val="both"/>
        <w:rPr>
          <w:b w:val="false"/>
        </w:rPr>
      </w:pPr>
      <w:r>
        <w:rPr>
          <w:rStyle w:val="Strong"/>
          <w:b w:val="false"/>
          <w:color w:val="000000"/>
        </w:rPr>
        <w:t>De asemenea în Avizul nr. 3 al Consiliului Consultativ al Judecătorilor Europeni din cadrul Consiliului Europei, asupra principiilor şi regulilor privind imperativele profesionale aplicabile judecătorilor în mod deosebit a deontologiei comportamentelor incompatibile şi imparţialităţii la pct. 5 „Concluzii privind răspunderea judecătorilor" se arată în § 75 că „în ceea ce priveşte răspunderea penală, CCJE consideră că: i) judecătorii trebuie să fie răspunzători penal în faţa legii ordinare pentru infracţiuni comise în afara funcţiei lor juridice; ii) răspunderea penală nu trebuie să se aplice judecătorilor pentru greşeli neintenţionate în exerciţiul funcţiunii."</w:t>
      </w:r>
    </w:p>
    <w:p>
      <w:pPr>
        <w:pStyle w:val="Normal"/>
        <w:ind w:firstLine="1134"/>
        <w:jc w:val="both"/>
        <w:rPr>
          <w:b w:val="false"/>
        </w:rPr>
      </w:pPr>
      <w:r>
        <w:rPr>
          <w:b w:val="false"/>
        </w:rPr>
      </w:r>
    </w:p>
    <w:p>
      <w:pPr>
        <w:pStyle w:val="Normal"/>
        <w:ind w:firstLine="1134"/>
        <w:jc w:val="both"/>
        <w:rPr>
          <w:b w:val="false"/>
        </w:rPr>
      </w:pPr>
      <w:r>
        <w:rPr>
          <w:rStyle w:val="Strong"/>
          <w:b w:val="false"/>
          <w:color w:val="000000"/>
        </w:rPr>
        <w:t>Simpla exercitare a atribuţiilor judiciare de către un magistrat nu poate fi calificată ca infracţiune, chiar dacă una dintre părţi este nemulţumită de soluţia pronunţată în cauză.</w:t>
      </w:r>
    </w:p>
    <w:p>
      <w:pPr>
        <w:pStyle w:val="Normal"/>
        <w:ind w:firstLine="1134"/>
        <w:jc w:val="both"/>
        <w:rPr>
          <w:b w:val="false"/>
        </w:rPr>
      </w:pPr>
      <w:r>
        <w:rPr>
          <w:rStyle w:val="Strong"/>
          <w:b w:val="false"/>
          <w:color w:val="000000"/>
        </w:rPr>
        <w:t>De altfel, nici erorile judiciare, care se pot produce în interpretarea sau aplicarea legii ori în evaluarea probatorilor nu pot constitui obiectiv şi nici subiectiv conţinutul infracţiunii de abuz în serviciu sau de favorizare a făptuitorului.</w:t>
      </w:r>
    </w:p>
    <w:p>
      <w:pPr>
        <w:pStyle w:val="Normal"/>
        <w:ind w:firstLine="1134"/>
        <w:jc w:val="both"/>
        <w:rPr>
          <w:b w:val="false"/>
        </w:rPr>
      </w:pPr>
      <w:r>
        <w:rPr/>
        <w:t>Posibilitatea formulării unor plângeri împotriva procurorilor și membrilor completelor de judecată ce s-au pronunţat într-o cauză, reprezintă un drept constituţional al petiţionarului, însă acesta nu echivalează cu exercitarea unui control asupra legalităţii si temeiniciei soluţiilor pronunţate şi nici nu poate conduce la reformarea soluţiilor.</w:t>
      </w:r>
    </w:p>
    <w:p>
      <w:pPr>
        <w:pStyle w:val="Normal"/>
        <w:ind w:firstLine="1134"/>
        <w:jc w:val="both"/>
        <w:rPr>
          <w:b w:val="false"/>
        </w:rPr>
      </w:pPr>
      <w:r>
        <w:rPr>
          <w:rStyle w:val="Strong"/>
          <w:b w:val="false"/>
          <w:color w:val="000000"/>
        </w:rPr>
        <w:t xml:space="preserve">Aşadar, judecătorul de cameră preliminară de la Curtea de Apel constată că nu există niciun indiciu cu privire la existenţa săvârşirii pretinsei fapte în sarcina magistraților judecători și procurori, astfel încât, în mod corect a fost indicat temeiul, în drept, al soluţiei dispuse, pentru inexistenţa faptei, respectiv </w:t>
      </w:r>
      <w:r>
        <w:rPr/>
        <w:t>art. 315 alin. 1 lit. b) Cod procedură penală şi art. 16 alin. 1 lit. a) Cod procedură penală</w:t>
      </w:r>
      <w:r>
        <w:rPr>
          <w:rStyle w:val="Strong"/>
          <w:b w:val="false"/>
          <w:color w:val="000000"/>
        </w:rPr>
        <w:t>.</w:t>
      </w:r>
    </w:p>
    <w:p>
      <w:pPr>
        <w:pStyle w:val="Normal"/>
        <w:ind w:firstLine="1134"/>
        <w:jc w:val="both"/>
        <w:rPr/>
      </w:pPr>
      <w:r>
        <w:rPr/>
        <w:t>În contextul celor anterior expuse, lămurindu-se cauza sub toate aspectele, respectiv stabilindu-se inexistenţa faptelor reclamate de petentă, nu există motive de infirmare a soluţiilor adoptate în cauză, acestea fiind legale şi temeinice.</w:t>
      </w:r>
    </w:p>
    <w:p>
      <w:pPr>
        <w:pStyle w:val="Normal"/>
        <w:ind w:firstLine="708"/>
        <w:jc w:val="both"/>
        <w:rPr/>
      </w:pPr>
      <w:r>
        <w:rPr/>
      </w:r>
    </w:p>
    <w:p>
      <w:pPr>
        <w:pStyle w:val="Normal"/>
        <w:ind w:firstLine="1134"/>
        <w:jc w:val="both"/>
        <w:rPr/>
      </w:pPr>
      <w:r>
        <w:rPr/>
        <w:t>Judecătorul de cameră preliminară de la Curtea de Apel .... indică faptul că petenta A1, în condițiile în care apreciază că este victima unor eventualele acte de violență fizică sau morală, are posibilitatea de a adresa o plângere organelor de urmărire penală competente, în condițiile art. 289 Cod de procedură penală.</w:t>
      </w:r>
    </w:p>
    <w:p>
      <w:pPr>
        <w:pStyle w:val="Normal"/>
        <w:ind w:firstLine="1134"/>
        <w:jc w:val="both"/>
        <w:rPr>
          <w:b/>
        </w:rPr>
      </w:pPr>
      <w:r>
        <w:rPr>
          <w:b/>
        </w:rPr>
      </w:r>
    </w:p>
    <w:p>
      <w:pPr>
        <w:pStyle w:val="Normal"/>
        <w:ind w:firstLine="1134"/>
        <w:jc w:val="both"/>
        <w:rPr>
          <w:b/>
        </w:rPr>
      </w:pPr>
      <w:r>
        <w:rPr>
          <w:b/>
        </w:rPr>
        <w:t>Față de considerentele anterior expuse</w:t>
      </w:r>
      <w:r>
        <w:rPr/>
        <w:t xml:space="preserve">, în temeiul dispoziţiilor art. 341 alin. 6 litera a) teza ultimă Cod de procedură penală, va respinge, ca nefondată, plângerea formulată de petenta A1 împotriva Ordonanţei de clasare din data de ... dată în dosarul nr. D2 al Parchetului de pe lângă Curtea de Apel ..., menţinută prin Ordonanţa nr. D3 din data de ... dată de procurorul general al Parchetului de pe lângă Curtea de Apel ..., </w:t>
      </w:r>
      <w:r>
        <w:rPr>
          <w:b/>
        </w:rPr>
        <w:t>pe care le va menţine.</w:t>
      </w:r>
    </w:p>
    <w:p>
      <w:pPr>
        <w:pStyle w:val="Normal"/>
        <w:ind w:firstLine="1134"/>
        <w:jc w:val="both"/>
        <w:rPr/>
      </w:pPr>
      <w:r>
        <w:rPr>
          <w:u w:val="single"/>
        </w:rPr>
        <w:t>Constatând culpa procesuală a petentei</w:t>
      </w:r>
      <w:r>
        <w:rPr/>
        <w:t>, în temeiul dispoziţiilor art. 275 alin. 2 Cod de procedură penală, va obliga petenta A1 la plata sumei de 100 de lei, cu titlu de cheltuieli judiciare către stat.</w:t>
      </w:r>
    </w:p>
    <w:p>
      <w:pPr>
        <w:pStyle w:val="Normal"/>
        <w:jc w:val="center"/>
        <w:rPr>
          <w:sz w:val="26"/>
        </w:rPr>
      </w:pPr>
      <w:r>
        <w:rPr>
          <w:sz w:val="26"/>
        </w:rPr>
      </w:r>
    </w:p>
    <w:p>
      <w:pPr>
        <w:pStyle w:val="Normal"/>
        <w:jc w:val="center"/>
        <w:rPr>
          <w:b/>
        </w:rPr>
      </w:pPr>
      <w:r>
        <w:rPr>
          <w:b/>
        </w:rPr>
        <w:t>PENTRU ACESTE MOTIVE,</w:t>
        <w:br/>
        <w:t>ÎN NUMELE LEGII,</w:t>
      </w:r>
    </w:p>
    <w:p>
      <w:pPr>
        <w:pStyle w:val="Normal"/>
        <w:jc w:val="center"/>
        <w:rPr>
          <w:b/>
        </w:rPr>
      </w:pPr>
      <w:r>
        <w:rPr>
          <w:b/>
        </w:rPr>
        <w:t>DISPUNE:</w:t>
      </w:r>
    </w:p>
    <w:p>
      <w:pPr>
        <w:pStyle w:val="Normal"/>
        <w:jc w:val="center"/>
        <w:rPr/>
      </w:pPr>
      <w:r>
        <w:rPr/>
      </w:r>
    </w:p>
    <w:p>
      <w:pPr>
        <w:pStyle w:val="Normal"/>
        <w:ind w:firstLine="708"/>
        <w:jc w:val="both"/>
        <w:rPr/>
      </w:pPr>
      <w:r>
        <w:rPr/>
        <w:t xml:space="preserve">În temeiul dispoziţiilor art. 341 alin. 6 litera a) teza ultimă Cod de procedură penală, respinge, ca nefondată, plângerea formulată de petenta A1, cu domiciliul în sat ..., comuna ..., judeţul ..., împotriva Ordonanţei de clasare din data de ... dată în dosarul nr. D2 al Parchetului de pe lângă Curtea de Apel ..., menţinută prin Ordonanţa nr. D3 din data de ... dată de procurorul general al Parchetului de pe lângă Curtea de Apel ..., </w:t>
      </w:r>
      <w:r>
        <w:rPr>
          <w:b/>
        </w:rPr>
        <w:t>pe care le menţine.</w:t>
      </w:r>
    </w:p>
    <w:p>
      <w:pPr>
        <w:pStyle w:val="Normal"/>
        <w:ind w:firstLine="708"/>
        <w:jc w:val="both"/>
        <w:rPr/>
      </w:pPr>
      <w:r>
        <w:rPr/>
        <w:t>În temeiul dispoziţiilor art. 275 alin. 2 Cod de procedură penală,  obligă petenta A1 la plata sumei de 100 de lei, cu titlu de cheltuieli judiciare către stat.</w:t>
      </w:r>
    </w:p>
    <w:p>
      <w:pPr>
        <w:pStyle w:val="Normal"/>
        <w:ind w:firstLine="708"/>
        <w:jc w:val="both"/>
        <w:rPr>
          <w:b/>
        </w:rPr>
      </w:pPr>
      <w:r>
        <w:rPr>
          <w:b/>
        </w:rPr>
        <w:t>Definitivă.</w:t>
      </w:r>
    </w:p>
    <w:p>
      <w:pPr>
        <w:pStyle w:val="Normal"/>
        <w:ind w:firstLine="708"/>
        <w:jc w:val="both"/>
        <w:rPr/>
      </w:pPr>
      <w:r>
        <w:rPr/>
        <w:t>Soluţionată şi pronunţată în Camera de consiliu, astăzi....</w:t>
      </w:r>
    </w:p>
    <w:p>
      <w:pPr>
        <w:pStyle w:val="Normal"/>
        <w:jc w:val="center"/>
        <w:rPr>
          <w:sz w:val="26"/>
        </w:rPr>
      </w:pPr>
      <w:r>
        <w:rPr>
          <w:sz w:val="26"/>
        </w:rPr>
      </w:r>
    </w:p>
    <w:p>
      <w:pPr>
        <w:pStyle w:val="Normal"/>
        <w:jc w:val="center"/>
        <w:rPr>
          <w:sz w:val="26"/>
        </w:rPr>
      </w:pPr>
      <w:r>
        <w:rPr>
          <w:sz w:val="26"/>
        </w:rPr>
      </w:r>
    </w:p>
    <w:p>
      <w:pPr>
        <w:pStyle w:val="Normal"/>
        <w:jc w:val="center"/>
        <w:rPr>
          <w:sz w:val="26"/>
        </w:rPr>
      </w:pPr>
      <w:r>
        <w:rPr>
          <w:sz w:val="26"/>
        </w:rPr>
      </w:r>
    </w:p>
    <w:p>
      <w:pPr>
        <w:pStyle w:val="Normal"/>
        <w:rPr>
          <w:b/>
        </w:rPr>
      </w:pPr>
      <w:r>
        <w:rPr>
          <w:b/>
        </w:rPr>
        <w:t>Judecător de cameră preliminară,</w:t>
      </w:r>
    </w:p>
    <w:p>
      <w:pPr>
        <w:pStyle w:val="Normal"/>
        <w:rPr>
          <w:b/>
        </w:rPr>
      </w:pPr>
      <w:r>
        <w:rPr>
          <w:b/>
        </w:rPr>
        <w:t xml:space="preserve">         </w:t>
      </w:r>
      <w:r>
        <w:rPr>
          <w:b/>
        </w:rPr>
        <w:t>A0013</w:t>
      </w:r>
    </w:p>
    <w:p>
      <w:pPr>
        <w:pStyle w:val="Normal"/>
        <w:jc w:val="center"/>
        <w:rPr>
          <w:b/>
        </w:rPr>
      </w:pPr>
      <w:r>
        <w:rPr>
          <w:b/>
        </w:rPr>
      </w:r>
    </w:p>
    <w:p>
      <w:pPr>
        <w:pStyle w:val="Normal"/>
        <w:jc w:val="center"/>
        <w:rPr>
          <w:b/>
        </w:rPr>
      </w:pPr>
      <w:r>
        <w:rPr>
          <w:b/>
        </w:rPr>
      </w:r>
    </w:p>
    <w:p>
      <w:pPr>
        <w:pStyle w:val="Normal"/>
        <w:ind w:left="6372" w:firstLine="708"/>
        <w:jc w:val="center"/>
        <w:rPr>
          <w:b/>
        </w:rPr>
      </w:pPr>
      <w:r>
        <w:rPr>
          <w:b/>
        </w:rPr>
        <w:t>Grefier,</w:t>
      </w:r>
    </w:p>
    <w:p>
      <w:pPr>
        <w:pStyle w:val="Normal"/>
        <w:jc w:val="right"/>
        <w:rPr>
          <w:b/>
        </w:rPr>
      </w:pPr>
      <w:r>
        <w:rPr>
          <w:b/>
        </w:rPr>
        <w:t>....</w:t>
      </w:r>
    </w:p>
    <w:p>
      <w:pPr>
        <w:pStyle w:val="Normal"/>
        <w:jc w:val="center"/>
        <w:rPr/>
      </w:pPr>
      <w:r>
        <w:rPr/>
      </w:r>
    </w:p>
    <w:p>
      <w:pPr>
        <w:pStyle w:val="Normal"/>
        <w:rPr/>
      </w:pPr>
      <w:r>
        <w:rPr/>
      </w:r>
    </w:p>
    <w:p>
      <w:pPr>
        <w:pStyle w:val="Normal"/>
        <w:jc w:val="center"/>
        <w:rPr/>
      </w:pPr>
      <w:r>
        <w:rPr/>
      </w:r>
    </w:p>
    <w:p>
      <w:pPr>
        <w:pStyle w:val="Normal"/>
        <w:rPr>
          <w:sz w:val="18"/>
        </w:rPr>
      </w:pPr>
      <w:r>
        <w:rPr>
          <w:sz w:val="18"/>
        </w:rPr>
        <w:t>Red./Tehnored.: A0013</w:t>
      </w:r>
    </w:p>
    <w:p>
      <w:pPr>
        <w:pStyle w:val="Normal"/>
        <w:rPr>
          <w:sz w:val="18"/>
        </w:rPr>
      </w:pPr>
      <w:r>
        <w:rPr>
          <w:sz w:val="18"/>
        </w:rPr>
        <w:t>2 ex. + 2 ex./...</w:t>
      </w:r>
    </w:p>
    <w:p>
      <w:pPr>
        <w:pStyle w:val="Normal"/>
        <w:rPr/>
      </w:pPr>
      <w:r>
        <w:rPr/>
      </w:r>
    </w:p>
    <w:sectPr>
      <w:footerReference w:type="default" r:id="rId2"/>
      <w:type w:val="nextPage"/>
      <w:pgSz w:w="11906" w:h="16838"/>
      <w:pgMar w:top="851" w:right="851" w:bottom="851" w:left="1985" w:header="0" w:footer="720" w:gutter="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Garamond">
    <w:charset w:val="00"/>
    <w:family w:val="roman"/>
    <w:pitch w:val="variable"/>
  </w:font>
  <w:font w:name="Tahoma">
    <w:charset w:val="00"/>
    <w:family w:val="roman"/>
    <w:pitch w:val="variable"/>
  </w:font>
  <w:font w:name="Liberation Sans">
    <w:altName w:val="Arial"/>
    <w:charset w:val="00"/>
    <w:family w:val="swiss"/>
    <w:pitch w:val="variable"/>
  </w:font>
  <w:font w:name="Century Schoolbook">
    <w:charset w:val="00"/>
    <w:family w:val="roman"/>
    <w:pitch w:val="variable"/>
  </w:font>
  <w:font w:name="Bookman Old Style">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r>
      <w:rPr/>
      <w:fldChar w:fldCharType="begin"/>
    </w:r>
    <w:r>
      <w:rPr/>
      <w:instrText xml:space="preserve"> PAGE </w:instrText>
    </w:r>
    <w:r>
      <w:rPr/>
      <w:fldChar w:fldCharType="separate"/>
    </w:r>
    <w:r>
      <w:rPr/>
      <w:t>8</w:t>
    </w:r>
    <w:r>
      <w:rPr/>
      <w:fldChar w:fldCharType="end"/>
    </w:r>
  </w:p>
  <w:p>
    <w:pPr>
      <w:pStyle w:val="Footer"/>
      <w:rPr/>
    </w:pPr>
    <w:r>
      <w:rPr/>
    </w:r>
  </w:p>
</w:ftr>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2"/>
  </w:compat>
  <w:docVars>
    <w:docVar w:name="url" w:val="http://10.26.48.53:80/ecris_cdms/document_upload.aspx?id_document=4500000000524396&amp;id_departament=26&amp;id_sesiune=261308&amp;id_user=154&amp;id_institutie=45&amp;actiune=modifica"/>
  </w:docVars>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sz w:val="22"/>
        <w:lang w:val="ro-RO" w:eastAsia="ro-RO" w:bidi="ar-SA"/>
      </w:rPr>
    </w:rPrDefault>
    <w:pPrDefault>
      <w:pPr>
        <w:suppressAutoHyphens w:val="true"/>
      </w:pPr>
    </w:pPrDefault>
  </w:docDefaults>
  <w:style w:type="paragraph" w:styleId="Normal">
    <w:name w:val="Normal"/>
    <w:qFormat/>
    <w:pPr>
      <w:widowControl/>
      <w:kinsoku w:val="true"/>
      <w:overflowPunct w:val="true"/>
      <w:autoSpaceDE w:val="true"/>
      <w:bidi w:val="0"/>
      <w:spacing w:before="0" w:after="0"/>
      <w:jc w:val="left"/>
    </w:pPr>
    <w:rPr>
      <w:rFonts w:ascii="Times New Roman" w:hAnsi="Times New Roman" w:eastAsia="Times New Roman" w:cs="Times New Roman"/>
      <w:color w:val="auto"/>
      <w:kern w:val="0"/>
      <w:sz w:val="24"/>
      <w:szCs w:val="20"/>
      <w:lang w:val="ro-RO" w:eastAsia="ro-RO" w:bidi="ar-SA"/>
    </w:rPr>
  </w:style>
  <w:style w:type="paragraph" w:styleId="Heading1">
    <w:name w:val="Heading 1"/>
    <w:basedOn w:val="Normal"/>
    <w:next w:val="Normal"/>
    <w:qFormat/>
    <w:pPr>
      <w:keepNext w:val="true"/>
      <w:numPr>
        <w:ilvl w:val="0"/>
        <w:numId w:val="0"/>
      </w:numPr>
      <w:jc w:val="center"/>
      <w:outlineLvl w:val="0"/>
    </w:pPr>
    <w:rPr>
      <w:b/>
      <w:sz w:val="28"/>
      <w:lang w:val="en-US"/>
    </w:rPr>
  </w:style>
  <w:style w:type="paragraph" w:styleId="Heading2">
    <w:name w:val="Heading 2"/>
    <w:basedOn w:val="Normal"/>
    <w:next w:val="Normal"/>
    <w:link w:val="Titlu2Caracter"/>
    <w:qFormat/>
    <w:pPr>
      <w:keepNext w:val="true"/>
      <w:numPr>
        <w:ilvl w:val="0"/>
        <w:numId w:val="0"/>
      </w:numPr>
      <w:jc w:val="center"/>
      <w:outlineLvl w:val="1"/>
    </w:pPr>
    <w:rPr>
      <w:rFonts w:ascii="Garamond" w:hAnsi="Garamond"/>
      <w:b/>
    </w:rPr>
  </w:style>
  <w:style w:type="paragraph" w:styleId="Heading3">
    <w:name w:val="Heading 3"/>
    <w:basedOn w:val="Normal"/>
    <w:next w:val="Normal"/>
    <w:link w:val="Titlu3Caracter"/>
    <w:qFormat/>
    <w:pPr>
      <w:keepNext w:val="true"/>
      <w:numPr>
        <w:ilvl w:val="0"/>
        <w:numId w:val="0"/>
      </w:numPr>
      <w:jc w:val="center"/>
      <w:outlineLvl w:val="2"/>
    </w:pPr>
    <w:rPr>
      <w:rFonts w:ascii="Garamond" w:hAnsi="Garamond"/>
      <w:sz w:val="36"/>
    </w:rPr>
  </w:style>
  <w:style w:type="character" w:styleId="DefaultParagraphFont">
    <w:name w:val="Default Paragraph Font"/>
    <w:qFormat/>
    <w:rPr/>
  </w:style>
  <w:style w:type="character" w:styleId="LineNumber">
    <w:name w:val="Line Number"/>
    <w:basedOn w:val="DefaultParagraphFont"/>
    <w:rPr/>
  </w:style>
  <w:style w:type="character" w:styleId="Hyperlink">
    <w:name w:val="Hyperlink"/>
    <w:rPr>
      <w:color w:val="0000FF"/>
      <w:u w:val="single"/>
    </w:rPr>
  </w:style>
  <w:style w:type="character" w:styleId="AntetCaracter">
    <w:name w:val="Antet Caracter"/>
    <w:link w:val="Header"/>
    <w:qFormat/>
    <w:rPr/>
  </w:style>
  <w:style w:type="character" w:styleId="SubsolCaracter">
    <w:name w:val="Subsol Caracter"/>
    <w:link w:val="Footer"/>
    <w:qFormat/>
    <w:rPr/>
  </w:style>
  <w:style w:type="character" w:styleId="Titlu2Caracter">
    <w:name w:val="Titlu 2 Caracter"/>
    <w:link w:val="Heading2"/>
    <w:qFormat/>
    <w:rPr>
      <w:rFonts w:ascii="Garamond" w:hAnsi="Garamond"/>
      <w:b/>
    </w:rPr>
  </w:style>
  <w:style w:type="character" w:styleId="Titlu3Caracter">
    <w:name w:val="Titlu 3 Caracter"/>
    <w:link w:val="Heading3"/>
    <w:qFormat/>
    <w:rPr>
      <w:rFonts w:ascii="Garamond" w:hAnsi="Garamond"/>
      <w:sz w:val="36"/>
    </w:rPr>
  </w:style>
  <w:style w:type="character" w:styleId="TextnBalonCaracter">
    <w:name w:val="Text în Balon Caracter"/>
    <w:link w:val="BalloonText"/>
    <w:qFormat/>
    <w:rPr>
      <w:rFonts w:ascii="Tahoma" w:hAnsi="Tahoma"/>
      <w:sz w:val="16"/>
    </w:rPr>
  </w:style>
  <w:style w:type="character" w:styleId="Strong">
    <w:name w:val="Strong"/>
    <w:qFormat/>
    <w:rPr>
      <w:b/>
    </w:rPr>
  </w:style>
  <w:style w:type="paragraph" w:styleId="Heading">
    <w:name w:val="Heading"/>
    <w:basedOn w:val="Normal"/>
    <w:next w:val="BodyText"/>
    <w:qFormat/>
    <w:pPr>
      <w:keepNext w:val="true"/>
      <w:spacing w:before="240" w:after="120"/>
    </w:pPr>
    <w:rPr>
      <w:rFonts w:ascii="Liberation Sans" w:hAnsi="Liberation Sans" w:eastAsia="DejaVu Sans" w:cs="Free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FreeSans"/>
    </w:rPr>
  </w:style>
  <w:style w:type="paragraph" w:styleId="Caption">
    <w:name w:val="Caption"/>
    <w:basedOn w:val="Normal"/>
    <w:qFormat/>
    <w:pPr>
      <w:suppressLineNumbers/>
      <w:spacing w:before="120" w:after="120"/>
    </w:pPr>
    <w:rPr>
      <w:rFonts w:cs="FreeSans"/>
      <w:i/>
      <w:iCs/>
      <w:sz w:val="24"/>
      <w:szCs w:val="24"/>
    </w:rPr>
  </w:style>
  <w:style w:type="paragraph" w:styleId="Index">
    <w:name w:val="Index"/>
    <w:basedOn w:val="Normal"/>
    <w:qFormat/>
    <w:pPr>
      <w:suppressLineNumbers/>
    </w:pPr>
    <w:rPr>
      <w:rFonts w:cs="FreeSans"/>
    </w:rPr>
  </w:style>
  <w:style w:type="paragraph" w:styleId="HeaderandFooter">
    <w:name w:val="Header and Footer"/>
    <w:basedOn w:val="Normal"/>
    <w:qFormat/>
    <w:pPr/>
    <w:rPr/>
  </w:style>
  <w:style w:type="paragraph" w:styleId="Header">
    <w:name w:val="Header"/>
    <w:basedOn w:val="Normal"/>
    <w:link w:val="AntetCaracter"/>
    <w:pPr>
      <w:tabs>
        <w:tab w:val="clear" w:pos="720"/>
        <w:tab w:val="center" w:pos="4536" w:leader="none"/>
        <w:tab w:val="right" w:pos="9072" w:leader="none"/>
      </w:tabs>
    </w:pPr>
    <w:rPr/>
  </w:style>
  <w:style w:type="paragraph" w:styleId="Footer">
    <w:name w:val="Footer"/>
    <w:basedOn w:val="Normal"/>
    <w:link w:val="SubsolCaracter"/>
    <w:pPr>
      <w:tabs>
        <w:tab w:val="clear" w:pos="720"/>
        <w:tab w:val="center" w:pos="4536" w:leader="none"/>
        <w:tab w:val="right" w:pos="9072" w:leader="none"/>
      </w:tabs>
    </w:pPr>
    <w:rPr/>
  </w:style>
  <w:style w:type="paragraph" w:styleId="BalloonText">
    <w:name w:val="Balloon Text"/>
    <w:basedOn w:val="Normal"/>
    <w:link w:val="TextnBalonCaracter"/>
    <w:qFormat/>
    <w:pPr/>
    <w:rPr>
      <w:rFonts w:ascii="Tahoma" w:hAnsi="Tahoma"/>
      <w:sz w:val="16"/>
    </w:rPr>
  </w:style>
  <w:style w:type="numbering" w:styleId="NoList">
    <w:name w:val="No List"/>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36</ap:TotalTime>
  <ap:Application>LibreOffice/24.2.7.2$Linux_X86_64 LibreOffice_project/420$Build-2</ap:Application>
  <ap:AppVersion>15.0000</ap:AppVersion>
  <ap:Pages>7</ap:Pages>
  <ap:Words>4371</ap:Words>
  <ap:Characters>24135</ap:Characters>
  <ap:CharactersWithSpaces>28471</ap:CharactersWithSpaces>
  <ap:Paragraphs>99</ap:Paragraphs>
</ap:Properties>
</file>

<file path=docProps/core.xml><?xml version="1.0" encoding="utf-8"?>
<coreProperties xmlns:dc="http://purl.org/dc/elements/1.1/" xmlns:dcterms="http://purl.org/dc/terms/" xmlns:xsi="http://www.w3.org/2001/XMLSchema-instance" xmlns="http://schemas.openxmlformats.org/package/2006/metadata/core-properties">
  <dc:creator/>
  <dc:description/>
  <dc:language/>
  <lastModifiedBy/>
  <lastPrinted>2015-09-30T12:54:00.0000000Z</lastPrinted>
  <revision/>
  <dc:subject/>
  <dc:title/>
  <keywords/>
  <category/>
  <contentStatus/>
  <dc:identifier/>
  <version/>
</coreProperties>
</file>