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F07B2" w14:textId="77777777"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 O M Â N I A</w:t>
      </w:r>
    </w:p>
    <w:p w14:paraId="7F07031D" w14:textId="6E7C109A"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4B0F6C5E" w14:textId="3478360E"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29BD1D4E" w14:textId="4F28558E"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5719F3EE" w14:textId="6E2CE915"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Dosar nr. </w:t>
      </w:r>
      <w:r>
        <w:rPr>
          <w:rFonts w:ascii="Times New Roman" w:eastAsia="Times New Roman" w:hAnsi="Times New Roman" w:cs="Times New Roman"/>
          <w:kern w:val="0"/>
          <w:sz w:val="24"/>
          <w:szCs w:val="20"/>
          <w:lang w:val="ro-RO" w:eastAsia="en-GB"/>
          <w14:ligatures w14:val="none"/>
        </w:rPr>
        <w:t>............</w:t>
      </w:r>
    </w:p>
    <w:p w14:paraId="19AFCCF3" w14:textId="5E3983F4" w:rsidR="0041635F" w:rsidRPr="0041635F" w:rsidRDefault="0041635F" w:rsidP="0041635F">
      <w:pPr>
        <w:spacing w:after="0" w:line="240" w:lineRule="auto"/>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Nr. de înregistrare ca operator de date cu caracter personal  - </w:t>
      </w:r>
      <w:r>
        <w:rPr>
          <w:rFonts w:ascii="Times New Roman" w:eastAsia="Times New Roman" w:hAnsi="Times New Roman" w:cs="Times New Roman"/>
          <w:kern w:val="0"/>
          <w:sz w:val="24"/>
          <w:szCs w:val="20"/>
          <w:lang w:val="ro-RO" w:eastAsia="en-GB"/>
          <w14:ligatures w14:val="none"/>
        </w:rPr>
        <w:t>...........</w:t>
      </w:r>
    </w:p>
    <w:p w14:paraId="085657CE" w14:textId="77777777"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p>
    <w:p w14:paraId="73731EEC" w14:textId="1C2DBD30"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HOTĂRÂREA NR. 2</w:t>
      </w:r>
    </w:p>
    <w:p w14:paraId="22764091" w14:textId="5DB06B04"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Şedinţa publică din data de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w:t>
      </w:r>
    </w:p>
    <w:p w14:paraId="2D97C5D5" w14:textId="77777777"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Completul constituit din:</w:t>
      </w:r>
    </w:p>
    <w:p w14:paraId="328D36F9" w14:textId="71A09B5F"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PREŞEDINTE: Dr. </w:t>
      </w:r>
      <w:r>
        <w:rPr>
          <w:rFonts w:ascii="Times New Roman" w:eastAsia="Times New Roman" w:hAnsi="Times New Roman" w:cs="Times New Roman"/>
          <w:kern w:val="0"/>
          <w:sz w:val="24"/>
          <w:szCs w:val="20"/>
          <w:lang w:val="ro-RO" w:eastAsia="en-GB"/>
          <w14:ligatures w14:val="none"/>
        </w:rPr>
        <w:t>A0018</w:t>
      </w:r>
      <w:r w:rsidRPr="0041635F">
        <w:rPr>
          <w:rFonts w:ascii="Times New Roman" w:eastAsia="Times New Roman" w:hAnsi="Times New Roman" w:cs="Times New Roman"/>
          <w:kern w:val="0"/>
          <w:sz w:val="24"/>
          <w:szCs w:val="20"/>
          <w:lang w:val="ro-RO" w:eastAsia="en-GB"/>
          <w14:ligatures w14:val="none"/>
        </w:rPr>
        <w:t xml:space="preserve"> </w:t>
      </w:r>
    </w:p>
    <w:p w14:paraId="6E82C9F1" w14:textId="3210355F" w:rsidR="0041635F" w:rsidRPr="0041635F" w:rsidRDefault="0041635F" w:rsidP="0041635F">
      <w:pPr>
        <w:spacing w:after="0" w:line="240" w:lineRule="auto"/>
        <w:jc w:val="center"/>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w:t>
      </w:r>
    </w:p>
    <w:p w14:paraId="2A8A1A70" w14:textId="77777777" w:rsidR="0041635F" w:rsidRPr="0041635F" w:rsidRDefault="0041635F" w:rsidP="0041635F">
      <w:pPr>
        <w:spacing w:after="0" w:line="240" w:lineRule="auto"/>
        <w:jc w:val="center"/>
        <w:rPr>
          <w:rFonts w:ascii="Times New Roman" w:eastAsia="Times New Roman" w:hAnsi="Times New Roman" w:cs="Times New Roman"/>
          <w:kern w:val="0"/>
          <w:sz w:val="24"/>
          <w:szCs w:val="20"/>
          <w:lang w:val="ro-RO" w:eastAsia="en-GB"/>
          <w14:ligatures w14:val="none"/>
        </w:rPr>
      </w:pPr>
    </w:p>
    <w:p w14:paraId="0F250625" w14:textId="2C896980" w:rsidR="0041635F" w:rsidRPr="0041635F" w:rsidRDefault="0041635F" w:rsidP="0041635F">
      <w:pPr>
        <w:spacing w:after="0" w:line="240" w:lineRule="auto"/>
        <w:ind w:firstLine="708"/>
        <w:jc w:val="both"/>
        <w:rPr>
          <w:rFonts w:ascii="Times New Roman" w:eastAsia="Times New Roman" w:hAnsi="Times New Roman" w:cs="Times New Roman"/>
          <w:b/>
          <w:i/>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Pe rol se află pronunţarea soluţiei asupra </w:t>
      </w:r>
      <w:r w:rsidRPr="0041635F">
        <w:rPr>
          <w:rFonts w:ascii="Times New Roman" w:eastAsia="Times New Roman" w:hAnsi="Times New Roman" w:cs="Times New Roman"/>
          <w:i/>
          <w:kern w:val="0"/>
          <w:sz w:val="24"/>
          <w:szCs w:val="20"/>
          <w:lang w:val="ro-RO" w:eastAsia="en-GB"/>
          <w14:ligatures w14:val="none"/>
        </w:rPr>
        <w:t>cererii de chemare în judecată</w:t>
      </w:r>
      <w:r w:rsidRPr="0041635F">
        <w:rPr>
          <w:rFonts w:ascii="Times New Roman" w:eastAsia="Times New Roman" w:hAnsi="Times New Roman" w:cs="Times New Roman"/>
          <w:kern w:val="0"/>
          <w:sz w:val="24"/>
          <w:szCs w:val="20"/>
          <w:lang w:val="ro-RO" w:eastAsia="en-GB"/>
          <w14:ligatures w14:val="none"/>
        </w:rPr>
        <w:t xml:space="preserve"> formulată de către </w:t>
      </w:r>
      <w:r w:rsidRPr="0041635F">
        <w:rPr>
          <w:rFonts w:ascii="Times New Roman" w:eastAsia="Times New Roman" w:hAnsi="Times New Roman" w:cs="Times New Roman"/>
          <w:kern w:val="0"/>
          <w:szCs w:val="20"/>
          <w:lang w:val="ro-RO" w:eastAsia="en-GB"/>
          <w14:ligatures w14:val="none"/>
        </w:rPr>
        <w:t>reclamanta</w:t>
      </w:r>
      <w:r w:rsidRPr="0041635F">
        <w:rPr>
          <w:rFonts w:ascii="Times New Roman" w:eastAsia="Times New Roman" w:hAnsi="Times New Roman" w:cs="Times New Roman"/>
          <w:kern w:val="0"/>
          <w:sz w:val="28"/>
          <w:szCs w:val="20"/>
          <w:lang w:val="ro-RO" w:eastAsia="en-GB"/>
          <w14:ligatures w14:val="none"/>
        </w:rPr>
        <w:t xml:space="preserve"> </w:t>
      </w:r>
      <w:r w:rsidRPr="0041635F">
        <w:rPr>
          <w:rFonts w:ascii="Times New Roman" w:eastAsia="Times New Roman" w:hAnsi="Times New Roman" w:cs="Times New Roman"/>
          <w:kern w:val="0"/>
          <w:szCs w:val="20"/>
          <w:lang w:val="ro-RO" w:eastAsia="en-GB"/>
          <w14:ligatures w14:val="none"/>
        </w:rPr>
        <w:t xml:space="preserve">societatea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în faliment, cu sediul social în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înregistrată în Registrul Comerţului sub nr.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/1995, C.U.Î.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w:t>
      </w:r>
      <w:r w:rsidRPr="0041635F">
        <w:rPr>
          <w:rFonts w:ascii="Times New Roman" w:eastAsia="Times New Roman" w:hAnsi="Times New Roman" w:cs="Times New Roman"/>
          <w:b/>
          <w:kern w:val="0"/>
          <w:szCs w:val="20"/>
          <w:lang w:val="ro-RO" w:eastAsia="en-GB"/>
          <w14:ligatures w14:val="none"/>
        </w:rPr>
        <w:t xml:space="preserve"> </w:t>
      </w:r>
      <w:r w:rsidRPr="0041635F">
        <w:rPr>
          <w:rFonts w:ascii="Times New Roman" w:eastAsia="Times New Roman" w:hAnsi="Times New Roman" w:cs="Times New Roman"/>
          <w:kern w:val="0"/>
          <w:szCs w:val="20"/>
          <w:lang w:val="ro-RO" w:eastAsia="en-GB"/>
          <w14:ligatures w14:val="none"/>
        </w:rPr>
        <w:t xml:space="preserve">prin lichidator judiciar </w:t>
      </w:r>
      <w:r>
        <w:rPr>
          <w:rFonts w:ascii="Times New Roman" w:eastAsia="Times New Roman" w:hAnsi="Times New Roman" w:cs="Times New Roman"/>
          <w:kern w:val="0"/>
          <w:szCs w:val="20"/>
          <w:lang w:val="ro-RO" w:eastAsia="en-GB"/>
          <w14:ligatures w14:val="none"/>
        </w:rPr>
        <w:t>B</w:t>
      </w:r>
      <w:r w:rsidRPr="0041635F">
        <w:rPr>
          <w:rFonts w:ascii="Times New Roman" w:eastAsia="Times New Roman" w:hAnsi="Times New Roman" w:cs="Times New Roman"/>
          <w:b/>
          <w:kern w:val="0"/>
          <w:szCs w:val="20"/>
          <w:lang w:val="ro-RO" w:eastAsia="en-GB"/>
          <w14:ligatures w14:val="none"/>
        </w:rPr>
        <w:t xml:space="preserve"> S.P.R.L., cu sediul în </w:t>
      </w:r>
      <w:r>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w:t>
      </w:r>
      <w:r w:rsidRPr="0041635F">
        <w:rPr>
          <w:rFonts w:ascii="Times New Roman" w:eastAsia="Times New Roman" w:hAnsi="Times New Roman" w:cs="Times New Roman"/>
          <w:kern w:val="0"/>
          <w:szCs w:val="20"/>
          <w:lang w:val="ro-RO" w:eastAsia="en-GB"/>
          <w14:ligatures w14:val="none"/>
        </w:rPr>
        <w:t>în contradictoriu cu pârâţii</w:t>
      </w:r>
      <w:r w:rsidRPr="0041635F">
        <w:rPr>
          <w:rFonts w:ascii="Times New Roman" w:eastAsia="Times New Roman" w:hAnsi="Times New Roman" w:cs="Times New Roman"/>
          <w:b/>
          <w:kern w:val="0"/>
          <w:szCs w:val="20"/>
          <w:lang w:val="ro-RO" w:eastAsia="en-GB"/>
          <w14:ligatures w14:val="none"/>
        </w:rPr>
        <w:t xml:space="preserve"> Guvernul României, cu sediul în </w:t>
      </w:r>
      <w:r>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Ministerul Educaţiei, cu sediul în </w:t>
      </w:r>
      <w:r>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şi Ministerul Finanţelor Publice, cu sediul procesual ales la Administraţia Judeţeană a Finanţelor Publice M</w:t>
      </w:r>
      <w:r>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din </w:t>
      </w:r>
      <w:r>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i/>
          <w:kern w:val="0"/>
          <w:szCs w:val="20"/>
          <w:lang w:val="ro-RO" w:eastAsia="en-GB"/>
          <w14:ligatures w14:val="none"/>
        </w:rPr>
        <w:t>.</w:t>
      </w:r>
    </w:p>
    <w:p w14:paraId="1A69698C"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lipsa părţilor.</w:t>
      </w:r>
    </w:p>
    <w:p w14:paraId="5902EADD" w14:textId="16D9CA8A"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Mersul dezbaterilor şi susţinerile părţilor pe fond au fost consemnate în cuprinsul Încheierii de şedinţă pronunţată la data de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încheiere care face parte integrantă din prezenta hotărâre judecătorească, când s-a dispus amânarea pronunţării în cauză pentru data de azi,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5FF8F34E"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6C9ADB10" w14:textId="77777777"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CURTEA DE APEL,</w:t>
      </w:r>
    </w:p>
    <w:p w14:paraId="0BD2EBF4"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35B29BED"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Asupra cauzei de faţă constată următoarele:</w:t>
      </w:r>
    </w:p>
    <w:p w14:paraId="201493FD" w14:textId="5ADE8019"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Prin cererea de chemare în judecată formulată de reclamanta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prin lichidator judiciar </w:t>
      </w:r>
      <w:r>
        <w:rPr>
          <w:rFonts w:ascii="Times New Roman" w:eastAsia="Times New Roman" w:hAnsi="Times New Roman" w:cs="Times New Roman"/>
          <w:kern w:val="0"/>
          <w:sz w:val="24"/>
          <w:szCs w:val="20"/>
          <w:lang w:val="ro-RO" w:eastAsia="en-GB"/>
          <w14:ligatures w14:val="none"/>
        </w:rPr>
        <w:t>B</w:t>
      </w:r>
      <w:r w:rsidRPr="0041635F">
        <w:rPr>
          <w:rFonts w:ascii="Times New Roman" w:eastAsia="Times New Roman" w:hAnsi="Times New Roman" w:cs="Times New Roman"/>
          <w:kern w:val="0"/>
          <w:sz w:val="24"/>
          <w:szCs w:val="20"/>
          <w:lang w:val="ro-RO" w:eastAsia="en-GB"/>
          <w14:ligatures w14:val="none"/>
        </w:rPr>
        <w:t xml:space="preserve"> SPRL, s-a solicitat ca prin hotărârea ce se va pronunţa în contradictoriu cu pârâţii Guvernul României, Ministerul Educaţiei şi Cercetării şi Ministerul Finanţelor Publice, să se dispună:</w:t>
      </w:r>
    </w:p>
    <w:p w14:paraId="507E0FED" w14:textId="6F3A351F"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1. obligarea Guvernului României la emiterea unei Hotărâri de Guvern având ca obiect alocarea de la bugetul consolidat al statului, prin intermediul Ministerului Educaţiei şi Cercetării şi al instituţiilor publice competente din subordinea acestui minister, către bugetul local al oraşului R</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fondurilor necesare achitării de către Liceul </w:t>
      </w:r>
      <w:r>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a penalităţilor de întârziere în cuantum de 1.779.688,60 lei, datorate de către unitatea de învățământ preuniversitar în baza Deciziei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Apel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rămasă definitivă prin Decizia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Înaltei Curţi de Casaţie şi Justiţie;</w:t>
      </w:r>
    </w:p>
    <w:p w14:paraId="0F35C7B9" w14:textId="59A42DF6"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2. obligarea Ministerului Educaţiei şi Cercetării, în calitate de ordonator principal de credite, la transferarea din bugetul Ministerului în bugetul local al oraşului R</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prin intermediul Inspectoratului Şcolar Judeţean B</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sumei de 1.779.688,60 lei cu titlu de penalităţi de întârziere, în vederea achitării acestor penalităţi de întârziere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w:t>
      </w:r>
    </w:p>
    <w:p w14:paraId="1D3BC8C5" w14:textId="477D6D34"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3. obligarea Ministerului Finanţelor Publice de a include în bugetul consolidat al statului suma de 1.779.688,60 lei cu titlu de penalităţi de întârziere, datorate de către Liceul </w:t>
      </w:r>
      <w:r>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baza Deciziei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Apei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rămasă definitivă prin Decizia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Înaltei Curţi de Casație și Justiție.</w:t>
      </w:r>
    </w:p>
    <w:p w14:paraId="1991E8C3" w14:textId="6586BD12"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lastRenderedPageBreak/>
        <w:t xml:space="preserve">Cu privire la situația de fapt, reclamanta a arătat că prin HG nr. 454/2007, la data de 14 noiembrie 2007, a fost încheiat Contractul de lucrări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între Grupul Şcolar Industrial „</w:t>
      </w:r>
      <w:r>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 având calitatea de achizitor - pe de o parte, şi </w:t>
      </w:r>
      <w:r>
        <w:rPr>
          <w:rFonts w:ascii="Times New Roman" w:eastAsia="Times New Roman" w:hAnsi="Times New Roman" w:cs="Times New Roman"/>
          <w:kern w:val="0"/>
          <w:sz w:val="24"/>
          <w:szCs w:val="20"/>
          <w:lang w:val="ro-RO" w:eastAsia="en-GB"/>
          <w14:ligatures w14:val="none"/>
        </w:rPr>
        <w:t>D</w:t>
      </w:r>
      <w:r w:rsidRPr="0041635F">
        <w:rPr>
          <w:rFonts w:ascii="Times New Roman" w:eastAsia="Times New Roman" w:hAnsi="Times New Roman" w:cs="Times New Roman"/>
          <w:kern w:val="0"/>
          <w:sz w:val="24"/>
          <w:szCs w:val="20"/>
          <w:lang w:val="ro-RO" w:eastAsia="en-GB"/>
          <w14:ligatures w14:val="none"/>
        </w:rPr>
        <w:t xml:space="preserve"> SRL,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şi </w:t>
      </w:r>
      <w:r>
        <w:rPr>
          <w:rFonts w:ascii="Times New Roman" w:eastAsia="Times New Roman" w:hAnsi="Times New Roman" w:cs="Times New Roman"/>
          <w:kern w:val="0"/>
          <w:sz w:val="24"/>
          <w:szCs w:val="20"/>
          <w:lang w:val="ro-RO" w:eastAsia="en-GB"/>
          <w14:ligatures w14:val="none"/>
        </w:rPr>
        <w:t>E</w:t>
      </w:r>
      <w:r w:rsidRPr="0041635F">
        <w:rPr>
          <w:rFonts w:ascii="Times New Roman" w:eastAsia="Times New Roman" w:hAnsi="Times New Roman" w:cs="Times New Roman"/>
          <w:kern w:val="0"/>
          <w:sz w:val="24"/>
          <w:szCs w:val="20"/>
          <w:lang w:val="ro-RO" w:eastAsia="en-GB"/>
          <w14:ligatures w14:val="none"/>
        </w:rPr>
        <w:t xml:space="preserve"> SRL - având calitatea de executanți - pe de altă parte. Ca urmare a reorganizării unităţilor școlare, Liceul „</w:t>
      </w:r>
      <w:r>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este succesorul în drepturi al Grupului Şcolar Industrial.</w:t>
      </w:r>
    </w:p>
    <w:p w14:paraId="0D9B475A" w14:textId="282D9C7D"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Ulterior, părţile contractante au încheiat mai multe acte adiționale la Contractul de lucrări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14 noiembrie 2007 privitoare la prelungirea termenului de execuţie.</w:t>
      </w:r>
    </w:p>
    <w:p w14:paraId="190CF840" w14:textId="6256F6E6"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Executanții s-au asociat prin Acordul de asociere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02 noiembrie 2007 pentru executarea lucrării „înființarea şi modernizarea unei școli de arte şi meserii", în acord cu prevederile OG nr. 34/2013 privind contractul de achiziții publice, fiind vorba despre un drept recunoscut de dispoziţiile art. 44 alin. 1 din OUG nr. 34/2006.</w:t>
      </w:r>
    </w:p>
    <w:p w14:paraId="219C7DB4" w14:textId="41EC5168"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Pretenţiile deduse judecăţii privesc lucrări efectuate doar de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care este parte contractantă.</w:t>
      </w:r>
    </w:p>
    <w:p w14:paraId="0B8F1CB0"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executarea contractului, în anul 2009 nu s-au mai alocat sume de la bugetul de stat pentru continuarea lucrărilor şi nici pentru achitarea celor deja finalizate. O dovadă în acest sens o reprezintă faptul că, prin HG nr. 655/2009, nu au fost alocate de la bugetul de stat sumele necesare pentru finalizarea lucrărilor.</w:t>
      </w:r>
    </w:p>
    <w:p w14:paraId="0C4C4B8E" w14:textId="568D54F3"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octombrie 2009 achizitorul a solicitat sistarea lucrărilor, iar ținând cont de această situaţie, diferenţa de producție nerealizată pe anul 2010 de 8.000.000 lei a condus la nerealizarea profitului de 6% aferent, reprezentând 480.000,00 lei. Aceste pierderi, pe lângă pierderile cu organizarea de șantier, cu achiziții de utilaje, cu materiale deteriorate, etc. au determinat intrarea societăţii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procedura insolvenţei reglementată de Legea nr. 85/2006 la data de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dosarul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Specializat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iar la data de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Tribunalul Specializat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dispus intrarea societăţii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procedura generală a falimentului.</w:t>
      </w:r>
    </w:p>
    <w:p w14:paraId="65FB423A" w14:textId="0C8956CB"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continuare, reclamanta a expus parcursul dosarului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ce a avut ca obiect obligația de plată în solidar a sumei de 990.507,45 lei, reprezentând contravaloarea Facturilor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13 octombrie 2008 şi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17 aprilie 2009, neachitate de către intimatul Liceul „</w:t>
      </w:r>
      <w:r>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pentru lucrările executate de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baza Contractului de execuţie lucrări nr. </w:t>
      </w:r>
      <w:r>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14 noiembrie 2007, a penalităților de întârziere calculate la nivelul debitului principal până la data achitării acestuia, la plata în solidar a daunelor materiale în valoare de 406.126,49 lei şi a daunelor-interese compensatorii în cuantum de 480.000,00 lei.</w:t>
      </w:r>
    </w:p>
    <w:p w14:paraId="73289B63" w14:textId="6B91DF3E" w:rsidR="0041635F" w:rsidRPr="0041635F" w:rsidRDefault="0041635F" w:rsidP="0041635F">
      <w:pPr>
        <w:spacing w:after="0" w:line="240" w:lineRule="auto"/>
        <w:ind w:firstLine="708"/>
        <w:jc w:val="both"/>
        <w:rPr>
          <w:rFonts w:ascii="Times New Roman" w:eastAsia="Times New Roman" w:hAnsi="Times New Roman" w:cs="Times New Roman"/>
          <w:kern w:val="0"/>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Astfel, </w:t>
      </w:r>
      <w:r w:rsidRPr="0041635F">
        <w:rPr>
          <w:rFonts w:ascii="Times New Roman" w:eastAsia="Times New Roman" w:hAnsi="Times New Roman" w:cs="Times New Roman"/>
          <w:kern w:val="0"/>
          <w:szCs w:val="20"/>
          <w:lang w:val="ro-RO" w:eastAsia="en-GB"/>
          <w14:ligatures w14:val="none"/>
        </w:rPr>
        <w:t xml:space="preserve">prin cererea de chemare în judecată ce a format obiectul dosarului nr.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al Tribunalului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a solicitat obligarea în solidar a intimaților Liceul „</w:t>
      </w:r>
      <w:r>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R</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Inspectoratul Şcolar al Judeţului B</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şi Orașul R</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prin primar, la plata sumei de 990.507,45 lei, reprezentând contravaloarea Facturilor nr.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13 octombrie 2008 şi nr.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17 aprilie 2009, neachitate de către intimatul Liceul „</w:t>
      </w:r>
      <w:r>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R</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pentru lucrările executate de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în baza Contractului de execuția lucrării nr. </w:t>
      </w:r>
      <w:r>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14 noiembrie 2007, penalităţilor de întârziere, daune materiale în valoare de 406.126,49 lei şi a daune-interese compensatorii în cuantum de 480.000,00 lei.</w:t>
      </w:r>
    </w:p>
    <w:p w14:paraId="77DE0984" w14:textId="3F10450E" w:rsidR="0041635F" w:rsidRPr="0041635F" w:rsidRDefault="0041635F" w:rsidP="0041635F">
      <w:pPr>
        <w:spacing w:after="0" w:line="240" w:lineRule="auto"/>
        <w:ind w:firstLine="708"/>
        <w:jc w:val="both"/>
        <w:rPr>
          <w:rFonts w:ascii="Times New Roman" w:eastAsia="Times New Roman" w:hAnsi="Times New Roman" w:cs="Times New Roman"/>
          <w:kern w:val="0"/>
          <w:szCs w:val="20"/>
          <w:lang w:val="ro-RO" w:eastAsia="en-GB"/>
          <w14:ligatures w14:val="none"/>
        </w:rPr>
      </w:pPr>
      <w:r w:rsidRPr="0041635F">
        <w:rPr>
          <w:rFonts w:ascii="Times New Roman" w:eastAsia="Times New Roman" w:hAnsi="Times New Roman" w:cs="Times New Roman"/>
          <w:kern w:val="0"/>
          <w:szCs w:val="20"/>
          <w:lang w:val="ro-RO" w:eastAsia="en-GB"/>
          <w14:ligatures w14:val="none"/>
        </w:rPr>
        <w:t xml:space="preserve">Prin Sentinţa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pronunţată în dosarul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al Tribunalului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instanţa a admis în parte acţiunea promovată de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în sensul în care a obligat intimatul Liceul „</w:t>
      </w:r>
      <w:r>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R</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să plătească suma de 990.507,45 lei cu titlu de contravaloare facturi, suma de 816.915,36 lei cu titlu de penalităţi calculate până la data de 12 aprilie 2011 şi în continuare 0,1% cu titlu de penalităţi calculate la debitul principal până la data achitării integrale.</w:t>
      </w:r>
    </w:p>
    <w:p w14:paraId="1C20042B" w14:textId="33B119AD" w:rsidR="0041635F" w:rsidRPr="0041635F" w:rsidRDefault="0041635F" w:rsidP="0041635F">
      <w:pPr>
        <w:spacing w:after="0" w:line="240" w:lineRule="auto"/>
        <w:ind w:firstLine="708"/>
        <w:jc w:val="both"/>
        <w:rPr>
          <w:rFonts w:ascii="Times New Roman" w:eastAsia="Times New Roman" w:hAnsi="Times New Roman" w:cs="Times New Roman"/>
          <w:kern w:val="0"/>
          <w:szCs w:val="20"/>
          <w:lang w:val="ro-RO" w:eastAsia="en-GB"/>
          <w14:ligatures w14:val="none"/>
        </w:rPr>
      </w:pPr>
      <w:r w:rsidRPr="0041635F">
        <w:rPr>
          <w:rFonts w:ascii="Times New Roman" w:eastAsia="Times New Roman" w:hAnsi="Times New Roman" w:cs="Times New Roman"/>
          <w:kern w:val="0"/>
          <w:szCs w:val="20"/>
          <w:lang w:val="ro-RO" w:eastAsia="en-GB"/>
          <w14:ligatures w14:val="none"/>
        </w:rPr>
        <w:t xml:space="preserve">Împotriva acestei sentințe, societatea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a formulat apel, iar prin Decizia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pronunţată în dosarul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al Curţii de Apel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instanţa a admis, în parte, apelul formulat și a dispus obligarea intimaților Liceul „</w:t>
      </w:r>
      <w:r>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R</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şi Orașul R</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prin primar, să plătească suma de 990.507,45 lei cu titlu de contravaloare facturi şi suma de 288,630 lei cu titlu de penalităţi calculate până la data de 12 aprilie 2011 şi în continuare penalităţi în cuantum de 0,1% </w:t>
      </w:r>
      <w:r w:rsidRPr="0041635F">
        <w:rPr>
          <w:rFonts w:ascii="Times New Roman" w:eastAsia="Times New Roman" w:hAnsi="Times New Roman" w:cs="Times New Roman"/>
          <w:kern w:val="0"/>
          <w:sz w:val="20"/>
          <w:szCs w:val="20"/>
          <w:lang w:val="ro-RO" w:eastAsia="en-GB"/>
          <w14:ligatures w14:val="none"/>
        </w:rPr>
        <w:t xml:space="preserve">calculate la debitul </w:t>
      </w:r>
      <w:r w:rsidRPr="0041635F">
        <w:rPr>
          <w:rFonts w:ascii="Times New Roman" w:eastAsia="Times New Roman" w:hAnsi="Times New Roman" w:cs="Times New Roman"/>
          <w:kern w:val="0"/>
          <w:szCs w:val="20"/>
          <w:lang w:val="ro-RO" w:eastAsia="en-GB"/>
          <w14:ligatures w14:val="none"/>
        </w:rPr>
        <w:t>principal până la data achitării integrale.</w:t>
      </w:r>
    </w:p>
    <w:p w14:paraId="134C98CD" w14:textId="678D5815" w:rsidR="0041635F" w:rsidRPr="0041635F" w:rsidRDefault="0041635F" w:rsidP="0041635F">
      <w:pPr>
        <w:spacing w:after="0" w:line="240" w:lineRule="auto"/>
        <w:ind w:firstLine="708"/>
        <w:jc w:val="both"/>
        <w:rPr>
          <w:rFonts w:ascii="Times New Roman" w:eastAsia="Times New Roman" w:hAnsi="Times New Roman" w:cs="Times New Roman"/>
          <w:kern w:val="0"/>
          <w:szCs w:val="20"/>
          <w:lang w:val="ro-RO" w:eastAsia="en-GB"/>
          <w14:ligatures w14:val="none"/>
        </w:rPr>
      </w:pPr>
      <w:r w:rsidRPr="0041635F">
        <w:rPr>
          <w:rFonts w:ascii="Times New Roman" w:eastAsia="Times New Roman" w:hAnsi="Times New Roman" w:cs="Times New Roman"/>
          <w:kern w:val="0"/>
          <w:szCs w:val="20"/>
          <w:lang w:val="ro-RO" w:eastAsia="en-GB"/>
          <w14:ligatures w14:val="none"/>
        </w:rPr>
        <w:lastRenderedPageBreak/>
        <w:t xml:space="preserve">Împotriva acestei decizii, au formulat recurs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Orașul R</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prin primar şi Liceul „</w:t>
      </w:r>
      <w:r w:rsidR="00B25657">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R</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iar prin Decizia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ÎCCJ a admis recursurile formulate și a casat hotărârea cu trimiterea cauzei spre rejudecare către instanţa de apel.</w:t>
      </w:r>
    </w:p>
    <w:p w14:paraId="7C8EA645" w14:textId="65D33BEA" w:rsidR="0041635F" w:rsidRPr="0041635F" w:rsidRDefault="0041635F" w:rsidP="0041635F">
      <w:pPr>
        <w:spacing w:after="0" w:line="240" w:lineRule="auto"/>
        <w:ind w:firstLine="708"/>
        <w:jc w:val="both"/>
        <w:rPr>
          <w:rFonts w:ascii="Times New Roman" w:eastAsia="Times New Roman" w:hAnsi="Times New Roman" w:cs="Times New Roman"/>
          <w:kern w:val="0"/>
          <w:szCs w:val="20"/>
          <w:lang w:val="ro-RO" w:eastAsia="en-GB"/>
          <w14:ligatures w14:val="none"/>
        </w:rPr>
      </w:pPr>
      <w:r w:rsidRPr="0041635F">
        <w:rPr>
          <w:rFonts w:ascii="Times New Roman" w:eastAsia="Times New Roman" w:hAnsi="Times New Roman" w:cs="Times New Roman"/>
          <w:kern w:val="0"/>
          <w:szCs w:val="20"/>
          <w:lang w:val="ro-RO" w:eastAsia="en-GB"/>
          <w14:ligatures w14:val="none"/>
        </w:rPr>
        <w:t xml:space="preserve">În rejudecare, soluţionarea acţiunii introductive a format obiectul dosarului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al Curţii de Apel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iar prin Decizia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instanța a admis în parte apelul formulat şi, pe cale de consecinţă, a obligat Liceul ”</w:t>
      </w:r>
      <w:r>
        <w:rPr>
          <w:rFonts w:ascii="Times New Roman" w:eastAsia="Times New Roman" w:hAnsi="Times New Roman" w:cs="Times New Roman"/>
          <w:kern w:val="0"/>
          <w:szCs w:val="20"/>
          <w:lang w:val="ro-RO" w:eastAsia="en-GB"/>
          <w14:ligatures w14:val="none"/>
        </w:rPr>
        <w:t>C</w:t>
      </w:r>
      <w:r w:rsidRPr="0041635F">
        <w:rPr>
          <w:rFonts w:ascii="Times New Roman" w:eastAsia="Times New Roman" w:hAnsi="Times New Roman" w:cs="Times New Roman"/>
          <w:kern w:val="0"/>
          <w:szCs w:val="20"/>
          <w:lang w:val="ro-RO" w:eastAsia="en-GB"/>
          <w14:ligatures w14:val="none"/>
        </w:rPr>
        <w:t>” la plata sumei de 1.779.688,60 lei, reprezentând penalităţi de întârziere până la data de 10 decembrie 2013, data stingerii debitului principal.</w:t>
      </w:r>
    </w:p>
    <w:p w14:paraId="078D8EF2" w14:textId="3A53CD50"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Cs w:val="20"/>
          <w:lang w:val="ro-RO" w:eastAsia="en-GB"/>
          <w14:ligatures w14:val="none"/>
        </w:rPr>
        <w:t xml:space="preserve">Împotriva acestei decizii,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a formulat recurs, care a constituit obiectul dosarului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al ÎCCJ, iar prin Decizia nr.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din </w:t>
      </w:r>
      <w:r w:rsidR="00B25657">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instanţa supremă a respins recursul formulat, hotărârea a rămas astfel definitivă.</w:t>
      </w:r>
    </w:p>
    <w:p w14:paraId="5CB1805A" w14:textId="64D629E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vederea recuperării prejudiciului stabilit în mod definitiv de către instanțele de judecată în dosarul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a formulat cererea de executare silită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28 ianuarie 2013, prin care a solicitat BEJ </w:t>
      </w:r>
      <w:r w:rsidR="00B25657">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ca, în temeiul Sentinţei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modificată în parte prin Decizia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Apel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să procedeze la executarea silită a debitorilor, Centrul Bugetar R</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şi Oraşul R</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2095DD81" w14:textId="61777285" w:rsidR="0041635F" w:rsidRPr="0041635F" w:rsidRDefault="0041635F" w:rsidP="0041635F">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Cererea de executare silită a fost înregistrată în dosarul execuţional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BEJ </w:t>
      </w:r>
      <w:r w:rsidR="00B25657">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(în prezent dosarul nr. </w:t>
      </w:r>
      <w:r w:rsidR="00B25657">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SOCIETĂŢII CIVILE PROFESIONALE A EXECUTORILOR JUDECĂTOREŞTI </w:t>
      </w:r>
      <w:r w:rsidR="00B25657">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ŞI </w:t>
      </w:r>
      <w:r w:rsidR="00B25657">
        <w:rPr>
          <w:rFonts w:ascii="Times New Roman" w:eastAsia="Times New Roman" w:hAnsi="Times New Roman" w:cs="Times New Roman"/>
          <w:kern w:val="0"/>
          <w:sz w:val="24"/>
          <w:szCs w:val="20"/>
          <w:lang w:val="ro-RO" w:eastAsia="en-GB"/>
          <w14:ligatures w14:val="none"/>
        </w:rPr>
        <w:t>G</w:t>
      </w:r>
      <w:r w:rsidRPr="0041635F">
        <w:rPr>
          <w:rFonts w:ascii="Times New Roman" w:eastAsia="Times New Roman" w:hAnsi="Times New Roman" w:cs="Times New Roman"/>
          <w:kern w:val="0"/>
          <w:sz w:val="24"/>
          <w:szCs w:val="20"/>
          <w:lang w:val="ro-RO" w:eastAsia="en-GB"/>
          <w14:ligatures w14:val="none"/>
        </w:rPr>
        <w:t>), sumele nefiind recuperate în ciuda demersurilor efectuate.</w:t>
      </w:r>
    </w:p>
    <w:p w14:paraId="305F6B6A" w14:textId="54278A32"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Cu privire la admisibilitatea acţiunii, conform prevederilor art. 7 din Legea nr. 554/2004, reclamanta a arătat că în data de 10 august 2020, lichidatorul judiciar al debitoarei a transmis prin poştă, cu confirmare de primire şi conţinut declarat, Cererea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către GUVERNUL ROMÂNIEI, MINISTERUL EDUCAŢIEI ŞI CERCETĂRII și MINISTERUL FINANŢELOR PUBLICE, care au primit-o potrivit confirmărilor de primire.</w:t>
      </w:r>
    </w:p>
    <w:p w14:paraId="57A89B45" w14:textId="29CEFCC9"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Prin Cererea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10 august 2020, lichidatorul judiciar al debitoarei a formulat solicitat:</w:t>
      </w:r>
    </w:p>
    <w:p w14:paraId="7A599721" w14:textId="27B78C66"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1.emiterea de către Guvernului României a unei Hotărâri de Guvern având ca obiect alocarea de la bugetul consolidat al statului, prin intermediul Ministerului Educaţiei şi Cercetării şi al instituţiilor publice competente din subordinea acestui minister, către bugetul local al oraşului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fondurilor necesare achitării de către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a penalităţilor de întârziere în cuantum de 1,779.688,60 lei, datorate de către unitatea de învățământ preuniversitar în baza Deciziei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5A07D0DC" w14:textId="453319ED"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2. transferarea de către Ministerul Educaţiei şi Cercetării, în calitate de ordonator principal de credite, din bugetul Ministerului în bugetul local al oraşului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prin intermediul Inspectoratului Şcolar Judeţean B</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sumei de 1.779.688,60 lei cu titlu de penalităţi de întârziere, în vederea achitării acestor penalităţi de întârziere către societatea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w:t>
      </w:r>
    </w:p>
    <w:p w14:paraId="78E47C22"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3. includerea de către Ministerul Finanţelor Publice în bugetul consolidat al statului a sumei de 1.779.688,60 lei cu titlu de penalităţi de întârziere.</w:t>
      </w:r>
    </w:p>
    <w:p w14:paraId="707B19FD" w14:textId="7C94A2A8"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Aceste solicitări au fost formulate ținând cont de faptul că, debitorului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nu i-au fost alocate resursele financiare necesare în vederea acoperirii debitului stabilit în sarcina acestuia prin hotărârea judecătorească.</w:t>
      </w:r>
    </w:p>
    <w:p w14:paraId="3DA0DFA5"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Reclamanta a subliniat că până la data întocmirii acţiunii, lichidatorul judiciar al debitoarei nu a primit de la GUVERNUL ROMÂNIEI, MINISTERUL EDUCAŢIEI ŞI CERCETĂRII ori de la MINISTERUL FINANŢELOR PUBLICE vreun răspuns la solicitările formulate și a apreciat că devin incidente prevederile art. 2 alin. 1 lit. h raportat la art. 11 alin. 1 lit. c din Legea nr. 554/2004.</w:t>
      </w:r>
    </w:p>
    <w:p w14:paraId="5FB08399"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Cu privire la solicitarea de obligare a Guvernului la emiterea unei hotărâri prin care să aloce fondurile necesare achitării penalităţilor de întârziere la plată a facturilor emise pentru executarea lucrărilor de construcție, în cuantum de 1.779.688,60 lei, reclamanta a menționat </w:t>
      </w:r>
      <w:r w:rsidRPr="0041635F">
        <w:rPr>
          <w:rFonts w:ascii="Times New Roman" w:eastAsia="Times New Roman" w:hAnsi="Times New Roman" w:cs="Times New Roman"/>
          <w:kern w:val="0"/>
          <w:sz w:val="24"/>
          <w:szCs w:val="20"/>
          <w:lang w:val="ro-RO" w:eastAsia="en-GB"/>
          <w14:ligatures w14:val="none"/>
        </w:rPr>
        <w:lastRenderedPageBreak/>
        <w:t>că, deși Guvernul României nu este autoritate contractantă, trebuie avut în vedere faptul că situaţia premisă este reprezentată de emiterea tocmai de către Guvern a HG nr. 454/2007, care prevede la art. 3 că se aprobă „repartizarea sumei de 157.162 mii lei din transferuri din bugetul de stat către bugetele locale, prevăzute în bugetul Ministerului Educaţiei, Cercetării şi Tineretului pe anul 2007, pentru finanţarea unor obiective de investiţii, lucrări de consolidare, reabilitare şi dotările aferente pentru înființarea şi modernizarea unor școli de arte şi meserii".</w:t>
      </w:r>
    </w:p>
    <w:p w14:paraId="11B56970" w14:textId="7DC7A4FE"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Ca urmare a emiterii HG nr. 454/2007, în data de 12 iunie 2007 s-a încheiat un ”Protocol de colaborare"</w:t>
      </w:r>
      <w:r w:rsidRPr="0041635F">
        <w:rPr>
          <w:rFonts w:ascii="Times New Roman" w:eastAsia="Times New Roman" w:hAnsi="Times New Roman" w:cs="Times New Roman"/>
          <w:i/>
          <w:kern w:val="0"/>
          <w:sz w:val="24"/>
          <w:szCs w:val="20"/>
          <w:lang w:val="ro-RO" w:eastAsia="en-GB"/>
          <w14:ligatures w14:val="none"/>
        </w:rPr>
        <w:t xml:space="preserve"> </w:t>
      </w:r>
      <w:r w:rsidRPr="0041635F">
        <w:rPr>
          <w:rFonts w:ascii="Times New Roman" w:eastAsia="Times New Roman" w:hAnsi="Times New Roman" w:cs="Times New Roman"/>
          <w:kern w:val="0"/>
          <w:sz w:val="24"/>
          <w:szCs w:val="20"/>
          <w:lang w:val="ro-RO" w:eastAsia="en-GB"/>
          <w14:ligatures w14:val="none"/>
        </w:rPr>
        <w:t>între Ministerul Educaţiei Naţionale, prin Inspectoratul Şcolar Judeţean B</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şi Primăria oraşului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iar obiectul Protocolului a fost tocmai realizarea Școlii de Arte şi Meserii din orașul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779AB3E4"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La art. 4 pct. 1 se prevede că fondurile necesare realizării obiectivelor noi de investiţii, campusuri şcolare şi şcoli de arte şi meserii sunt transferate de la bugetul Ministerului Educaţiei şi Cercetării în bugetele locale, prin intermediul Inspectoratului Şcolar Judeţean, pe măsura executării lucrărilor şi sunt utilizate cu respectarea graficelor şi etapelor de elaborare a documentaţiilor tehnice necesare anexate.</w:t>
      </w:r>
    </w:p>
    <w:p w14:paraId="04F4399A"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Reclamanta a arătat că, Contractul de execuţie lucrări nr. 1331 din 14 noiembrie 2007 s-a încheiat în temeiul asumării de către Guvern a obligaţiei de a asigura de la bugetul consolidat al statului, a fondurilor necesare executării acestui contract și a citat prevederile art. 6 din HG nr. 925/2006 subliniind că sumele de finanțare erau identificate la data semnării contractului.</w:t>
      </w:r>
    </w:p>
    <w:p w14:paraId="28528185"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continuare, reclamanta a invocat dispozițiile Legii nr. 84 din 24 iulie 1995, Legea învățământului (în forma existentă în momentul încheierii şi derulării contractului) și Legii nr. 1/2011 și a menționat că sumele necesare investițiilor se alocă de la bugetul de stat.</w:t>
      </w:r>
    </w:p>
    <w:p w14:paraId="003F841E"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Potrivit art. 25 lit. d din OUG nr. 57/2019 privind Codul Administrativ, Guvernul este cel care ,,d) elaborează proiectele de lege a bugetului de stat şi a bugetului asigurărilor sociale de stat pe care le supune, separat, spre adoptare Parlamentului". </w:t>
      </w:r>
    </w:p>
    <w:p w14:paraId="1FBC1A3D"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Ulterior, Ministerul Finanţelor Publice alocă prin legea bugetului de stat</w:t>
      </w:r>
      <w:r w:rsidRPr="0041635F">
        <w:rPr>
          <w:rFonts w:ascii="Times New Roman" w:eastAsia="Times New Roman" w:hAnsi="Times New Roman" w:cs="Times New Roman"/>
          <w:i/>
          <w:kern w:val="0"/>
          <w:sz w:val="24"/>
          <w:szCs w:val="20"/>
          <w:lang w:val="ro-RO" w:eastAsia="en-GB"/>
          <w14:ligatures w14:val="none"/>
        </w:rPr>
        <w:t xml:space="preserve"> </w:t>
      </w:r>
      <w:r w:rsidRPr="0041635F">
        <w:rPr>
          <w:rFonts w:ascii="Times New Roman" w:eastAsia="Times New Roman" w:hAnsi="Times New Roman" w:cs="Times New Roman"/>
          <w:kern w:val="0"/>
          <w:sz w:val="24"/>
          <w:szCs w:val="20"/>
          <w:lang w:val="ro-RO" w:eastAsia="en-GB"/>
          <w14:ligatures w14:val="none"/>
        </w:rPr>
        <w:t>aceste fonduri de investiţii către Ministerul Educaţiei şi Cercetării, care, la rândul său, virează fondurile la Inspectoratele Școlare, care, la rândul lor, alocă banii fie direct instituţiilor de învățământ arondate, fondurile sunt alocate prin intermediul Primăriilor în raza cărora funcționează unitatea de învățământ.</w:t>
      </w:r>
    </w:p>
    <w:p w14:paraId="0E475781"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Pentru toate aceste motive, reclamanta a apreciat că Guvernul României are calitate procesuală pasivă în cauză, fiind absolut necesară emiterea unei Hotărâri de Guvern prin care să se deschidă posibilitatea achitării penalităţilor de întârziere la plata facturilor.</w:t>
      </w:r>
    </w:p>
    <w:p w14:paraId="61F49A59"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ce priveşte Ministerul Educaţiei şi Cercetării, reclamanta a citat prevederile art. 15 din HG nr. 24 din 16 ianuarie 2020 și a</w:t>
      </w:r>
      <w:r w:rsidRPr="0041635F">
        <w:rPr>
          <w:rFonts w:ascii="Times New Roman" w:eastAsia="Times New Roman" w:hAnsi="Times New Roman" w:cs="Times New Roman"/>
          <w:i/>
          <w:kern w:val="0"/>
          <w:sz w:val="24"/>
          <w:szCs w:val="20"/>
          <w:lang w:val="ro-RO" w:eastAsia="en-GB"/>
          <w14:ligatures w14:val="none"/>
        </w:rPr>
        <w:t xml:space="preserve"> </w:t>
      </w:r>
      <w:r w:rsidRPr="0041635F">
        <w:rPr>
          <w:rFonts w:ascii="Times New Roman" w:eastAsia="Times New Roman" w:hAnsi="Times New Roman" w:cs="Times New Roman"/>
          <w:kern w:val="0"/>
          <w:sz w:val="24"/>
          <w:szCs w:val="20"/>
          <w:lang w:val="ro-RO" w:eastAsia="en-GB"/>
          <w14:ligatures w14:val="none"/>
        </w:rPr>
        <w:t>menţionat că determinarea calităţii procesuale se face în raport de purtătorii drepturilor şi obligaţiilor care formează conţinutul raportului juridic dedus judecăţii.</w:t>
      </w:r>
    </w:p>
    <w:p w14:paraId="7FD221CB" w14:textId="5716AE0C"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Reclamanta a subliniat faptul că Ministerul Educaţiei şi Cercetării nu este parte contractantă în Contractul de execuţie lucrări nr.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și a citat statuările ÎCCJ dintr-o speță asemănătoare.</w:t>
      </w:r>
    </w:p>
    <w:p w14:paraId="3B67644E"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Reclamanta a considerat că nu se poate face abstracție de faptul că Ministerul Educaţiei şi Cercetării, prin art. 4 din Protocol, s-a obligat</w:t>
      </w:r>
      <w:r w:rsidRPr="0041635F">
        <w:rPr>
          <w:rFonts w:ascii="Times New Roman" w:eastAsia="Times New Roman" w:hAnsi="Times New Roman" w:cs="Times New Roman"/>
          <w:i/>
          <w:kern w:val="0"/>
          <w:sz w:val="24"/>
          <w:szCs w:val="20"/>
          <w:lang w:val="ro-RO" w:eastAsia="en-GB"/>
          <w14:ligatures w14:val="none"/>
        </w:rPr>
        <w:t xml:space="preserve"> </w:t>
      </w:r>
      <w:r w:rsidRPr="0041635F">
        <w:rPr>
          <w:rFonts w:ascii="Times New Roman" w:eastAsia="Times New Roman" w:hAnsi="Times New Roman" w:cs="Times New Roman"/>
          <w:kern w:val="0"/>
          <w:sz w:val="24"/>
          <w:szCs w:val="20"/>
          <w:lang w:val="ro-RO" w:eastAsia="en-GB"/>
          <w14:ligatures w14:val="none"/>
        </w:rPr>
        <w:t>să transfere de la bugetul său în bugetul local "fondurile necesare realizării obiectivelor noi de investiţii". De altfel, şi în Nota de fundamentare a Hotărârii de Guvern nr. 454/2007 este subliniată implicația acestuia.</w:t>
      </w:r>
    </w:p>
    <w:p w14:paraId="087FCC0C"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Cu privire la obligaţia Ministerului Finanţelor Publice de a prevedea în bugetul de stat alocarea sumei de 1.779.688,60 lei cu titlu de penalităţi de întârziere, în virtutea prevederilor Legii nr. 500/2002 privind finanțele publice, reclamanta a arătat că trebuie luat în considerare faptul că Ministerul Educaţiei Naţionale nu poate aloca sume care nu i-au fost iniţial aprobate de Ministerul Finanţelor Publice și a citat prevederile art. 21 și art. 19 din Legea nr. 500/2002 </w:t>
      </w:r>
      <w:r w:rsidRPr="0041635F">
        <w:rPr>
          <w:rFonts w:ascii="Times New Roman" w:eastAsia="Times New Roman" w:hAnsi="Times New Roman" w:cs="Times New Roman"/>
          <w:kern w:val="0"/>
          <w:sz w:val="24"/>
          <w:szCs w:val="20"/>
          <w:lang w:val="ro-RO" w:eastAsia="en-GB"/>
          <w14:ligatures w14:val="none"/>
        </w:rPr>
        <w:lastRenderedPageBreak/>
        <w:t>și art. 3 alin. 1 din HG nr. 34/2009 privind organizarea şi funcţionarea Ministerului Finanţelor Publice.</w:t>
      </w:r>
    </w:p>
    <w:p w14:paraId="29C39551"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drept, reclamanta a invocat prevederile art. 14 din Legea nr. 554/2004, cu modificările ulterioare, art. 19 şi art. 21 din Legea nr. 500/2002, cu modificările ulterioare, art. 25 din OUG nr. 57/2019, art. 15 din HG nr. 24/2020, art. 3 şi următoarele din HG nr. 34/2009.</w:t>
      </w:r>
    </w:p>
    <w:p w14:paraId="4F441DAA" w14:textId="0DE1FB9B" w:rsidR="0041635F" w:rsidRPr="0041635F" w:rsidRDefault="0041635F" w:rsidP="0041635F">
      <w:pPr>
        <w:spacing w:after="0" w:line="240" w:lineRule="auto"/>
        <w:ind w:firstLine="851"/>
        <w:jc w:val="both"/>
        <w:rPr>
          <w:rFonts w:ascii="Arial" w:eastAsia="Times New Roman" w:hAnsi="Arial" w:cs="Times New Roman"/>
          <w:kern w:val="0"/>
          <w:sz w:val="26"/>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Pârâtul MINISTERUL FINANȚELOR, prin AJFM M</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formulat întâmpinare la cererea de chemare în judecată prin care a invocat </w:t>
      </w:r>
      <w:r w:rsidRPr="0041635F">
        <w:rPr>
          <w:rFonts w:ascii="Arial" w:eastAsia="Times New Roman" w:hAnsi="Arial" w:cs="Arial"/>
          <w:b/>
          <w:kern w:val="0"/>
          <w:sz w:val="26"/>
          <w:szCs w:val="20"/>
          <w:lang w:val="ro-RO" w:eastAsia="en-GB"/>
          <w14:ligatures w14:val="none"/>
        </w:rPr>
        <w:t>excepţia lipsei calităţii procesuale pasive a MINISTERULUI FINANŢELOR.</w:t>
      </w:r>
    </w:p>
    <w:p w14:paraId="0332E96A"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Pârâtul MINISTERUL EDUCAȚIEI a formulat întâmpinare la cererea de chemare în judecată prin care a invocat, pe cale de excepție, excepția tardivității, excepția inadmisibilității și excepția lipsei calității procesuale pasive, iar pe fond, a solicitat respingerea cererii ca neîntemeiată.</w:t>
      </w:r>
    </w:p>
    <w:p w14:paraId="53313523"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susţinerea întâmpinării, pârâtul a arătat că pârâtele au fost somate în vederea asigurării fondurilor necesare pentru punerea în executare a titlului executoriu pronunţat de o instanţă judecătorească cu mult după împlinirea termenului de prescripţie de trei ani, prevăzut de lege. </w:t>
      </w:r>
    </w:p>
    <w:p w14:paraId="21D07150" w14:textId="77777777" w:rsidR="0041635F" w:rsidRPr="0041635F" w:rsidRDefault="0041635F" w:rsidP="0041635F">
      <w:pPr>
        <w:spacing w:after="0" w:line="240" w:lineRule="auto"/>
        <w:ind w:firstLine="851"/>
        <w:jc w:val="both"/>
        <w:rPr>
          <w:rFonts w:ascii="Palatino Linotype" w:eastAsia="Times New Roman" w:hAnsi="Palatino Linotype" w:cs="Times New Roman"/>
          <w:kern w:val="0"/>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susținerea excepției inadmisibilității, intimatul a citat dispozițiile art. 4 alin. 3 din Legea nr. 24/2000 și art. 108 alin. 2 din Constituția României și statuările ÎCCJ și a arătat că legalitatea unui act administrativ se </w:t>
      </w:r>
      <w:r w:rsidRPr="0041635F">
        <w:rPr>
          <w:rFonts w:ascii="Palatino Linotype" w:eastAsia="Times New Roman" w:hAnsi="Palatino Linotype" w:cs="Times New Roman"/>
          <w:kern w:val="0"/>
          <w:szCs w:val="20"/>
          <w:lang w:val="ro-RO" w:eastAsia="en-GB"/>
          <w14:ligatures w14:val="none"/>
        </w:rPr>
        <w:t>raportează iniţial la respectarea temeiului de drept în baza căruia a fost emis şi, ulterior, se raportează la necesitatea respectării tuturor elementelor de fapt, a pașilor procedurali care trebuie urmați şi la încadrarea situaţiei juridice/raporturilor juridice existente în mod real în ipoteza normei abstracte, dar a cărei executare se realizează în concret, iar singurul în măsură să aprecieze</w:t>
      </w:r>
      <w:r w:rsidRPr="0041635F">
        <w:rPr>
          <w:rFonts w:ascii="Times New Roman" w:eastAsia="Times New Roman" w:hAnsi="Times New Roman" w:cs="Times New Roman"/>
          <w:kern w:val="0"/>
          <w:sz w:val="24"/>
          <w:szCs w:val="20"/>
          <w:lang w:val="ro-RO" w:eastAsia="en-GB"/>
          <w14:ligatures w14:val="none"/>
        </w:rPr>
        <w:t xml:space="preserve"> </w:t>
      </w:r>
      <w:r w:rsidRPr="0041635F">
        <w:rPr>
          <w:rFonts w:ascii="Palatino Linotype" w:eastAsia="Times New Roman" w:hAnsi="Palatino Linotype" w:cs="Times New Roman"/>
          <w:kern w:val="0"/>
          <w:szCs w:val="20"/>
          <w:lang w:val="ro-RO" w:eastAsia="en-GB"/>
          <w14:ligatures w14:val="none"/>
        </w:rPr>
        <w:t>oportunitatea, necesitatea şi posibilitatea concretă de realizare a alocării de fonduri este GUVERNUL ROMÂNIEI.</w:t>
      </w:r>
    </w:p>
    <w:p w14:paraId="5497BC43"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drept, intimatul a invocat dispozițiile art. 205, art. 2500 Cod civil, Legii nr. 500/2002 privind finanțele publice, Legii învățământului nr. 84/1995, Legii nr. 273/2006, art. 223 Cod procedură civilă.</w:t>
      </w:r>
    </w:p>
    <w:p w14:paraId="5C1E4B00"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Pârâtul GUVERNUL ROMÂNIEI a formulat întâmpinare la cererea de chemare în judecată și a solicitat, pe cale de excepție, anularea cererii ca netimbrată, respingerea acţiunii ca fiind inadmisibilă, respingerea acţiunii ca fiind formulată de o persoană fără calitate procesuală activă, respingerea cererii ca fiind prescrisă, pe fond, respingerea acţiunii ca neîntemeiată.</w:t>
      </w:r>
    </w:p>
    <w:p w14:paraId="11303816"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susținerea excepției inadmisibilității, în raport cu obiectul cererii, pârâtul a arătat că reclamanta nu a primit vreun răspuns din partea autorităţilor sesizate.</w:t>
      </w:r>
    </w:p>
    <w:p w14:paraId="01E46BDA"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Pârâtul a menționat că o primă perspectivă a inadmisibilităţii cererii de chemare în judecată prin care se solicită a se examina existenţa unui pretins refuz nejustificat este dată tocmai de lipsa oricărui răspuns din partea autorităţii sesizate, în sensul prevăzut de art. 2 alin. l lit. h şi alin. 2 din Legea nr. 554/2004, cu modificările şi completările ulterioare, fapt ce ar fi condus la vătămarea dreptului reclamantei care să poată fi supusă cenzurii instanţei.</w:t>
      </w:r>
    </w:p>
    <w:p w14:paraId="330A4517"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Distinct de aspectele menţionate, dar tot în susţinerea inadmisibilităţii cererii, în virtutea art. 126 și art. 138 alin. 2 din Constituția României, art. 25 lit. d din OUG nr. 57/2019 privind Codul administrativ, art. 5, art. 17, art. 18 alin. 2 lit. b din Legea nr. 500/2002 privind Finanțele publice, pârâtul a subliniat că elaborarea proiectului de buget constituie apanajul exclusiv al GUVERNULUI ROMÂNIEI, nesupus cenzurii/analizei în vreun fel instanțelor de judecată, nici în mod direct, nici indirect prin obligarea la includerea în buget a anumitor sume pretinse datorate de terți sau obligarea la rectificarea în sensul includerii unor sume.</w:t>
      </w:r>
    </w:p>
    <w:p w14:paraId="2C09545B"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De asemenea, pârâtul a menționat că prin acţiunea dedusă judecăţii nu se solicită emiterea unui act administrativ, astfel cum este definit acesta la art. 2 lit. c din Legea nr. 554/2004, ci a unui act normativ cu putere de lege. Exercitarea inițiativei legislative a </w:t>
      </w:r>
      <w:r w:rsidRPr="0041635F">
        <w:rPr>
          <w:rFonts w:ascii="Times New Roman" w:eastAsia="Times New Roman" w:hAnsi="Times New Roman" w:cs="Times New Roman"/>
          <w:kern w:val="0"/>
          <w:sz w:val="24"/>
          <w:szCs w:val="20"/>
          <w:lang w:val="ro-RO" w:eastAsia="en-GB"/>
          <w14:ligatures w14:val="none"/>
        </w:rPr>
        <w:lastRenderedPageBreak/>
        <w:t>Guvernului nu poate fi catalogată drept o operaţiune administrativă, ci exercitarea unui drept constituţional, acela de inițiativă legislativă, prevăzut la art. 74 din Constituţia României. În atare condiţii, Guvernul nu poate fi obligat la efectuarea unei propuneri legislative sau la emiterea unui act normativ cu putere de lege la solicitarea unor cetățeni sau a unor asociaţii, societăți. Dreptul de apreciere şi oportunitatea emiterii unor astfel de acte nu pot fi cenzurate de instanţa de contencios administrativ, nefiind vorba, pe de o parte, despre acte administrative în înţelesul Legii nr. 554/2004, iar pe de altă parte instanţa ar încălca principiul separaţiei puterilor în stat, prevăzut la art. l alin. 4 din Constituţia României prin intervenția sa în procesul de legiferare.</w:t>
      </w:r>
    </w:p>
    <w:p w14:paraId="7CF5FF19"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Pârâtul a arătat că susținerile privind inadmisibilitatea unei asemenea cereri au fost confirmate prin numeroase hotărâri pronunţate anterior, în spețe similare, de Curtea de Apel Timișoara (în Dosarele nr. 872/59/2015 şi nr. 877/59/2013), de Curtea de Apel Suceava (în Dosarul nr. 395/39/2013), dar şi de Curtea de Apel Bucureşti (în Dosarele nr. 5473/2/2011 şi nr. 8479/2/2016).</w:t>
      </w:r>
    </w:p>
    <w:p w14:paraId="04484C56" w14:textId="0ABF6B6D"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De asemenea, pârâtul a învederat că este prescris dreptul reclamantei întrucât de la data când reclamanta a obţinut titlul executoriu, până la cererii adresate Guvernului României nr. </w:t>
      </w:r>
      <w:r w:rsidR="00B7004C">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/18.08.2020 prin care a solicitat emiterea unei HG având ca obiect alocarea sumei de 1.779.688,60 lei au trecut mai mult de trei ani.</w:t>
      </w:r>
    </w:p>
    <w:p w14:paraId="64A5223B"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Totodată, pârâtul a arătat că este vădit neîntemeiată cererea reclamantei întrucât obligarea unei autorităţi publice la emiterea/adoptarea unui act administrativ poate fi dispusă numai în condiţiile în care se constată refuzul nejustificat al acesteia de a proceda în sensul solicitat, condiţie neîndeplinită în cauză.</w:t>
      </w:r>
    </w:p>
    <w:p w14:paraId="2E1F2AF8"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Prin urmare, instanţei îi revine sarcina de a analiza dacă există un refuz al pârâtului Guvernul României de a emite actul administrativ privind alocarea sumei de 1.779.688,60 lei de la bugetul consolidat al statului, iar în caz afirmativ, dacă refuzul este sau nu justificat.</w:t>
      </w:r>
    </w:p>
    <w:p w14:paraId="7CC03765"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speţă, refuzul soluţionării favorabile a cererii privind alocarea sumei de 1.779.688,60 lei de la bugetul consolidat al statului, reclamat prin acţiune în temeiul art. l alin. l şi art. 8 din Legea nr. 554/2004, nu este unul nejustificat, exprimat cu exces de putere.</w:t>
      </w:r>
    </w:p>
    <w:p w14:paraId="751A0C95"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Intimatul a subliniat că rolul Executivului în procesul bugetar este limitat numai la elaborarea proiectelor legilor bugetare anuale şi a proiectelor legilor de rectificare care vor fi transmise spre adoptare Parlamentului, ale cărui competențe şi responsabilităţi în procesul bugetar sunt stabilite în art. 17 din Legea nr. 500/2002.</w:t>
      </w:r>
    </w:p>
    <w:p w14:paraId="0361A9BE"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Ulterior, intimatul a citat prevederile art. 28 și art. 28</w:t>
      </w:r>
      <w:r w:rsidRPr="0041635F">
        <w:rPr>
          <w:rFonts w:ascii="Times New Roman" w:eastAsia="Times New Roman" w:hAnsi="Times New Roman" w:cs="Times New Roman"/>
          <w:kern w:val="0"/>
          <w:sz w:val="24"/>
          <w:szCs w:val="20"/>
          <w:vertAlign w:val="superscript"/>
          <w:lang w:val="ro-RO" w:eastAsia="en-GB"/>
          <w14:ligatures w14:val="none"/>
        </w:rPr>
        <w:t>1</w:t>
      </w:r>
      <w:r w:rsidRPr="0041635F">
        <w:rPr>
          <w:rFonts w:ascii="Times New Roman" w:eastAsia="Times New Roman" w:hAnsi="Times New Roman" w:cs="Times New Roman"/>
          <w:kern w:val="0"/>
          <w:sz w:val="24"/>
          <w:szCs w:val="20"/>
          <w:lang w:val="ro-RO" w:eastAsia="en-GB"/>
          <w14:ligatures w14:val="none"/>
        </w:rPr>
        <w:t xml:space="preserve"> din Legea nr. 500/2003 privind finanțele publice si a menționat că Ministerul Finanţelor are atribuţii în elaborarea proiectelor legilor bugetare pe baza propunerilor ordonatorilor principali de credite, însă, Ministerul Finanţelor nu are atribuţia de a vira acestora alte sume decât cele prevăzute în legea bugetului de stat şi nici de a proceda la modificarea bugetelor ordonatorilor principali de credite cuprinse în bugetul de stat.</w:t>
      </w:r>
    </w:p>
    <w:p w14:paraId="54B98A01"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Prin urmare, este incontestabil că în cadrul procedurilor de elaborare a proiectelor legilor bugetare anuale şi a proiectelor legilor de rectificare, fiecare ordonator de credite are atribuţii speciale şi competențe exclusive, care nu pot fi transferate Guvernului României.</w:t>
      </w:r>
    </w:p>
    <w:p w14:paraId="6CF03A1A"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Raportat la competențele legale ale autorităţilor pârâte, intimatul a apreciat că nu îi poate fi imputată împrejurarea că nu a procedat, urmare a demersurilor reclamantei, la soluţionarea directă a cererii privind alocarea sumei de 1.779.688,60 lei de la bugetul consolidat al statului nefiind susținută şi probată îndeplinirea condiţiilor prevăzute de Legea nr. 500/2002, în sensul existenţei unei propuneri a ordonatorului de credite din bugetul căruia urmează să se facă plata.</w:t>
      </w:r>
    </w:p>
    <w:p w14:paraId="56F1ED4E"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aceste condiţii, cererea reclamantei de obligare a Guvernului la adoptarea hotărârii privind alocarea sumei de 1.779.688,60 lei de la bugetul consolidat al statului este contrară dispoziţiilor legale invocate ca temei de drept al acţiunii şi excede competenţei instanţei </w:t>
      </w:r>
      <w:r w:rsidRPr="0041635F">
        <w:rPr>
          <w:rFonts w:ascii="Times New Roman" w:eastAsia="Times New Roman" w:hAnsi="Times New Roman" w:cs="Times New Roman"/>
          <w:kern w:val="0"/>
          <w:sz w:val="24"/>
          <w:szCs w:val="20"/>
          <w:lang w:val="ro-RO" w:eastAsia="en-GB"/>
          <w14:ligatures w14:val="none"/>
        </w:rPr>
        <w:lastRenderedPageBreak/>
        <w:t>judecătoreşti care, la rândul său, nu se poate substitui autorităţilor executive, în exercitarea atribuţiilor lor legale.</w:t>
      </w:r>
    </w:p>
    <w:p w14:paraId="1A29BEE7"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De altfel, soluţionarea pe fond a cererilor reclamantei grefată pe un aparent control de legalitate a refuzului de soluţionare, în sensul înlăturării procedurilor prealabile ce revin în competenţa ordonatorilor de credite şi al obligării Guvernului României la emiterea actului administrativ privind alocarea sumei de 1.779.688,60 lei de la bugetul consolidat al statului, nici nu cade direct în sarcina instanţei de contencios administrativ, care la rândul său nu poate ignora ori suplini neîndeplinirea condiţiilor legale enunţate în antecedență.</w:t>
      </w:r>
    </w:p>
    <w:p w14:paraId="4E8D572B"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drept, intimatul a invocat prevederile art.223 alin. 3 şi art. 411 alin. 2 teză finală din Codul de procedură civilă.</w:t>
      </w:r>
    </w:p>
    <w:p w14:paraId="1F55EFC1"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3EDB7E81" w14:textId="433617A7" w:rsidR="0041635F" w:rsidRPr="0041635F" w:rsidRDefault="0041635F" w:rsidP="0041635F">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b/>
          <w:i/>
          <w:kern w:val="0"/>
          <w:szCs w:val="20"/>
          <w:lang w:val="ro-RO" w:eastAsia="en-GB"/>
          <w14:ligatures w14:val="none"/>
        </w:rPr>
        <w:t xml:space="preserve">În probațiune, au fost încuviinţate şi depuse la dosarul cauzei următoarele înscrisuri: </w:t>
      </w:r>
      <w:r w:rsidRPr="0041635F">
        <w:rPr>
          <w:rFonts w:ascii="Times New Roman" w:eastAsia="Times New Roman" w:hAnsi="Times New Roman" w:cs="Times New Roman"/>
          <w:kern w:val="0"/>
          <w:sz w:val="24"/>
          <w:szCs w:val="20"/>
          <w:lang w:val="ro-RO" w:eastAsia="en-GB"/>
          <w14:ligatures w14:val="none"/>
        </w:rPr>
        <w:t xml:space="preserve"> Încheierea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Specializat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13-15); Sentinţa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Specializat</w:t>
      </w:r>
      <w:r w:rsidRPr="0041635F">
        <w:rPr>
          <w:rFonts w:ascii="Times New Roman" w:eastAsia="Times New Roman" w:hAnsi="Times New Roman" w:cs="Times New Roman"/>
          <w:i/>
          <w:kern w:val="0"/>
          <w:sz w:val="24"/>
          <w:szCs w:val="20"/>
          <w:lang w:val="ro-RO" w:eastAsia="en-GB"/>
          <w14:ligatures w14:val="none"/>
        </w:rPr>
        <w:t xml:space="preserve">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16-20);  Cererea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10 august 2020 formulată de societatea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prin lichidator judiciar, şi dovezile de transmitere a cererii, prin poştă, cu confirmare de primire şi conţinut declarat, către Guvernul României, Ministerul Finanţelor Publice şi Ministerul Educaţiei şi Cercetării, în copie;Contractul de execuţie lucrări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14 noiembrie 2007, precum şi actele adiționale la acest contract, în copie (filele 21-35); Sentinţa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36-38);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39-42);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înaltei Curţi de Casaţie şi Justiţie, în copie (filele 43-48);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Curţii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49-51); Certificat privind pronunţarea Deciziei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Înaltei Curţi de Casaţie şi Justiţie, în copie (fila 52); Cererea de executare silită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28 ianuarie 2013 formulată de societatea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prin lichidator judiciar, şi înregistrată în dosarul execuţional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BEJ </w:t>
      </w:r>
      <w:r w:rsidR="005F3E5B">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(în prezent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Societăţii Civile Profesionale a Executorilor Judecătoreşti </w:t>
      </w:r>
      <w:r w:rsidR="005F3E5B">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Şi </w:t>
      </w:r>
      <w:r w:rsidR="005F3E5B">
        <w:rPr>
          <w:rFonts w:ascii="Times New Roman" w:eastAsia="Times New Roman" w:hAnsi="Times New Roman" w:cs="Times New Roman"/>
          <w:kern w:val="0"/>
          <w:sz w:val="24"/>
          <w:szCs w:val="20"/>
          <w:lang w:val="ro-RO" w:eastAsia="en-GB"/>
          <w14:ligatures w14:val="none"/>
        </w:rPr>
        <w:t>G</w:t>
      </w:r>
      <w:r w:rsidRPr="0041635F">
        <w:rPr>
          <w:rFonts w:ascii="Times New Roman" w:eastAsia="Times New Roman" w:hAnsi="Times New Roman" w:cs="Times New Roman"/>
          <w:kern w:val="0"/>
          <w:sz w:val="24"/>
          <w:szCs w:val="20"/>
          <w:lang w:val="ro-RO" w:eastAsia="en-GB"/>
          <w14:ligatures w14:val="none"/>
        </w:rPr>
        <w:t xml:space="preserve"> (fila 53); Actele de executare silită, întocmite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Societăţii Civile Profesionale a Executorilor Judecătoreşti </w:t>
      </w:r>
      <w:r w:rsidR="005F3E5B">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Şi </w:t>
      </w:r>
      <w:r w:rsidR="005F3E5B">
        <w:rPr>
          <w:rFonts w:ascii="Times New Roman" w:eastAsia="Times New Roman" w:hAnsi="Times New Roman" w:cs="Times New Roman"/>
          <w:kern w:val="0"/>
          <w:sz w:val="24"/>
          <w:szCs w:val="20"/>
          <w:lang w:val="ro-RO" w:eastAsia="en-GB"/>
          <w14:ligatures w14:val="none"/>
        </w:rPr>
        <w:t>G</w:t>
      </w:r>
      <w:r w:rsidRPr="0041635F">
        <w:rPr>
          <w:rFonts w:ascii="Times New Roman" w:eastAsia="Times New Roman" w:hAnsi="Times New Roman" w:cs="Times New Roman"/>
          <w:kern w:val="0"/>
          <w:sz w:val="24"/>
          <w:szCs w:val="20"/>
          <w:lang w:val="ro-RO" w:eastAsia="en-GB"/>
          <w14:ligatures w14:val="none"/>
        </w:rPr>
        <w:t xml:space="preserve">, în copie (filele 54-77);  Notificarea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24 iunie 2016 întocmită de societatea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prin lichidator judiciar, către UAT ORAŞUL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în copie (filele 78-83); Contestaţia formulată de UAT ORAŞUL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Specializat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84-95); Sentinţa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al Tribunalului Specializat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copie (filele 96-99); Buletinul Procedurilor de Insolvenţă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28 iunie 2016 privind publicarea Sentinţei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Tribunalului Specializat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extras (filele 100-102);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Înaltei Curţi de Casaţie şi Justiţie, în extras de pe site-ul ÎCCJ (filele 103-106); Cererea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din 10 august 2020 al lichidatorului judiciar al debitoarei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către GUVERNUL ROMÂNIEI, MINISTERUL EDUCAŢIEI ŞI CERCETĂRII şi MINISTERUL FINANŢELOR PUBLICE, şi dovezile de transmitere a acesteia, prin poştă, cu confirmare de primire şi cu conţinut declarat, în copie (filele 107-124).</w:t>
      </w:r>
    </w:p>
    <w:p w14:paraId="0590E7F8"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231FC50D" w14:textId="357E8568"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Prin Încheierea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pronunțată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Curtea a respins, ca neîntemeiate, excepţiile lipsei calităţii procesuale pasive a MINISTERULUI FINANŢELOR, lipsei calităţii procesuale pasive a MINISTERULUI EDUCAŢIEI, lipsei calităţii procesuale active a reclamantei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faliment, prin lichidator judiciar </w:t>
      </w:r>
      <w:r>
        <w:rPr>
          <w:rFonts w:ascii="Times New Roman" w:eastAsia="Times New Roman" w:hAnsi="Times New Roman" w:cs="Times New Roman"/>
          <w:kern w:val="0"/>
          <w:sz w:val="24"/>
          <w:szCs w:val="20"/>
          <w:lang w:val="ro-RO" w:eastAsia="en-GB"/>
          <w14:ligatures w14:val="none"/>
        </w:rPr>
        <w:t>B</w:t>
      </w:r>
      <w:r w:rsidRPr="0041635F">
        <w:rPr>
          <w:rFonts w:ascii="Times New Roman" w:eastAsia="Times New Roman" w:hAnsi="Times New Roman" w:cs="Times New Roman"/>
          <w:kern w:val="0"/>
          <w:sz w:val="24"/>
          <w:szCs w:val="20"/>
          <w:lang w:val="ro-RO" w:eastAsia="en-GB"/>
          <w14:ligatures w14:val="none"/>
        </w:rPr>
        <w:t xml:space="preserve"> SPRL, excepţia tardivităţii formulării cererii şi excepţia prescripţiei dreptului material la acţiune și a repus cauza pe rol în privinţa excepţiei inadmisibilităţii cererii - calificată ca nereprezentând o excepţie procesuală propriu-zisă ci chestiuni ce ţin de fondul cauzei la termenul de judecată din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14D740CB"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p>
    <w:p w14:paraId="20DD60A6"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Examinând actele şi lucrările dosarului, instanţa reţine  următoarele:</w:t>
      </w:r>
    </w:p>
    <w:p w14:paraId="67D17CEB" w14:textId="61D4E595"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Reclamanta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alături de alţi doi operatori economici, în calitate de executanţi, au perfectat cu Grupul Şcolar Industrial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prezent Liceul„</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calitate de achizitor, contractul de lucrări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/14.11.2007 şi acte adiţionale(filele 21-34 din dosar).</w:t>
      </w:r>
    </w:p>
    <w:p w14:paraId="6AB2418C" w14:textId="4DDB3B68"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optica recuperării contravalorii lucrărilor executate de reclamantă în temeiul contractului anterior menţionat, reflectate în facturile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/13.10.2008 şi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/17.04.2009, precum şi a penalităţilor de întârziere, reclamanta a chemat în judecată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Inspectoratul Şcolar al Judeţului B</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şi Oraşul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53899391" w14:textId="572EF671"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Prin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Curţii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(filele 4951 dosar)- irevocabilă prin respingerea/anularea recursurilor prin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de ICCJ în dosarul nr. </w:t>
      </w:r>
      <w:r w:rsidR="005F3E5B">
        <w:rPr>
          <w:rFonts w:ascii="Times New Roman" w:eastAsia="Times New Roman" w:hAnsi="Times New Roman" w:cs="Times New Roman"/>
          <w:kern w:val="0"/>
          <w:sz w:val="24"/>
          <w:szCs w:val="20"/>
          <w:lang w:val="ro-RO" w:eastAsia="en-GB"/>
          <w14:ligatures w14:val="none"/>
        </w:rPr>
        <w:t>........... (</w:t>
      </w:r>
      <w:r w:rsidRPr="0041635F">
        <w:rPr>
          <w:rFonts w:ascii="Times New Roman" w:eastAsia="Times New Roman" w:hAnsi="Times New Roman" w:cs="Times New Roman"/>
          <w:kern w:val="0"/>
          <w:sz w:val="24"/>
          <w:szCs w:val="20"/>
          <w:lang w:val="ro-RO" w:eastAsia="en-GB"/>
          <w14:ligatures w14:val="none"/>
        </w:rPr>
        <w:t>certificat grefă fila 52 dosar), a fost obligat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la plata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a sumei de 1.779.688,60 lei, reprezentând penalităţi de întârziere până la data de 10.12.2013, data stingerii debitului principal.</w:t>
      </w:r>
    </w:p>
    <w:p w14:paraId="5FEEF73E" w14:textId="47A6D7F1"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Reclamanta a solicitat pârâţilor prin cererea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/10.08.2020 alocarea sumelor în vederea executării penalităţilor de întârziere la plata cărora a fost obligat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prin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Curţii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fără a primi vreun răspuns la solicitări. </w:t>
      </w:r>
    </w:p>
    <w:p w14:paraId="6D8FEFFE" w14:textId="2E0A690B"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Prin cererea de chemare în judecată ce formează obiectul prezentului dosar, reclamanta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în faliment, solicită printr-un prim capăt de cerere obligarea pârâtului Guvernului României la emiterea HG având ca obiect alocarea de la bugetul consolidat al statului suma de 1.779.688,60 lei, conform Deciziei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de Curtea de Apel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irevocabilă prin Decizia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de ICCJ în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w:t>
      </w:r>
    </w:p>
    <w:p w14:paraId="45F6E7BF"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disonanţă cu susţinerile pârâtului Guvernul României, faptul de a nu răspunde solicitantului în termen legal este asimilat în conformitate cu prevederile art. 2 alin. 2 din Legea nr. 554/2004 cu un refuz de soluţionare a cererii. </w:t>
      </w:r>
    </w:p>
    <w:p w14:paraId="2C25699F"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Instanţa urmează a analiza caracterul justificat/nejustificat al refuzului tacit al pârâtului de alocare a sumei de 1.779,688,60 lei, prin prisma caracterului prescris al executării silite a creanţei invocat de pârâţi prin întâmpinările depuse la dosarul cauzei.</w:t>
      </w:r>
    </w:p>
    <w:p w14:paraId="3251CD6F"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Trecerea unui interval de timp de 3 ani de la obţinerea titlului executoriu paralizează dreptul creditorului de a obţine executarea silită şi puterea executorie a titlului executoriu.</w:t>
      </w:r>
    </w:p>
    <w:p w14:paraId="0742D88B"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acest sens, dispoziţiile art. 706 alin. 1 şi 2 C. proc. civ. enunţă că:</w:t>
      </w:r>
    </w:p>
    <w:p w14:paraId="2A7A0F55"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Dreptul de a obţine executarea silită se prescrie în termen de 3 ani, dacă legea nu prevede altfel. În cazul titlurilor emise în materia drepturilor reale, termenul de prescripţie este de 10 ani.</w:t>
      </w:r>
    </w:p>
    <w:p w14:paraId="27AB0A9E"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Termenul de prescripţie începe să curgă de la data când se naşte dreptul de a obţine executarea silită. În cazul hotărârilor judecătoreşti şi arbitrale, termenul de prescripţie începe să curgă de la data rămânerii lor definitive.“</w:t>
      </w:r>
    </w:p>
    <w:p w14:paraId="67C327F6"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cauză, întrucât a trecut un interval de timp cu mult peste trei ani de la rămânerea irevocabilă a titlului executoriu (18.02.2015) până la cererile reclamantei din data de 10.08.2020 ce au generat refuzul tacit în litigiu, instanţa apreciază că refuzul pârâtului Guvernul României de emitere a HG având ca obiect alocarea de la bugetul consolidat al statului suma de 1.779.688,60 lei are caracter justificat prin raportare la împlinirea termenului de prescripţie a executării creanţei în cuantum de 1.779.688,60 lei.  </w:t>
      </w:r>
    </w:p>
    <w:p w14:paraId="44E0FD08" w14:textId="6BC5D05C"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b/>
        <w:t xml:space="preserve">În disonanţă cu susţinerile reclamantei, instanţa apreciază că nu a operat un caz de suspendare a termenului de prescripţie a executării silite fundamentat de aspectul constituirii dosarului execuţional al B.E.J. </w:t>
      </w:r>
      <w:r w:rsidR="005F3E5B">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în temeiul cererii de executare silită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/28.01.2013 - în prezent dosarul nr. </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al Societăţii Civile Profesionale a Executorilor Judecătoreşti </w:t>
      </w:r>
      <w:r w:rsidR="005F3E5B">
        <w:rPr>
          <w:rFonts w:ascii="Times New Roman" w:eastAsia="Times New Roman" w:hAnsi="Times New Roman" w:cs="Times New Roman"/>
          <w:kern w:val="0"/>
          <w:sz w:val="24"/>
          <w:szCs w:val="20"/>
          <w:lang w:val="ro-RO" w:eastAsia="en-GB"/>
          <w14:ligatures w14:val="none"/>
        </w:rPr>
        <w:lastRenderedPageBreak/>
        <w:t>F</w:t>
      </w:r>
      <w:r w:rsidRPr="0041635F">
        <w:rPr>
          <w:rFonts w:ascii="Times New Roman" w:eastAsia="Times New Roman" w:hAnsi="Times New Roman" w:cs="Times New Roman"/>
          <w:kern w:val="0"/>
          <w:sz w:val="24"/>
          <w:szCs w:val="20"/>
          <w:lang w:val="ro-RO" w:eastAsia="en-GB"/>
          <w14:ligatures w14:val="none"/>
        </w:rPr>
        <w:t xml:space="preserve"> şi </w:t>
      </w:r>
      <w:r w:rsidR="005F3E5B">
        <w:rPr>
          <w:rFonts w:ascii="Times New Roman" w:eastAsia="Times New Roman" w:hAnsi="Times New Roman" w:cs="Times New Roman"/>
          <w:kern w:val="0"/>
          <w:sz w:val="24"/>
          <w:szCs w:val="20"/>
          <w:lang w:val="ro-RO" w:eastAsia="en-GB"/>
          <w14:ligatures w14:val="none"/>
        </w:rPr>
        <w:t>G</w:t>
      </w:r>
      <w:r w:rsidRPr="0041635F">
        <w:rPr>
          <w:rFonts w:ascii="Times New Roman" w:eastAsia="Times New Roman" w:hAnsi="Times New Roman" w:cs="Times New Roman"/>
          <w:kern w:val="0"/>
          <w:sz w:val="24"/>
          <w:szCs w:val="20"/>
          <w:lang w:val="ro-RO" w:eastAsia="en-GB"/>
          <w14:ligatures w14:val="none"/>
        </w:rPr>
        <w:t>, demersuri în urm a cărora nu au fost recuperate de către executorul judecătoresc sume de la cocontractantul reclamantei.</w:t>
      </w:r>
    </w:p>
    <w:p w14:paraId="0657EEA2" w14:textId="3DDE85B8"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Reclamanta nu indică în mod expres care anume caz de suspendare/întrerupere a cursului prescripţiei dreptului de a obţine executarea silită, la întrebarea instanţei la termenul de judecată din data de 10.09.2021, reclamanta menţionând generic doar că demersurile întreprinse în cadrul dosarului de executare silită reprezintă o cauză de suspendare a executării silite potrivit Codului de procedură silită. De asemenea, reclamanta a invocat lipsa disponibilităţilor băneşti ale Liceul „</w:t>
      </w:r>
      <w:r w:rsidR="005F3E5B">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R</w:t>
      </w:r>
      <w:r w:rsidR="005F3E5B">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w:t>
      </w:r>
    </w:p>
    <w:p w14:paraId="766A5E57"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Codul de procedură civilă, suspendarea prescripţiei dreptului de a obţine executarea silită , este reglementată de art. 708 C. proc. civ. </w:t>
      </w:r>
    </w:p>
    <w:p w14:paraId="69B23739" w14:textId="77777777"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Astfel, potrivit dispoziţiilor art. 708 C. proc. civ. privind suspendarea prescripţiei:</w:t>
      </w:r>
    </w:p>
    <w:p w14:paraId="74FD7D37"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 (1) Cursul prescripţiei se suspendă:</w:t>
      </w:r>
    </w:p>
    <w:p w14:paraId="3BB99C52"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1. în cazurile stabilite de lege pentru suspendarea termenului de prescripţie a dreptului de a obţine obligarea pârâtului;</w:t>
      </w:r>
    </w:p>
    <w:p w14:paraId="5AAEBAA6"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2. pe timpul cât suspendarea executării silite este prevăzută de lege ori a fost stabilită de instanţă sau de alt organ jurisdicţional competent;</w:t>
      </w:r>
    </w:p>
    <w:p w14:paraId="7C3B495E"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u w:val="single"/>
          <w:lang w:val="ro-RO" w:eastAsia="en-GB"/>
          <w14:ligatures w14:val="none"/>
        </w:rPr>
      </w:pPr>
      <w:r w:rsidRPr="0041635F">
        <w:rPr>
          <w:rFonts w:ascii="Times New Roman" w:eastAsia="Times New Roman" w:hAnsi="Times New Roman" w:cs="Times New Roman"/>
          <w:kern w:val="0"/>
          <w:sz w:val="24"/>
          <w:szCs w:val="20"/>
          <w:u w:val="single"/>
          <w:lang w:val="ro-RO" w:eastAsia="en-GB"/>
          <w14:ligatures w14:val="none"/>
        </w:rPr>
        <w:t xml:space="preserve">    3. cât timp debitorul nu are bunuri urmăribile sau care nu au putut fi valorificate ori îşi sustrage veniturile şi bunurile de la urmărire;</w:t>
      </w:r>
    </w:p>
    <w:p w14:paraId="097A9DE7"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4. în alte cazuri prevăzute de lege.</w:t>
      </w:r>
    </w:p>
    <w:p w14:paraId="4008590C"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(2) După încetarea suspendării, prescripţia îşi reia cursul, socotindu-se şi timpul scurs înainte de suspendare.</w:t>
      </w:r>
    </w:p>
    <w:p w14:paraId="1B4CE8B2"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(3) Prescripţia nu se suspendă pe timpul cât executarea silită este suspendată la cererea creditorului urmăritor.“</w:t>
      </w:r>
    </w:p>
    <w:p w14:paraId="7087A524" w14:textId="33655ABB"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temeiul dispoziţiilor art. 249 C. proc. civ.,  cel ce face o susţinere în faţa instanţei trebuie să o dovedească în afară de cazurile prevăzute de lege. În consecinţă, reclamantei îi incumba obligaţia de a face dovada cazului de suspendare a prescripţiei prin raportare la actele de executare silită întreprinse în dosarele execuţionale nr.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/2013, respectiv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/2015 ale Societăţii Civile Profesionale a Executorilor Judecătoreşti </w:t>
      </w:r>
      <w:r w:rsidR="009777A2">
        <w:rPr>
          <w:rFonts w:ascii="Times New Roman" w:eastAsia="Times New Roman" w:hAnsi="Times New Roman" w:cs="Times New Roman"/>
          <w:kern w:val="0"/>
          <w:sz w:val="24"/>
          <w:szCs w:val="20"/>
          <w:lang w:val="ro-RO" w:eastAsia="en-GB"/>
          <w14:ligatures w14:val="none"/>
        </w:rPr>
        <w:t>F</w:t>
      </w:r>
      <w:r w:rsidRPr="0041635F">
        <w:rPr>
          <w:rFonts w:ascii="Times New Roman" w:eastAsia="Times New Roman" w:hAnsi="Times New Roman" w:cs="Times New Roman"/>
          <w:kern w:val="0"/>
          <w:sz w:val="24"/>
          <w:szCs w:val="20"/>
          <w:lang w:val="ro-RO" w:eastAsia="en-GB"/>
          <w14:ligatures w14:val="none"/>
        </w:rPr>
        <w:t xml:space="preserve"> şi </w:t>
      </w:r>
      <w:r w:rsidR="009777A2">
        <w:rPr>
          <w:rFonts w:ascii="Times New Roman" w:eastAsia="Times New Roman" w:hAnsi="Times New Roman" w:cs="Times New Roman"/>
          <w:kern w:val="0"/>
          <w:sz w:val="24"/>
          <w:szCs w:val="20"/>
          <w:lang w:val="ro-RO" w:eastAsia="en-GB"/>
          <w14:ligatures w14:val="none"/>
        </w:rPr>
        <w:t>G</w:t>
      </w:r>
      <w:r w:rsidRPr="0041635F">
        <w:rPr>
          <w:rFonts w:ascii="Times New Roman" w:eastAsia="Times New Roman" w:hAnsi="Times New Roman" w:cs="Times New Roman"/>
          <w:kern w:val="0"/>
          <w:sz w:val="24"/>
          <w:szCs w:val="20"/>
          <w:lang w:val="ro-RO" w:eastAsia="en-GB"/>
          <w14:ligatures w14:val="none"/>
        </w:rPr>
        <w:t xml:space="preserve">, obligaţie procesuală neîndeplinită de reclamantă. În acest sens, instanţa observă că ultimul act emis în dosarele execuţionale - care de altfel nici nu îi are ca debitori pe pârâţii din prezenta cauză – datează din 22.02.2016(fila 73 dosar), ori şi dacă termenul de început al prescripţie executării silite ar fi calculat prin raportare la această din urmă dată, s-ar fi împlinit până la data de 10.08.2020, când reclamanta a formulat cererile al căror refuz de soluţionare se invocă în prezenta cauză. </w:t>
      </w:r>
    </w:p>
    <w:p w14:paraId="1ED743ED" w14:textId="0E6C761C"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În consecinţă, instanţa reţine că reclamanta deţine titlul executoriu irevocabil din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(Decizia nr.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pronunţată de ICCJ în dosarul nr.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iar cererile ce au generat refuzul tacit în litigiu au fost formulate la data de 10.08.2020, cu evidenta împlinire a termenului de prescripţie a executării silite de 3 ani prevăzut de art. 706 alin. C. proc. civ., în cauză nefiind incidentă nicio cauză de întrerupere sau suspendare a cursului termenului de prescripţie a dreptului de a obţine executarea silită, potrivit celor mai sus expuse. </w:t>
      </w:r>
    </w:p>
    <w:p w14:paraId="435599AA" w14:textId="77777777"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Raportat la aspectele enunţate, instanţa apreciază că refuzul pârâtului Guvernul României de emitere a HG având ca obiect alocarea de la bugetul consolidat al statului suma de 1.779.688,60 lei are caracter justificat prin raportare la împlinirea termenului de prescripţie a executării silite a creanţei menţionate.  </w:t>
      </w:r>
    </w:p>
    <w:p w14:paraId="45F4DBEF" w14:textId="3B821182" w:rsidR="0041635F" w:rsidRPr="0041635F" w:rsidRDefault="0041635F" w:rsidP="0041635F">
      <w:pPr>
        <w:spacing w:after="0" w:line="240" w:lineRule="auto"/>
        <w:ind w:firstLine="851"/>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În plus, instanţa apreciază întemeiate şi susţinerile privind inadmisibilitatea cererii</w:t>
      </w:r>
      <w:r w:rsidRPr="0041635F">
        <w:rPr>
          <w:rFonts w:ascii="Times New Roman" w:eastAsia="Times New Roman" w:hAnsi="Times New Roman" w:cs="Times New Roman"/>
          <w:kern w:val="0"/>
          <w:szCs w:val="20"/>
          <w:lang w:val="ro-RO" w:eastAsia="en-GB"/>
          <w14:ligatures w14:val="none"/>
        </w:rPr>
        <w:t xml:space="preserve"> reclamantei societatea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în faliment la</w:t>
      </w:r>
      <w:r w:rsidRPr="0041635F">
        <w:rPr>
          <w:rFonts w:ascii="Times New Roman" w:eastAsia="Times New Roman" w:hAnsi="Times New Roman" w:cs="Times New Roman"/>
          <w:kern w:val="0"/>
          <w:sz w:val="24"/>
          <w:szCs w:val="20"/>
          <w:lang w:val="ro-RO" w:eastAsia="en-GB"/>
          <w14:ligatures w14:val="none"/>
        </w:rPr>
        <w:t xml:space="preserve"> obligarea pârâtului Guvernul României la emitere HG.</w:t>
      </w:r>
    </w:p>
    <w:p w14:paraId="5DA63D1C" w14:textId="77777777" w:rsidR="0041635F" w:rsidRPr="0041635F" w:rsidRDefault="0041635F" w:rsidP="0041635F">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Legiuitorul a lăsat la aprecierea Guvernului oportunitatea emiterii Hotărârii de Guvern, pârâtul Guvernul României fiind singurul în măsură să aprecieze oportunitatea adoptării actului administrativ în discuţie, acesta nefiind inclus în categoria actelor administrative care se emit/adoptă la cererea unei persoanei juridice ce invocă un drept propriu.</w:t>
      </w:r>
    </w:p>
    <w:p w14:paraId="4D833A7B" w14:textId="77777777" w:rsidR="0041635F" w:rsidRPr="0041635F" w:rsidRDefault="0041635F" w:rsidP="0041635F">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lastRenderedPageBreak/>
        <w:t xml:space="preserve">În speţă, singurul în măsură să aprecieze oportunitatea, necesitatea şi posibilitatea concretă de realizare a alocării de fonduri este Guvernul României, doar acesta putând decide asupra măsurii cu luarea în considerare a tuturor aspectelor de ordin bugetar. </w:t>
      </w:r>
    </w:p>
    <w:p w14:paraId="3E675C52" w14:textId="77777777" w:rsidR="0041635F" w:rsidRPr="0041635F" w:rsidRDefault="0041635F" w:rsidP="0041635F">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Instanţa apreciază că nu se poate substitui emitentului Hotărârii de Guvern, ce are o marjă de apreciere asupra oportunităţii adoptării acestuia. În caz contrar, s-ar depăşi, în cauză, atribuţiile puterii judecătoreşti şi s-ar încălca principiului separaţiei puterilor în stat consacrat de art. 1 alin. (4) din Constituţia României. Toate procedurile privind proiectarea, elaborarea şi formularea proiectelor de buget reprezintă chestiuni de competenţa exclusivă a puterii executive, conform prevederilor 138 alin. 2 Constituţie, art. 25 lit. d din OUG nr. 57/2019, art. 17 din Legea nr. 500/2002, acestea fiind supuse aprobării Parlamentului şi excluse de la controlul judecătoresc al actelor administrative ale autorităţilor publice, în temeiul prevederilor art. 126 alin. 6 teza I din Constituţie.</w:t>
      </w:r>
    </w:p>
    <w:p w14:paraId="1E4D9540" w14:textId="32495844"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Faţă de cele expuse, instanţa, în temeiul art. 18 coroborat cu art. 28 din Legea nr. 554/2004 şi art. 425 C. proc. civ., va respinge capătul de cerere prin care reclamanta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prin lichidator judiciar </w:t>
      </w:r>
      <w:r>
        <w:rPr>
          <w:rFonts w:ascii="Times New Roman" w:eastAsia="Times New Roman" w:hAnsi="Times New Roman" w:cs="Times New Roman"/>
          <w:kern w:val="0"/>
          <w:sz w:val="24"/>
          <w:szCs w:val="20"/>
          <w:lang w:val="ro-RO" w:eastAsia="en-GB"/>
          <w14:ligatures w14:val="none"/>
        </w:rPr>
        <w:t>B</w:t>
      </w:r>
      <w:r w:rsidRPr="0041635F">
        <w:rPr>
          <w:rFonts w:ascii="Times New Roman" w:eastAsia="Times New Roman" w:hAnsi="Times New Roman" w:cs="Times New Roman"/>
          <w:kern w:val="0"/>
          <w:sz w:val="24"/>
          <w:szCs w:val="20"/>
          <w:lang w:val="ro-RO" w:eastAsia="en-GB"/>
          <w14:ligatures w14:val="none"/>
        </w:rPr>
        <w:t xml:space="preserve"> SPRL a solicitat obligarea Guvernului României la emiterea unei Hotărâri de Guvern având ca obiect alocarea de la bugetul consolidat al statului a penalităţilor de întârziere în cuantum de 1.779.688,60 lei.</w:t>
      </w:r>
    </w:p>
    <w:p w14:paraId="21637B76" w14:textId="6B384C2E"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Având în vedere caracterul accesoriu al petitelor subsecvente, precum şi respingerea petitului principal, instanţa va respinge petitele având ca obiect obligarea Ministerului Educaţiei şi Cercetării, în calitate de ordonator principal de credite, la transferarea din bugetul Ministerului în bugetul local al oraşului R</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prin intermediul Inspectoratului Şcolar Judeţean B</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a sumei de 1.779.688,60 lei cu titlu de penalităţi de întârziere, în vederea achitării acestor penalităţi de întârziere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 respectiv obligarea Ministerului Finanţelor Publice de a include în bugetul consolidat al statului suma de 1.779.688,60 lei cu titlu de penalităţi de întârziere, datorate de către Liceul </w:t>
      </w:r>
      <w:r w:rsidR="009777A2">
        <w:rPr>
          <w:rFonts w:ascii="Times New Roman" w:eastAsia="Times New Roman" w:hAnsi="Times New Roman" w:cs="Times New Roman"/>
          <w:kern w:val="0"/>
          <w:sz w:val="24"/>
          <w:szCs w:val="20"/>
          <w:lang w:val="ro-RO" w:eastAsia="en-GB"/>
          <w14:ligatures w14:val="none"/>
        </w:rPr>
        <w:t>C</w:t>
      </w:r>
      <w:r w:rsidRPr="0041635F">
        <w:rPr>
          <w:rFonts w:ascii="Times New Roman" w:eastAsia="Times New Roman" w:hAnsi="Times New Roman" w:cs="Times New Roman"/>
          <w:kern w:val="0"/>
          <w:sz w:val="24"/>
          <w:szCs w:val="20"/>
          <w:lang w:val="ro-RO" w:eastAsia="en-GB"/>
          <w14:ligatures w14:val="none"/>
        </w:rPr>
        <w:t xml:space="preserve"> din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 xml:space="preserve">, către </w:t>
      </w:r>
      <w:r>
        <w:rPr>
          <w:rFonts w:ascii="Times New Roman" w:eastAsia="Times New Roman" w:hAnsi="Times New Roman" w:cs="Times New Roman"/>
          <w:kern w:val="0"/>
          <w:sz w:val="24"/>
          <w:szCs w:val="20"/>
          <w:lang w:val="ro-RO" w:eastAsia="en-GB"/>
          <w14:ligatures w14:val="none"/>
        </w:rPr>
        <w:t>A</w:t>
      </w:r>
      <w:r w:rsidRPr="0041635F">
        <w:rPr>
          <w:rFonts w:ascii="Times New Roman" w:eastAsia="Times New Roman" w:hAnsi="Times New Roman" w:cs="Times New Roman"/>
          <w:kern w:val="0"/>
          <w:sz w:val="24"/>
          <w:szCs w:val="20"/>
          <w:lang w:val="ro-RO" w:eastAsia="en-GB"/>
          <w14:ligatures w14:val="none"/>
        </w:rPr>
        <w:t xml:space="preserve"> SA.</w:t>
      </w:r>
    </w:p>
    <w:p w14:paraId="00843517" w14:textId="77777777" w:rsidR="0041635F" w:rsidRPr="0041635F" w:rsidRDefault="0041635F" w:rsidP="0041635F">
      <w:pPr>
        <w:spacing w:after="0" w:line="240" w:lineRule="auto"/>
        <w:rPr>
          <w:rFonts w:ascii="Times New Roman" w:eastAsia="Times New Roman" w:hAnsi="Times New Roman" w:cs="Times New Roman"/>
          <w:kern w:val="0"/>
          <w:sz w:val="24"/>
          <w:szCs w:val="20"/>
          <w:lang w:val="ro-RO" w:eastAsia="en-GB"/>
          <w14:ligatures w14:val="none"/>
        </w:rPr>
      </w:pPr>
    </w:p>
    <w:p w14:paraId="6AF550F3" w14:textId="77777777"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PENTRU ACESTE MOTIVE,</w:t>
      </w:r>
      <w:r w:rsidRPr="0041635F">
        <w:rPr>
          <w:rFonts w:ascii="Times New Roman" w:eastAsia="Times New Roman" w:hAnsi="Times New Roman" w:cs="Times New Roman"/>
          <w:kern w:val="0"/>
          <w:sz w:val="24"/>
          <w:szCs w:val="20"/>
          <w:lang w:val="ro-RO" w:eastAsia="en-GB"/>
          <w14:ligatures w14:val="none"/>
        </w:rPr>
        <w:br/>
        <w:t>ÎN NUMELE LEGII</w:t>
      </w:r>
    </w:p>
    <w:p w14:paraId="602F70D0" w14:textId="77777777" w:rsidR="0041635F" w:rsidRPr="0041635F" w:rsidRDefault="0041635F" w:rsidP="0041635F">
      <w:pPr>
        <w:spacing w:after="0" w:line="240" w:lineRule="auto"/>
        <w:jc w:val="center"/>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HOTĂRĂŞTE:</w:t>
      </w:r>
    </w:p>
    <w:p w14:paraId="1707CE95" w14:textId="77777777" w:rsidR="0041635F" w:rsidRPr="0041635F" w:rsidRDefault="0041635F" w:rsidP="0041635F">
      <w:pPr>
        <w:spacing w:after="0" w:line="240" w:lineRule="auto"/>
        <w:jc w:val="center"/>
        <w:rPr>
          <w:rFonts w:ascii="Times New Roman" w:eastAsia="Times New Roman" w:hAnsi="Times New Roman" w:cs="Times New Roman"/>
          <w:b/>
          <w:color w:val="FF0000"/>
          <w:kern w:val="0"/>
          <w:sz w:val="24"/>
          <w:szCs w:val="20"/>
          <w:lang w:val="ro-RO" w:eastAsia="en-GB"/>
          <w14:ligatures w14:val="none"/>
        </w:rPr>
      </w:pPr>
    </w:p>
    <w:p w14:paraId="218CD6A3" w14:textId="3A9D63EB" w:rsidR="0041635F" w:rsidRPr="0041635F" w:rsidRDefault="0041635F" w:rsidP="0041635F">
      <w:pPr>
        <w:spacing w:after="0" w:line="240" w:lineRule="auto"/>
        <w:ind w:firstLine="708"/>
        <w:jc w:val="both"/>
        <w:rPr>
          <w:rFonts w:ascii="Times New Roman" w:eastAsia="Times New Roman" w:hAnsi="Times New Roman" w:cs="Times New Roman"/>
          <w:b/>
          <w:i/>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Respinge, ca neîntemeiată, </w:t>
      </w:r>
      <w:r w:rsidRPr="0041635F">
        <w:rPr>
          <w:rFonts w:ascii="Times New Roman" w:eastAsia="Times New Roman" w:hAnsi="Times New Roman" w:cs="Times New Roman"/>
          <w:i/>
          <w:kern w:val="0"/>
          <w:sz w:val="24"/>
          <w:szCs w:val="20"/>
          <w:lang w:val="ro-RO" w:eastAsia="en-GB"/>
          <w14:ligatures w14:val="none"/>
        </w:rPr>
        <w:t>cererea de chemare în judecată</w:t>
      </w:r>
      <w:r w:rsidRPr="0041635F">
        <w:rPr>
          <w:rFonts w:ascii="Times New Roman" w:eastAsia="Times New Roman" w:hAnsi="Times New Roman" w:cs="Times New Roman"/>
          <w:kern w:val="0"/>
          <w:sz w:val="24"/>
          <w:szCs w:val="20"/>
          <w:lang w:val="ro-RO" w:eastAsia="en-GB"/>
          <w14:ligatures w14:val="none"/>
        </w:rPr>
        <w:t xml:space="preserve"> formulată de către </w:t>
      </w:r>
      <w:r w:rsidRPr="0041635F">
        <w:rPr>
          <w:rFonts w:ascii="Times New Roman" w:eastAsia="Times New Roman" w:hAnsi="Times New Roman" w:cs="Times New Roman"/>
          <w:kern w:val="0"/>
          <w:szCs w:val="20"/>
          <w:lang w:val="ro-RO" w:eastAsia="en-GB"/>
          <w14:ligatures w14:val="none"/>
        </w:rPr>
        <w:t xml:space="preserve">reclamanta societatea </w:t>
      </w:r>
      <w:r>
        <w:rPr>
          <w:rFonts w:ascii="Times New Roman" w:eastAsia="Times New Roman" w:hAnsi="Times New Roman" w:cs="Times New Roman"/>
          <w:kern w:val="0"/>
          <w:szCs w:val="20"/>
          <w:lang w:val="ro-RO" w:eastAsia="en-GB"/>
          <w14:ligatures w14:val="none"/>
        </w:rPr>
        <w:t>A</w:t>
      </w:r>
      <w:r w:rsidRPr="0041635F">
        <w:rPr>
          <w:rFonts w:ascii="Times New Roman" w:eastAsia="Times New Roman" w:hAnsi="Times New Roman" w:cs="Times New Roman"/>
          <w:kern w:val="0"/>
          <w:szCs w:val="20"/>
          <w:lang w:val="ro-RO" w:eastAsia="en-GB"/>
          <w14:ligatures w14:val="none"/>
        </w:rPr>
        <w:t xml:space="preserve"> S.A., în faliment, cu sediul social în </w:t>
      </w:r>
      <w:r w:rsidR="009777A2">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înregistrată în Registrul Comerţului sub nr. </w:t>
      </w:r>
      <w:r w:rsidR="009777A2">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w:t>
      </w:r>
      <w:r w:rsidR="009777A2">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/1995, C.U.Î. </w:t>
      </w:r>
      <w:r w:rsidR="009777A2">
        <w:rPr>
          <w:rFonts w:ascii="Times New Roman" w:eastAsia="Times New Roman" w:hAnsi="Times New Roman" w:cs="Times New Roman"/>
          <w:kern w:val="0"/>
          <w:szCs w:val="20"/>
          <w:lang w:val="ro-RO" w:eastAsia="en-GB"/>
          <w14:ligatures w14:val="none"/>
        </w:rPr>
        <w:t>........</w:t>
      </w:r>
      <w:r w:rsidRPr="0041635F">
        <w:rPr>
          <w:rFonts w:ascii="Times New Roman" w:eastAsia="Times New Roman" w:hAnsi="Times New Roman" w:cs="Times New Roman"/>
          <w:kern w:val="0"/>
          <w:szCs w:val="20"/>
          <w:lang w:val="ro-RO" w:eastAsia="en-GB"/>
          <w14:ligatures w14:val="none"/>
        </w:rPr>
        <w:t xml:space="preserve">, </w:t>
      </w:r>
      <w:r w:rsidRPr="0041635F">
        <w:rPr>
          <w:rFonts w:ascii="Times New Roman" w:eastAsia="Times New Roman" w:hAnsi="Times New Roman" w:cs="Times New Roman"/>
          <w:b/>
          <w:kern w:val="0"/>
          <w:szCs w:val="20"/>
          <w:lang w:val="ro-RO" w:eastAsia="en-GB"/>
          <w14:ligatures w14:val="none"/>
        </w:rPr>
        <w:t xml:space="preserve"> </w:t>
      </w:r>
      <w:r w:rsidRPr="0041635F">
        <w:rPr>
          <w:rFonts w:ascii="Times New Roman" w:eastAsia="Times New Roman" w:hAnsi="Times New Roman" w:cs="Times New Roman"/>
          <w:kern w:val="0"/>
          <w:szCs w:val="20"/>
          <w:lang w:val="ro-RO" w:eastAsia="en-GB"/>
          <w14:ligatures w14:val="none"/>
        </w:rPr>
        <w:t xml:space="preserve">prin lichidator judiciar </w:t>
      </w:r>
      <w:r>
        <w:rPr>
          <w:rFonts w:ascii="Times New Roman" w:eastAsia="Times New Roman" w:hAnsi="Times New Roman" w:cs="Times New Roman"/>
          <w:kern w:val="0"/>
          <w:szCs w:val="20"/>
          <w:lang w:val="ro-RO" w:eastAsia="en-GB"/>
          <w14:ligatures w14:val="none"/>
        </w:rPr>
        <w:t>B</w:t>
      </w:r>
      <w:r w:rsidRPr="0041635F">
        <w:rPr>
          <w:rFonts w:ascii="Times New Roman" w:eastAsia="Times New Roman" w:hAnsi="Times New Roman" w:cs="Times New Roman"/>
          <w:b/>
          <w:kern w:val="0"/>
          <w:szCs w:val="20"/>
          <w:lang w:val="ro-RO" w:eastAsia="en-GB"/>
          <w14:ligatures w14:val="none"/>
        </w:rPr>
        <w:t xml:space="preserve"> S.P.R.L., cu sediul în </w:t>
      </w:r>
      <w:r w:rsidR="009777A2">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w:t>
      </w:r>
      <w:r w:rsidRPr="0041635F">
        <w:rPr>
          <w:rFonts w:ascii="Times New Roman" w:eastAsia="Times New Roman" w:hAnsi="Times New Roman" w:cs="Times New Roman"/>
          <w:kern w:val="0"/>
          <w:szCs w:val="20"/>
          <w:lang w:val="ro-RO" w:eastAsia="en-GB"/>
          <w14:ligatures w14:val="none"/>
        </w:rPr>
        <w:t>în contradictoriu cu pârâţii</w:t>
      </w:r>
      <w:r w:rsidRPr="0041635F">
        <w:rPr>
          <w:rFonts w:ascii="Times New Roman" w:eastAsia="Times New Roman" w:hAnsi="Times New Roman" w:cs="Times New Roman"/>
          <w:b/>
          <w:kern w:val="0"/>
          <w:szCs w:val="20"/>
          <w:lang w:val="ro-RO" w:eastAsia="en-GB"/>
          <w14:ligatures w14:val="none"/>
        </w:rPr>
        <w:t xml:space="preserve"> Guvernul României, cu sediul în </w:t>
      </w:r>
      <w:r w:rsidR="009777A2">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Ministerul Educaţiei, cu sediul în </w:t>
      </w:r>
      <w:r w:rsidR="009777A2">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şi Ministerul Finanţelor Publice, cu sediul procesual ales la Administraţia Judeţeană a Finanţelor Publice M</w:t>
      </w:r>
      <w:r w:rsidR="009777A2">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din </w:t>
      </w:r>
      <w:r w:rsidR="009777A2">
        <w:rPr>
          <w:rFonts w:ascii="Times New Roman" w:eastAsia="Times New Roman" w:hAnsi="Times New Roman" w:cs="Times New Roman"/>
          <w:b/>
          <w:kern w:val="0"/>
          <w:szCs w:val="20"/>
          <w:lang w:val="ro-RO" w:eastAsia="en-GB"/>
          <w14:ligatures w14:val="none"/>
        </w:rPr>
        <w:t>.............</w:t>
      </w:r>
      <w:r w:rsidRPr="0041635F">
        <w:rPr>
          <w:rFonts w:ascii="Times New Roman" w:eastAsia="Times New Roman" w:hAnsi="Times New Roman" w:cs="Times New Roman"/>
          <w:b/>
          <w:kern w:val="0"/>
          <w:szCs w:val="20"/>
          <w:lang w:val="ro-RO" w:eastAsia="en-GB"/>
          <w14:ligatures w14:val="none"/>
        </w:rPr>
        <w:t xml:space="preserve">, având ca obiect </w:t>
      </w:r>
      <w:r w:rsidRPr="0041635F">
        <w:rPr>
          <w:rFonts w:ascii="Times New Roman" w:eastAsia="Times New Roman" w:hAnsi="Times New Roman" w:cs="Times New Roman"/>
          <w:b/>
          <w:i/>
          <w:kern w:val="0"/>
          <w:szCs w:val="20"/>
          <w:lang w:val="ro-RO" w:eastAsia="en-GB"/>
          <w14:ligatures w14:val="none"/>
        </w:rPr>
        <w:t>obligaţia de a face.</w:t>
      </w:r>
    </w:p>
    <w:p w14:paraId="33130102" w14:textId="709A9B32"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Cu drept de recurs în termen de 15 zile de la comunicare. Cererea de recurs se depune la Curtea de Apel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7B1A82BD" w14:textId="50F44B8A" w:rsidR="0041635F" w:rsidRPr="0041635F" w:rsidRDefault="0041635F" w:rsidP="0041635F">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Pronunţată prin punerea soluţiei la dispoziţia părţilor prin mijlocirea grefei, azi, </w:t>
      </w:r>
      <w:r w:rsidR="009777A2">
        <w:rPr>
          <w:rFonts w:ascii="Times New Roman" w:eastAsia="Times New Roman" w:hAnsi="Times New Roman" w:cs="Times New Roman"/>
          <w:kern w:val="0"/>
          <w:sz w:val="24"/>
          <w:szCs w:val="20"/>
          <w:lang w:val="ro-RO" w:eastAsia="en-GB"/>
          <w14:ligatures w14:val="none"/>
        </w:rPr>
        <w:t>...........</w:t>
      </w:r>
      <w:r w:rsidRPr="0041635F">
        <w:rPr>
          <w:rFonts w:ascii="Times New Roman" w:eastAsia="Times New Roman" w:hAnsi="Times New Roman" w:cs="Times New Roman"/>
          <w:kern w:val="0"/>
          <w:sz w:val="24"/>
          <w:szCs w:val="20"/>
          <w:lang w:val="ro-RO" w:eastAsia="en-GB"/>
          <w14:ligatures w14:val="none"/>
        </w:rPr>
        <w:t>.</w:t>
      </w:r>
    </w:p>
    <w:p w14:paraId="431684C5" w14:textId="77777777" w:rsidR="0041635F" w:rsidRPr="0041635F" w:rsidRDefault="0041635F" w:rsidP="0041635F">
      <w:pPr>
        <w:spacing w:after="0" w:line="240" w:lineRule="auto"/>
        <w:jc w:val="center"/>
        <w:rPr>
          <w:rFonts w:ascii="Times New Roman" w:eastAsia="Times New Roman" w:hAnsi="Times New Roman" w:cs="Times New Roman"/>
          <w:kern w:val="0"/>
          <w:sz w:val="24"/>
          <w:szCs w:val="20"/>
          <w:lang w:val="ro-RO" w:eastAsia="en-GB"/>
          <w14:ligatures w14:val="none"/>
        </w:rPr>
      </w:pPr>
    </w:p>
    <w:p w14:paraId="51F05A00" w14:textId="77777777" w:rsidR="0041635F" w:rsidRPr="0041635F" w:rsidRDefault="0041635F" w:rsidP="0041635F">
      <w:pPr>
        <w:spacing w:after="0" w:line="240" w:lineRule="auto"/>
        <w:jc w:val="center"/>
        <w:rPr>
          <w:rFonts w:ascii="Times New Roman" w:eastAsia="Times New Roman" w:hAnsi="Times New Roman" w:cs="Times New Roman"/>
          <w:kern w:val="0"/>
          <w:sz w:val="24"/>
          <w:szCs w:val="20"/>
          <w:lang w:val="ro-RO" w:eastAsia="en-GB"/>
          <w14:ligatures w14:val="none"/>
        </w:rPr>
      </w:pPr>
    </w:p>
    <w:p w14:paraId="0CB98313" w14:textId="77777777"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b/>
        <w:t xml:space="preserve">Preşedinte, </w:t>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t xml:space="preserve">                      Grefier,</w:t>
      </w:r>
    </w:p>
    <w:p w14:paraId="43E637E9" w14:textId="69128335" w:rsidR="0041635F" w:rsidRPr="0041635F" w:rsidRDefault="009777A2" w:rsidP="0041635F">
      <w:pPr>
        <w:spacing w:after="0" w:line="240" w:lineRule="auto"/>
        <w:rPr>
          <w:rFonts w:ascii="Times New Roman" w:eastAsia="Times New Roman" w:hAnsi="Times New Roman" w:cs="Times New Roman"/>
          <w:b/>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 xml:space="preserve">            </w:t>
      </w:r>
      <w:r w:rsidR="0041635F" w:rsidRPr="0041635F">
        <w:rPr>
          <w:rFonts w:ascii="Times New Roman" w:eastAsia="Times New Roman" w:hAnsi="Times New Roman" w:cs="Times New Roman"/>
          <w:kern w:val="0"/>
          <w:sz w:val="24"/>
          <w:szCs w:val="20"/>
          <w:lang w:val="ro-RO" w:eastAsia="en-GB"/>
          <w14:ligatures w14:val="none"/>
        </w:rPr>
        <w:t xml:space="preserve">Dr. </w:t>
      </w:r>
      <w:r>
        <w:rPr>
          <w:rFonts w:ascii="Times New Roman" w:eastAsia="Times New Roman" w:hAnsi="Times New Roman" w:cs="Times New Roman"/>
          <w:kern w:val="0"/>
          <w:sz w:val="24"/>
          <w:szCs w:val="20"/>
          <w:lang w:val="ro-RO" w:eastAsia="en-GB"/>
          <w14:ligatures w14:val="none"/>
        </w:rPr>
        <w:t>A0018</w:t>
      </w:r>
      <w:r w:rsidR="0041635F" w:rsidRPr="0041635F">
        <w:rPr>
          <w:rFonts w:ascii="Times New Roman" w:eastAsia="Times New Roman" w:hAnsi="Times New Roman" w:cs="Times New Roman"/>
          <w:kern w:val="0"/>
          <w:sz w:val="24"/>
          <w:szCs w:val="20"/>
          <w:lang w:val="ro-RO" w:eastAsia="en-GB"/>
          <w14:ligatures w14:val="none"/>
        </w:rPr>
        <w:tab/>
      </w:r>
      <w:r w:rsidR="0041635F" w:rsidRPr="0041635F">
        <w:rPr>
          <w:rFonts w:ascii="Times New Roman" w:eastAsia="Times New Roman" w:hAnsi="Times New Roman" w:cs="Times New Roman"/>
          <w:kern w:val="0"/>
          <w:sz w:val="24"/>
          <w:szCs w:val="20"/>
          <w:lang w:val="ro-RO" w:eastAsia="en-GB"/>
          <w14:ligatures w14:val="none"/>
        </w:rPr>
        <w:tab/>
      </w:r>
      <w:r w:rsidR="0041635F" w:rsidRPr="0041635F">
        <w:rPr>
          <w:rFonts w:ascii="Times New Roman" w:eastAsia="Times New Roman" w:hAnsi="Times New Roman" w:cs="Times New Roman"/>
          <w:kern w:val="0"/>
          <w:sz w:val="24"/>
          <w:szCs w:val="20"/>
          <w:lang w:val="ro-RO" w:eastAsia="en-GB"/>
          <w14:ligatures w14:val="none"/>
        </w:rPr>
        <w:tab/>
      </w:r>
      <w:r w:rsidR="0041635F" w:rsidRPr="0041635F">
        <w:rPr>
          <w:rFonts w:ascii="Times New Roman" w:eastAsia="Times New Roman" w:hAnsi="Times New Roman" w:cs="Times New Roman"/>
          <w:kern w:val="0"/>
          <w:sz w:val="24"/>
          <w:szCs w:val="20"/>
          <w:lang w:val="ro-RO" w:eastAsia="en-GB"/>
          <w14:ligatures w14:val="none"/>
        </w:rPr>
        <w:tab/>
      </w:r>
      <w:r w:rsidR="0041635F" w:rsidRPr="0041635F">
        <w:rPr>
          <w:rFonts w:ascii="Times New Roman" w:eastAsia="Times New Roman" w:hAnsi="Times New Roman" w:cs="Times New Roman"/>
          <w:kern w:val="0"/>
          <w:sz w:val="24"/>
          <w:szCs w:val="20"/>
          <w:lang w:val="ro-RO" w:eastAsia="en-GB"/>
          <w14:ligatures w14:val="none"/>
        </w:rPr>
        <w:tab/>
      </w:r>
      <w:r w:rsidR="0041635F" w:rsidRPr="0041635F">
        <w:rPr>
          <w:rFonts w:ascii="Times New Roman" w:eastAsia="Times New Roman" w:hAnsi="Times New Roman" w:cs="Times New Roman"/>
          <w:kern w:val="0"/>
          <w:sz w:val="24"/>
          <w:szCs w:val="20"/>
          <w:lang w:val="ro-RO" w:eastAsia="en-GB"/>
          <w14:ligatures w14:val="none"/>
        </w:rPr>
        <w:tab/>
        <w:t xml:space="preserve">       </w:t>
      </w:r>
      <w:r>
        <w:rPr>
          <w:rFonts w:ascii="Times New Roman" w:eastAsia="Times New Roman" w:hAnsi="Times New Roman" w:cs="Times New Roman"/>
          <w:kern w:val="0"/>
          <w:sz w:val="24"/>
          <w:szCs w:val="20"/>
          <w:lang w:val="ro-RO" w:eastAsia="en-GB"/>
          <w14:ligatures w14:val="none"/>
        </w:rPr>
        <w:t>...........</w:t>
      </w:r>
      <w:r w:rsidR="0041635F" w:rsidRPr="0041635F">
        <w:rPr>
          <w:rFonts w:ascii="Times New Roman" w:eastAsia="Times New Roman" w:hAnsi="Times New Roman" w:cs="Times New Roman"/>
          <w:kern w:val="0"/>
          <w:sz w:val="24"/>
          <w:szCs w:val="20"/>
          <w:lang w:val="ro-RO" w:eastAsia="en-GB"/>
          <w14:ligatures w14:val="none"/>
        </w:rPr>
        <w:t>,</w:t>
      </w:r>
    </w:p>
    <w:p w14:paraId="71FBAE79" w14:textId="77777777" w:rsidR="0041635F" w:rsidRPr="0041635F" w:rsidRDefault="0041635F" w:rsidP="0041635F">
      <w:pPr>
        <w:spacing w:after="0" w:line="240" w:lineRule="auto"/>
        <w:rPr>
          <w:rFonts w:ascii="Times New Roman" w:eastAsia="Times New Roman" w:hAnsi="Times New Roman" w:cs="Times New Roman"/>
          <w:b/>
          <w:kern w:val="0"/>
          <w:sz w:val="16"/>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r>
      <w:r w:rsidRPr="0041635F">
        <w:rPr>
          <w:rFonts w:ascii="Times New Roman" w:eastAsia="Times New Roman" w:hAnsi="Times New Roman" w:cs="Times New Roman"/>
          <w:kern w:val="0"/>
          <w:sz w:val="24"/>
          <w:szCs w:val="20"/>
          <w:lang w:val="ro-RO" w:eastAsia="en-GB"/>
          <w14:ligatures w14:val="none"/>
        </w:rPr>
        <w:tab/>
        <w:t xml:space="preserve">                      </w:t>
      </w:r>
      <w:r w:rsidRPr="0041635F">
        <w:rPr>
          <w:rFonts w:ascii="Times New Roman" w:eastAsia="Times New Roman" w:hAnsi="Times New Roman" w:cs="Times New Roman"/>
          <w:kern w:val="0"/>
          <w:sz w:val="16"/>
          <w:szCs w:val="20"/>
          <w:lang w:val="ro-RO" w:eastAsia="en-GB"/>
          <w14:ligatures w14:val="none"/>
        </w:rPr>
        <w:t xml:space="preserve">lipsă fiind  din instanţă, semnează grefier şef secţie </w:t>
      </w:r>
    </w:p>
    <w:p w14:paraId="5F614713" w14:textId="1DBE1A35" w:rsidR="0041635F" w:rsidRPr="0041635F" w:rsidRDefault="0041635F" w:rsidP="0041635F">
      <w:pPr>
        <w:spacing w:after="0" w:line="240" w:lineRule="auto"/>
        <w:ind w:left="4248" w:firstLine="708"/>
        <w:rPr>
          <w:rFonts w:ascii="Times New Roman" w:eastAsia="Times New Roman" w:hAnsi="Times New Roman" w:cs="Times New Roman"/>
          <w:b/>
          <w:kern w:val="0"/>
          <w:sz w:val="24"/>
          <w:szCs w:val="20"/>
          <w:lang w:val="ro-RO" w:eastAsia="en-GB"/>
          <w14:ligatures w14:val="none"/>
        </w:rPr>
      </w:pPr>
      <w:r w:rsidRPr="0041635F">
        <w:rPr>
          <w:rFonts w:ascii="Times New Roman" w:eastAsia="Times New Roman" w:hAnsi="Times New Roman" w:cs="Times New Roman"/>
          <w:kern w:val="0"/>
          <w:sz w:val="24"/>
          <w:szCs w:val="20"/>
          <w:lang w:val="ro-RO" w:eastAsia="en-GB"/>
          <w14:ligatures w14:val="none"/>
        </w:rPr>
        <w:t xml:space="preserve">                           </w:t>
      </w:r>
      <w:r w:rsidR="009777A2">
        <w:rPr>
          <w:rFonts w:ascii="Times New Roman" w:eastAsia="Times New Roman" w:hAnsi="Times New Roman" w:cs="Times New Roman"/>
          <w:kern w:val="0"/>
          <w:sz w:val="24"/>
          <w:szCs w:val="20"/>
          <w:lang w:val="ro-RO" w:eastAsia="en-GB"/>
          <w14:ligatures w14:val="none"/>
        </w:rPr>
        <w:t>................</w:t>
      </w:r>
    </w:p>
    <w:p w14:paraId="31F08C21" w14:textId="77777777" w:rsidR="0041635F" w:rsidRPr="0041635F" w:rsidRDefault="0041635F" w:rsidP="0041635F">
      <w:pPr>
        <w:spacing w:after="0" w:line="240" w:lineRule="auto"/>
        <w:jc w:val="both"/>
        <w:rPr>
          <w:rFonts w:ascii="Times New Roman" w:eastAsia="Times New Roman" w:hAnsi="Times New Roman" w:cs="Times New Roman"/>
          <w:kern w:val="0"/>
          <w:sz w:val="24"/>
          <w:szCs w:val="20"/>
          <w:lang w:val="ro-RO" w:eastAsia="en-GB"/>
          <w14:ligatures w14:val="none"/>
        </w:rPr>
      </w:pPr>
    </w:p>
    <w:p w14:paraId="743C9ADD" w14:textId="77777777" w:rsidR="0041635F" w:rsidRPr="0041635F" w:rsidRDefault="0041635F" w:rsidP="0041635F">
      <w:pPr>
        <w:spacing w:after="0" w:line="240" w:lineRule="auto"/>
        <w:rPr>
          <w:rFonts w:ascii="Garamond" w:eastAsia="Times New Roman" w:hAnsi="Garamond" w:cs="Times New Roman"/>
          <w:kern w:val="0"/>
          <w:sz w:val="24"/>
          <w:szCs w:val="20"/>
          <w:lang w:val="ro-RO" w:eastAsia="en-GB"/>
          <w14:ligatures w14:val="none"/>
        </w:rPr>
      </w:pPr>
    </w:p>
    <w:p w14:paraId="540DF80F" w14:textId="77777777" w:rsidR="0041635F" w:rsidRPr="0041635F" w:rsidRDefault="0041635F" w:rsidP="0041635F">
      <w:pPr>
        <w:spacing w:after="0" w:line="240" w:lineRule="auto"/>
        <w:rPr>
          <w:rFonts w:ascii="Times New Roman" w:eastAsia="Times New Roman" w:hAnsi="Times New Roman" w:cs="Times New Roman"/>
          <w:kern w:val="0"/>
          <w:sz w:val="16"/>
          <w:szCs w:val="20"/>
          <w:lang w:val="ro-RO" w:eastAsia="en-GB"/>
          <w14:ligatures w14:val="none"/>
        </w:rPr>
      </w:pPr>
    </w:p>
    <w:p w14:paraId="36F24751" w14:textId="77777777" w:rsidR="0041635F" w:rsidRPr="0041635F" w:rsidRDefault="0041635F" w:rsidP="0041635F">
      <w:pPr>
        <w:spacing w:after="0" w:line="240" w:lineRule="auto"/>
        <w:rPr>
          <w:rFonts w:ascii="Times New Roman" w:eastAsia="Times New Roman" w:hAnsi="Times New Roman" w:cs="Times New Roman"/>
          <w:kern w:val="0"/>
          <w:sz w:val="16"/>
          <w:szCs w:val="20"/>
          <w:lang w:val="ro-RO" w:eastAsia="en-GB"/>
          <w14:ligatures w14:val="none"/>
        </w:rPr>
      </w:pPr>
    </w:p>
    <w:p w14:paraId="07A6CF89" w14:textId="77777777" w:rsidR="0041635F" w:rsidRPr="0041635F" w:rsidRDefault="0041635F" w:rsidP="0041635F">
      <w:pPr>
        <w:spacing w:after="0" w:line="240" w:lineRule="auto"/>
        <w:rPr>
          <w:rFonts w:ascii="Times New Roman" w:eastAsia="Times New Roman" w:hAnsi="Times New Roman" w:cs="Times New Roman"/>
          <w:kern w:val="0"/>
          <w:sz w:val="16"/>
          <w:szCs w:val="20"/>
          <w:lang w:val="ro-RO" w:eastAsia="en-GB"/>
          <w14:ligatures w14:val="none"/>
        </w:rPr>
      </w:pPr>
    </w:p>
    <w:p w14:paraId="25747DD5" w14:textId="6A22BFD8" w:rsidR="0041635F" w:rsidRPr="0041635F" w:rsidRDefault="0041635F" w:rsidP="0041635F">
      <w:pPr>
        <w:spacing w:after="0" w:line="240" w:lineRule="auto"/>
        <w:rPr>
          <w:rFonts w:ascii="Times New Roman" w:eastAsia="Times New Roman" w:hAnsi="Times New Roman" w:cs="Times New Roman"/>
          <w:kern w:val="0"/>
          <w:sz w:val="16"/>
          <w:szCs w:val="20"/>
          <w:lang w:val="ro-RO" w:eastAsia="en-GB"/>
          <w14:ligatures w14:val="none"/>
        </w:rPr>
      </w:pPr>
      <w:r w:rsidRPr="0041635F">
        <w:rPr>
          <w:rFonts w:ascii="Times New Roman" w:eastAsia="Times New Roman" w:hAnsi="Times New Roman" w:cs="Times New Roman"/>
          <w:kern w:val="0"/>
          <w:sz w:val="16"/>
          <w:szCs w:val="20"/>
          <w:lang w:val="ro-RO" w:eastAsia="en-GB"/>
          <w14:ligatures w14:val="none"/>
        </w:rPr>
        <w:t xml:space="preserve">Red. </w:t>
      </w:r>
      <w:r w:rsidR="009777A2">
        <w:rPr>
          <w:rFonts w:ascii="Times New Roman" w:eastAsia="Times New Roman" w:hAnsi="Times New Roman" w:cs="Times New Roman"/>
          <w:kern w:val="0"/>
          <w:sz w:val="16"/>
          <w:szCs w:val="20"/>
          <w:lang w:val="ro-RO" w:eastAsia="en-GB"/>
          <w14:ligatures w14:val="none"/>
        </w:rPr>
        <w:t>A0018</w:t>
      </w:r>
      <w:r w:rsidRPr="0041635F">
        <w:rPr>
          <w:rFonts w:ascii="Times New Roman" w:eastAsia="Times New Roman" w:hAnsi="Times New Roman" w:cs="Times New Roman"/>
          <w:kern w:val="0"/>
          <w:sz w:val="16"/>
          <w:szCs w:val="20"/>
          <w:lang w:val="ro-RO" w:eastAsia="en-GB"/>
          <w14:ligatures w14:val="none"/>
        </w:rPr>
        <w:t xml:space="preserve"> / </w:t>
      </w:r>
      <w:r w:rsidR="009777A2">
        <w:rPr>
          <w:rFonts w:ascii="Times New Roman" w:eastAsia="Times New Roman" w:hAnsi="Times New Roman" w:cs="Times New Roman"/>
          <w:kern w:val="0"/>
          <w:sz w:val="16"/>
          <w:szCs w:val="20"/>
          <w:lang w:val="ro-RO" w:eastAsia="en-GB"/>
          <w14:ligatures w14:val="none"/>
        </w:rPr>
        <w:t>...........</w:t>
      </w:r>
      <w:r w:rsidRPr="0041635F">
        <w:rPr>
          <w:rFonts w:ascii="Times New Roman" w:eastAsia="Times New Roman" w:hAnsi="Times New Roman" w:cs="Times New Roman"/>
          <w:kern w:val="0"/>
          <w:sz w:val="16"/>
          <w:szCs w:val="20"/>
          <w:lang w:val="ro-RO" w:eastAsia="en-GB"/>
          <w14:ligatures w14:val="none"/>
        </w:rPr>
        <w:t>/ 6 ex.</w:t>
      </w:r>
    </w:p>
    <w:p w14:paraId="010C1DAA" w14:textId="77777777" w:rsidR="0041635F" w:rsidRPr="0041635F" w:rsidRDefault="0041635F" w:rsidP="0041635F">
      <w:pPr>
        <w:spacing w:after="0" w:line="240" w:lineRule="auto"/>
        <w:rPr>
          <w:rFonts w:ascii="Garamond" w:eastAsia="Times New Roman" w:hAnsi="Garamond" w:cs="Times New Roman"/>
          <w:kern w:val="0"/>
          <w:sz w:val="24"/>
          <w:szCs w:val="20"/>
          <w:lang w:val="ro-RO" w:eastAsia="en-GB"/>
          <w14:ligatures w14:val="none"/>
        </w:rPr>
      </w:pPr>
    </w:p>
    <w:p w14:paraId="48DAA899" w14:textId="77777777"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p>
    <w:p w14:paraId="0782C503" w14:textId="77777777"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p>
    <w:p w14:paraId="3ECCB159" w14:textId="77777777" w:rsidR="0041635F" w:rsidRPr="0041635F" w:rsidRDefault="0041635F" w:rsidP="0041635F">
      <w:pPr>
        <w:spacing w:after="0" w:line="240" w:lineRule="auto"/>
        <w:rPr>
          <w:rFonts w:ascii="Times New Roman" w:eastAsia="Times New Roman" w:hAnsi="Times New Roman" w:cs="Times New Roman"/>
          <w:b/>
          <w:kern w:val="0"/>
          <w:sz w:val="24"/>
          <w:szCs w:val="20"/>
          <w:lang w:val="ro-RO" w:eastAsia="en-GB"/>
          <w14:ligatures w14:val="none"/>
        </w:rPr>
      </w:pPr>
    </w:p>
    <w:p w14:paraId="4DBC7215" w14:textId="77777777" w:rsidR="0041635F" w:rsidRPr="0041635F" w:rsidRDefault="0041635F" w:rsidP="0041635F">
      <w:pPr>
        <w:spacing w:after="0" w:line="240" w:lineRule="auto"/>
        <w:rPr>
          <w:rFonts w:ascii="Garamond" w:eastAsia="Times New Roman" w:hAnsi="Garamond" w:cs="Times New Roman"/>
          <w:kern w:val="0"/>
          <w:sz w:val="24"/>
          <w:szCs w:val="20"/>
          <w:lang w:val="ro-RO" w:eastAsia="en-GB"/>
          <w14:ligatures w14:val="none"/>
        </w:rPr>
      </w:pPr>
    </w:p>
    <w:p w14:paraId="69B6DD77" w14:textId="77777777" w:rsidR="000C1B57" w:rsidRDefault="000C1B57"/>
    <w:sectPr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DEF"/>
    <w:rsid w:val="00085EB6"/>
    <w:rsid w:val="000C1B57"/>
    <w:rsid w:val="000D553B"/>
    <w:rsid w:val="00104E31"/>
    <w:rsid w:val="00184EC8"/>
    <w:rsid w:val="001A5039"/>
    <w:rsid w:val="0041047C"/>
    <w:rsid w:val="0041635F"/>
    <w:rsid w:val="00446AF8"/>
    <w:rsid w:val="005A6DEF"/>
    <w:rsid w:val="005F3E5B"/>
    <w:rsid w:val="00926C2B"/>
    <w:rsid w:val="009777A2"/>
    <w:rsid w:val="00AD098E"/>
    <w:rsid w:val="00B25657"/>
    <w:rsid w:val="00B65F2B"/>
    <w:rsid w:val="00B7004C"/>
    <w:rsid w:val="00D07D59"/>
    <w:rsid w:val="00D16823"/>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BAF73"/>
  <w15:chartTrackingRefBased/>
  <w15:docId w15:val="{BC74EFE8-2E57-4612-B753-784357379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A6D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A6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A6DE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A6DE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A6DE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A6DE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A6DE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A6DE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A6DE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A6DE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A6DE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A6DE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A6DE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A6DE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A6DE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A6DE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A6DE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A6DEF"/>
    <w:rPr>
      <w:rFonts w:eastAsiaTheme="majorEastAsia" w:cstheme="majorBidi"/>
      <w:color w:val="272727" w:themeColor="text1" w:themeTint="D8"/>
    </w:rPr>
  </w:style>
  <w:style w:type="paragraph" w:styleId="Titlu">
    <w:name w:val="Title"/>
    <w:basedOn w:val="Normal"/>
    <w:next w:val="Normal"/>
    <w:link w:val="TitluCaracter"/>
    <w:uiPriority w:val="10"/>
    <w:qFormat/>
    <w:rsid w:val="005A6D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A6DE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A6DE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A6DE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A6DE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A6DEF"/>
    <w:rPr>
      <w:i/>
      <w:iCs/>
      <w:color w:val="404040" w:themeColor="text1" w:themeTint="BF"/>
    </w:rPr>
  </w:style>
  <w:style w:type="paragraph" w:styleId="Listparagraf">
    <w:name w:val="List Paragraph"/>
    <w:basedOn w:val="Normal"/>
    <w:uiPriority w:val="34"/>
    <w:qFormat/>
    <w:rsid w:val="005A6DEF"/>
    <w:pPr>
      <w:ind w:left="720"/>
      <w:contextualSpacing/>
    </w:pPr>
  </w:style>
  <w:style w:type="character" w:styleId="Accentuareintens">
    <w:name w:val="Intense Emphasis"/>
    <w:basedOn w:val="Fontdeparagrafimplicit"/>
    <w:uiPriority w:val="21"/>
    <w:qFormat/>
    <w:rsid w:val="005A6DEF"/>
    <w:rPr>
      <w:i/>
      <w:iCs/>
      <w:color w:val="2F5496" w:themeColor="accent1" w:themeShade="BF"/>
    </w:rPr>
  </w:style>
  <w:style w:type="paragraph" w:styleId="Citatintens">
    <w:name w:val="Intense Quote"/>
    <w:basedOn w:val="Normal"/>
    <w:next w:val="Normal"/>
    <w:link w:val="CitatintensCaracter"/>
    <w:uiPriority w:val="30"/>
    <w:qFormat/>
    <w:rsid w:val="005A6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A6DEF"/>
    <w:rPr>
      <w:i/>
      <w:iCs/>
      <w:color w:val="2F5496" w:themeColor="accent1" w:themeShade="BF"/>
    </w:rPr>
  </w:style>
  <w:style w:type="character" w:styleId="Referireintens">
    <w:name w:val="Intense Reference"/>
    <w:basedOn w:val="Fontdeparagrafimplicit"/>
    <w:uiPriority w:val="32"/>
    <w:qFormat/>
    <w:rsid w:val="005A6DE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11</Pages>
  <Words>5937</Words>
  <Characters>34441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2026-09-02T10:47:00Z</dcterms:created>
  <dcterms:modified xsi:type="dcterms:W3CDTF">2026-09-02T10:54:00Z</dcterms:modified>
  <cp:category/>
  <dc:identifier/>
  <cp:contentStatus/>
  <dc:language/>
  <cp:version/>
</cp:coreProperties>
</file>