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C67AA2" w14:paraId="6BC0335D" w14:textId="77777777">
      <w:pPr>
        <w:rPr>
          <w:rStyle w:val="Fontdeparagrafimplicit"/>
          <w:rFonts w:ascii="Bookman Old Style" w:hAnsi="Bookman Old Style"/>
        </w:rPr>
      </w:pPr>
    </w:p>
    <w:p w:rsidR="00C67AA2" w14:paraId="477F64DB" w14:textId="77777777">
      <w:pPr>
        <w:rPr>
          <w:rStyle w:val="Fontdeparagrafimplicit"/>
          <w:rFonts w:ascii="Bookman Old Style" w:hAnsi="Bookman Old Style"/>
        </w:rPr>
      </w:pPr>
    </w:p>
    <w:p w:rsidRPr="000150E1" w:rsidR="00C67AA2" w14:paraId="7D4CF8F3" w14:textId="77777777">
      <w:pPr>
        <w:pStyle w:val="Titlu3"/>
        <w:jc w:val="center"/>
        <w:rPr>
          <w:rStyle w:val="Fontdeparagrafimplicit"/>
          <w:rFonts w:ascii="Bookman Old Style" w:hAnsi="Bookman Old Style"/>
          <w:sz w:val="24"/>
          <w:lang w:val="pt-PT"/>
        </w:rPr>
      </w:pPr>
      <w:r w:rsidRPr="000150E1">
        <w:rPr>
          <w:rStyle w:val="Fontdeparagrafimplicit"/>
          <w:rFonts w:ascii="Bookman Old Style" w:hAnsi="Bookman Old Style"/>
          <w:b w:val="0"/>
          <w:sz w:val="24"/>
          <w:lang w:val="pt-PT"/>
        </w:rPr>
        <w:t>R O M Â N I A</w:t>
      </w:r>
    </w:p>
    <w:p w:rsidRPr="000150E1" w:rsidR="00C67AA2" w14:paraId="0CF788DA" w14:textId="77777777">
      <w:pPr>
        <w:jc w:val="center"/>
        <w:rPr>
          <w:rStyle w:val="Fontdeparagrafimplicit"/>
          <w:rFonts w:ascii="Bookman Old Style" w:hAnsi="Bookman Old Style"/>
          <w:lang w:val="pt-PT"/>
        </w:rPr>
      </w:pPr>
      <w:r w:rsidRPr="000150E1">
        <w:rPr>
          <w:rStyle w:val="Fontdeparagrafimplicit"/>
          <w:rFonts w:ascii="Bookman Old Style" w:hAnsi="Bookman Old Style"/>
          <w:lang w:val="pt-PT"/>
        </w:rPr>
        <w:t>CURTEA DE APEL ...........</w:t>
      </w:r>
    </w:p>
    <w:p w:rsidRPr="000150E1" w:rsidR="00C67AA2" w14:paraId="0F49CF5E" w14:textId="77777777">
      <w:pPr>
        <w:jc w:val="center"/>
        <w:rPr>
          <w:rStyle w:val="Fontdeparagrafimplicit"/>
          <w:rFonts w:ascii="Bookman Old Style" w:hAnsi="Bookman Old Style"/>
          <w:lang w:val="pt-PT"/>
        </w:rPr>
      </w:pPr>
      <w:r w:rsidRPr="000150E1">
        <w:rPr>
          <w:rStyle w:val="Fontdeparagrafimplicit"/>
          <w:rFonts w:ascii="Bookman Old Style" w:hAnsi="Bookman Old Style"/>
          <w:lang w:val="pt-PT"/>
        </w:rPr>
        <w:t>SECŢIA ...........</w:t>
      </w:r>
    </w:p>
    <w:p w:rsidRPr="000150E1" w:rsidR="00C67AA2" w14:paraId="1DA4F728" w14:textId="77777777">
      <w:pPr>
        <w:jc w:val="center"/>
        <w:rPr>
          <w:rStyle w:val="Fontdeparagrafimplicit"/>
          <w:rFonts w:ascii="Bookman Old Style" w:hAnsi="Bookman Old Style"/>
          <w:lang w:val="pt-PT"/>
        </w:rPr>
      </w:pPr>
    </w:p>
    <w:p w:rsidRPr="000150E1" w:rsidR="00C67AA2" w14:paraId="5CAA813C" w14:textId="77777777">
      <w:pPr>
        <w:jc w:val="center"/>
        <w:rPr>
          <w:rStyle w:val="Fontdeparagrafimplicit"/>
          <w:rFonts w:ascii="Bookman Old Style" w:hAnsi="Bookman Old Style"/>
          <w:lang w:val="pt-PT"/>
        </w:rPr>
      </w:pPr>
    </w:p>
    <w:p w:rsidRPr="000150E1" w:rsidR="00C67AA2" w14:paraId="142CD47C" w14:textId="77777777">
      <w:pPr>
        <w:rPr>
          <w:rStyle w:val="Fontdeparagrafimplicit"/>
          <w:rFonts w:ascii="Bookman Old Style" w:hAnsi="Bookman Old Style"/>
          <w:lang w:val="pt-PT"/>
        </w:rPr>
      </w:pPr>
      <w:r w:rsidRPr="000150E1">
        <w:rPr>
          <w:rStyle w:val="Fontdeparagrafimplicit"/>
          <w:rFonts w:ascii="Bookman Old Style" w:hAnsi="Bookman Old Style"/>
          <w:lang w:val="pt-PT"/>
        </w:rPr>
        <w:t xml:space="preserve">Dosar nr. </w:t>
      </w:r>
      <w:r w:rsidRPr="000150E1" w:rsidR="00C846AD">
        <w:rPr>
          <w:rStyle w:val="Fontdeparagrafimplicit"/>
          <w:rFonts w:ascii="Bookman Old Style" w:hAnsi="Bookman Old Style"/>
          <w:lang w:val="pt-PT"/>
        </w:rPr>
        <w:t>20</w:t>
      </w:r>
    </w:p>
    <w:p w:rsidRPr="000150E1" w:rsidR="00C67AA2" w14:paraId="16E04BED" w14:textId="77777777">
      <w:pPr>
        <w:pStyle w:val="Titlu2"/>
        <w:jc w:val="center"/>
        <w:rPr>
          <w:rStyle w:val="Fontdeparagrafimplicit"/>
          <w:rFonts w:ascii="Bookman Old Style" w:hAnsi="Bookman Old Style"/>
          <w:lang w:val="pt-PT"/>
        </w:rPr>
      </w:pPr>
      <w:r w:rsidRPr="000150E1">
        <w:rPr>
          <w:rStyle w:val="Fontdeparagrafimplicit"/>
          <w:rFonts w:ascii="Bookman Old Style" w:hAnsi="Bookman Old Style"/>
          <w:lang w:val="pt-PT"/>
        </w:rPr>
        <w:t xml:space="preserve">DECIZIA CIVILĂ Nr. </w:t>
      </w:r>
      <w:r w:rsidRPr="000150E1" w:rsidR="00C846AD">
        <w:rPr>
          <w:rStyle w:val="Fontdeparagrafimplicit"/>
          <w:rFonts w:ascii="Bookman Old Style" w:hAnsi="Bookman Old Style"/>
          <w:lang w:val="pt-PT"/>
        </w:rPr>
        <w:t>20</w:t>
      </w:r>
    </w:p>
    <w:p w:rsidRPr="000150E1" w:rsidR="00C67AA2" w14:paraId="35CD8363" w14:textId="77777777">
      <w:pPr>
        <w:jc w:val="center"/>
        <w:rPr>
          <w:rStyle w:val="Fontdeparagrafimplicit"/>
          <w:rFonts w:ascii="Bookman Old Style" w:hAnsi="Bookman Old Style"/>
          <w:lang w:val="pt-PT"/>
        </w:rPr>
      </w:pPr>
      <w:r w:rsidRPr="000150E1">
        <w:rPr>
          <w:rStyle w:val="Fontdeparagrafimplicit"/>
          <w:rFonts w:ascii="Bookman Old Style" w:hAnsi="Bookman Old Style"/>
          <w:lang w:val="pt-PT"/>
        </w:rPr>
        <w:t xml:space="preserve">Şedinţa publică din data de ............. </w:t>
      </w:r>
    </w:p>
    <w:p w:rsidRPr="000150E1" w:rsidR="00C67AA2" w14:paraId="283640F6" w14:textId="77777777">
      <w:pPr>
        <w:jc w:val="center"/>
        <w:rPr>
          <w:rStyle w:val="Fontdeparagrafimplicit"/>
          <w:rFonts w:ascii="Bookman Old Style" w:hAnsi="Bookman Old Style"/>
          <w:lang w:val="pt-PT"/>
        </w:rPr>
      </w:pPr>
      <w:r w:rsidRPr="000150E1">
        <w:rPr>
          <w:rStyle w:val="Fontdeparagrafimplicit"/>
          <w:rFonts w:ascii="Bookman Old Style" w:hAnsi="Bookman Old Style"/>
          <w:lang w:val="pt-PT"/>
        </w:rPr>
        <w:t>Instanţa constituită din:</w:t>
      </w:r>
    </w:p>
    <w:p w:rsidRPr="000150E1" w:rsidR="00C67AA2" w14:paraId="4466E898" w14:textId="77777777">
      <w:pPr>
        <w:jc w:val="center"/>
        <w:rPr>
          <w:rStyle w:val="Fontdeparagrafimplicit"/>
          <w:rFonts w:ascii="Bookman Old Style" w:hAnsi="Bookman Old Style"/>
          <w:lang w:val="pt-PT"/>
        </w:rPr>
      </w:pPr>
      <w:r w:rsidRPr="000150E1">
        <w:rPr>
          <w:rStyle w:val="Fontdeparagrafimplicit"/>
          <w:rFonts w:ascii="Bookman Old Style" w:hAnsi="Bookman Old Style"/>
          <w:lang w:val="pt-PT"/>
        </w:rPr>
        <w:t xml:space="preserve">PREŞEDINTE: ................... </w:t>
      </w:r>
    </w:p>
    <w:p w:rsidRPr="000150E1" w:rsidR="00C67AA2" w14:paraId="3AF5F725" w14:textId="77777777">
      <w:pPr>
        <w:jc w:val="center"/>
        <w:rPr>
          <w:rStyle w:val="Fontdeparagrafimplicit"/>
          <w:rFonts w:ascii="Bookman Old Style" w:hAnsi="Bookman Old Style"/>
          <w:lang w:val="pt-PT"/>
        </w:rPr>
      </w:pPr>
      <w:r w:rsidRPr="000150E1">
        <w:rPr>
          <w:rStyle w:val="Fontdeparagrafimplicit"/>
          <w:rFonts w:ascii="Bookman Old Style" w:hAnsi="Bookman Old Style"/>
          <w:lang w:val="pt-PT"/>
        </w:rPr>
        <w:t>JUDECĂTOR: A0019</w:t>
      </w:r>
    </w:p>
    <w:p w:rsidRPr="000150E1" w:rsidR="00C67AA2" w14:paraId="09171DD0" w14:textId="77777777">
      <w:pPr>
        <w:jc w:val="center"/>
        <w:rPr>
          <w:rStyle w:val="Fontdeparagrafimplicit"/>
          <w:rFonts w:ascii="Bookman Old Style" w:hAnsi="Bookman Old Style"/>
          <w:lang w:val="pt-PT"/>
        </w:rPr>
      </w:pPr>
      <w:r w:rsidRPr="000150E1">
        <w:rPr>
          <w:rStyle w:val="Fontdeparagrafimplicit"/>
          <w:rFonts w:ascii="Bookman Old Style" w:hAnsi="Bookman Old Style"/>
          <w:lang w:val="pt-PT"/>
        </w:rPr>
        <w:t xml:space="preserve">JUDECĂTOR: ................ </w:t>
      </w:r>
    </w:p>
    <w:p w:rsidRPr="000150E1" w:rsidR="00C67AA2" w14:paraId="56DF6018" w14:textId="77777777">
      <w:pPr>
        <w:jc w:val="center"/>
        <w:rPr>
          <w:rStyle w:val="Fontdeparagrafimplicit"/>
          <w:rFonts w:ascii="Bookman Old Style" w:hAnsi="Bookman Old Style"/>
          <w:lang w:val="pt-PT"/>
        </w:rPr>
      </w:pPr>
      <w:r w:rsidRPr="000150E1">
        <w:rPr>
          <w:rStyle w:val="Fontdeparagrafimplicit"/>
          <w:rFonts w:ascii="Bookman Old Style" w:hAnsi="Bookman Old Style"/>
          <w:lang w:val="pt-PT"/>
        </w:rPr>
        <w:t xml:space="preserve">GREFIER: ................ </w:t>
      </w:r>
    </w:p>
    <w:p w:rsidRPr="000150E1" w:rsidR="00C67AA2" w14:paraId="52766703" w14:textId="77777777">
      <w:pPr>
        <w:jc w:val="center"/>
        <w:rPr>
          <w:rStyle w:val="Fontdeparagrafimplicit"/>
          <w:rFonts w:ascii="Bookman Old Style" w:hAnsi="Bookman Old Style"/>
          <w:lang w:val="pt-PT"/>
        </w:rPr>
      </w:pPr>
    </w:p>
    <w:p w:rsidRPr="000150E1" w:rsidR="00C67AA2" w14:paraId="235AC651"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 xml:space="preserve">S-a luat în examinare recursul declarat de pârâţii PRIMARUL MUNICIPIULUI ................ şi CONSILIUL LOCAL ................ împotriva sentinţei civile nr. ........ din ...............  a Tribunalului .......... , pronunţate în dosar nr. </w:t>
      </w:r>
      <w:r w:rsidRPr="000150E1" w:rsidR="00C846AD">
        <w:rPr>
          <w:rStyle w:val="Fontdeparagrafimplicit"/>
          <w:rFonts w:ascii="Bookman Old Style" w:hAnsi="Bookman Old Style"/>
          <w:lang w:val="pt-PT"/>
        </w:rPr>
        <w:t>20</w:t>
      </w:r>
      <w:r w:rsidRPr="000150E1">
        <w:rPr>
          <w:rStyle w:val="Fontdeparagrafimplicit"/>
          <w:rFonts w:ascii="Bookman Old Style" w:hAnsi="Bookman Old Style"/>
          <w:lang w:val="pt-PT"/>
        </w:rPr>
        <w:t>, privind şi pe reclamanta LIGA SINDICATELOR DIN ÎNVĂŢĂMÂNT .......... , precum şi pe intimata pârâtă GRĂDINIŢA „1 ” .......... , având ca obiect calcul drepturi salariale.</w:t>
      </w:r>
    </w:p>
    <w:p w:rsidRPr="000150E1" w:rsidR="00C67AA2" w14:paraId="6C76DE4D"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La apelul nominal făcut în şedinţă publică, la prima şi a doua strigare a cauzei, se constată lipsa părţilor de la dezbateri.</w:t>
      </w:r>
    </w:p>
    <w:p w:rsidRPr="000150E1" w:rsidR="00C67AA2" w14:paraId="273B17C0"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Procedura de citare este realizată.</w:t>
      </w:r>
    </w:p>
    <w:p w:rsidRPr="000150E1" w:rsidR="00C67AA2" w14:paraId="210AEA42"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Recursul este declarat şi motivat în termen legal, a fost comunicat intimaţilor şi este scutit de plata taxei judiciare de timbru şi a timbrului judiciar.</w:t>
      </w:r>
    </w:p>
    <w:p w:rsidRPr="000150E1" w:rsidR="00C67AA2" w14:paraId="3AC9A0B9"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S-a făcut referatul cauzei după care se constată că la data de 26  aprilie 2013 reclamanta intimată a transmis prin fax la dosarul cauzei întâmpinare.</w:t>
      </w:r>
    </w:p>
    <w:p w:rsidRPr="000150E1" w:rsidR="00C67AA2" w14:paraId="64279C44"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Instanţa apreciază că prezenta cauză se află în stare de judecată şi, având în vedere şi solicitarea părţilor de judecată în lipsă, o reţine în pronunţare în baza actelor aflate la dosar.</w:t>
      </w:r>
    </w:p>
    <w:p w:rsidRPr="000150E1" w:rsidR="00C67AA2" w14:paraId="5EA2CC58" w14:textId="77777777">
      <w:pPr>
        <w:ind w:firstLine="708"/>
        <w:jc w:val="both"/>
        <w:rPr>
          <w:rStyle w:val="Fontdeparagrafimplicit"/>
          <w:rFonts w:ascii="Bookman Old Style" w:hAnsi="Bookman Old Style"/>
          <w:lang w:val="pt-PT"/>
        </w:rPr>
      </w:pPr>
    </w:p>
    <w:p w:rsidRPr="000150E1" w:rsidR="00C67AA2" w14:paraId="26863E89" w14:textId="77777777">
      <w:pPr>
        <w:ind w:firstLine="708"/>
        <w:jc w:val="center"/>
        <w:rPr>
          <w:rStyle w:val="Fontdeparagrafimplicit"/>
          <w:rFonts w:ascii="Bookman Old Style" w:hAnsi="Bookman Old Style"/>
          <w:lang w:val="pt-PT"/>
        </w:rPr>
      </w:pPr>
      <w:r w:rsidRPr="000150E1">
        <w:rPr>
          <w:rStyle w:val="Fontdeparagrafimplicit"/>
          <w:rFonts w:ascii="Bookman Old Style" w:hAnsi="Bookman Old Style"/>
          <w:lang w:val="pt-PT"/>
        </w:rPr>
        <w:t>C U R T E A</w:t>
      </w:r>
    </w:p>
    <w:p w:rsidRPr="000150E1" w:rsidR="00C67AA2" w14:paraId="0719DD33" w14:textId="77777777">
      <w:pPr>
        <w:ind w:firstLine="708"/>
        <w:jc w:val="center"/>
        <w:rPr>
          <w:rStyle w:val="Fontdeparagrafimplicit"/>
          <w:rFonts w:ascii="Bookman Old Style" w:hAnsi="Bookman Old Style"/>
          <w:lang w:val="pt-PT"/>
        </w:rPr>
      </w:pPr>
    </w:p>
    <w:p w:rsidRPr="000150E1" w:rsidR="00C67AA2" w14:paraId="06478F53" w14:textId="77777777">
      <w:pPr>
        <w:ind w:firstLine="705"/>
        <w:jc w:val="both"/>
        <w:rPr>
          <w:rStyle w:val="Fontdeparagrafimplicit"/>
          <w:rFonts w:ascii="Bookman Old Style" w:hAnsi="Bookman Old Style"/>
          <w:lang w:val="pt-PT"/>
        </w:rPr>
      </w:pPr>
      <w:r w:rsidRPr="000150E1">
        <w:rPr>
          <w:rStyle w:val="Fontdeparagrafimplicit"/>
          <w:rFonts w:ascii="Bookman Old Style" w:hAnsi="Bookman Old Style"/>
          <w:i/>
          <w:lang w:val="pt-PT"/>
        </w:rPr>
        <w:t xml:space="preserve">Prin sentinţa civilă nr. ........ din ...............  a Tribunalului ..........  pronunţată în dosarul nr. </w:t>
      </w:r>
      <w:r w:rsidRPr="000150E1" w:rsidR="00C846AD">
        <w:rPr>
          <w:rStyle w:val="Fontdeparagrafimplicit"/>
          <w:rFonts w:ascii="Bookman Old Style" w:hAnsi="Bookman Old Style"/>
          <w:i/>
          <w:lang w:val="pt-PT"/>
        </w:rPr>
        <w:t>20</w:t>
      </w:r>
      <w:r w:rsidRPr="000150E1">
        <w:rPr>
          <w:rStyle w:val="Fontdeparagrafimplicit"/>
          <w:rFonts w:ascii="Bookman Old Style" w:hAnsi="Bookman Old Style"/>
          <w:i/>
          <w:lang w:val="pt-PT"/>
        </w:rPr>
        <w:t xml:space="preserve"> </w:t>
      </w:r>
      <w:r w:rsidRPr="000150E1">
        <w:rPr>
          <w:rStyle w:val="Fontdeparagrafimplicit"/>
          <w:rFonts w:ascii="Bookman Old Style" w:hAnsi="Bookman Old Style"/>
          <w:lang w:val="pt-PT"/>
        </w:rPr>
        <w:t>s-a</w:t>
      </w:r>
      <w:r w:rsidRPr="000150E1">
        <w:rPr>
          <w:rStyle w:val="Fontdeparagrafimplicit"/>
          <w:rFonts w:ascii="Bookman Old Style" w:hAnsi="Bookman Old Style"/>
          <w:i/>
          <w:lang w:val="pt-PT"/>
        </w:rPr>
        <w:t xml:space="preserve"> </w:t>
      </w:r>
      <w:r w:rsidRPr="000150E1">
        <w:rPr>
          <w:rStyle w:val="Fontdeparagrafimplicit"/>
          <w:rFonts w:ascii="Bookman Old Style" w:hAnsi="Bookman Old Style"/>
          <w:lang w:val="pt-PT"/>
        </w:rPr>
        <w:t>respins excepţia lipsei calităţii procesuale pasive a Primarului Municipiului .......... , şi a Consiliului Local .......... , excepţii invocate de aceste parate.</w:t>
      </w:r>
    </w:p>
    <w:p w:rsidRPr="000150E1" w:rsidR="00C67AA2" w14:paraId="0252138F" w14:textId="77777777">
      <w:pPr>
        <w:ind w:firstLine="705"/>
        <w:jc w:val="both"/>
        <w:rPr>
          <w:rStyle w:val="Fontdeparagrafimplicit"/>
          <w:rFonts w:ascii="Bookman Old Style" w:hAnsi="Bookman Old Style"/>
          <w:lang w:val="pt-PT"/>
        </w:rPr>
      </w:pPr>
      <w:r w:rsidRPr="000150E1">
        <w:rPr>
          <w:rStyle w:val="Fontdeparagrafimplicit"/>
          <w:rFonts w:ascii="Bookman Old Style" w:hAnsi="Bookman Old Style"/>
          <w:lang w:val="pt-PT"/>
        </w:rPr>
        <w:tab/>
        <w:t xml:space="preserve">S-a admis acţiunea formulată de reclamanta LIGA SINDICATELOR DIN ÎNVĂŢĂMÂNT ..........  în numele membrilor de sindicat: 2, 3, 4, 5, 6, 7, 8, 9, 10, 11, 12, 13, 14, 15, 16, 17, 18, 19, 20, 21, 22, 23, 24, 25, 26, 27, 28, 29, în contradictoriu cu pârâţii: GRĂDINIŢA „1 ” .......... , CONSILIUL LOCAL ................ şi PRIMARUL MUNICIPIULUI ................ – INSTITUŢIA PRIMARULUI, în contradictoriu cu pârâţii: LICEUL 30.......... , CONSILIUL LOCAL ................ şi PRIMARUL MUNICIPIULUI ................ – INSTITUŢIA PRIMARULUI, în consecinţă pârâţii au fost obligaţi la aplicarea coeficientului de multiplicare de 1 in cuantum de 400 lei ca baza de calcul a drepturilor salariale ale reclamanţilor, şi obliga paratele sa plătească reclamanţilor drepturile salariale neacordate reprezentând diferenţa dintre drepturile salariale calculate cu coeficientul de multiplicare 1 in </w:t>
      </w:r>
      <w:r w:rsidRPr="000150E1">
        <w:rPr>
          <w:rStyle w:val="Fontdeparagrafimplicit"/>
          <w:rFonts w:ascii="Bookman Old Style" w:hAnsi="Bookman Old Style"/>
          <w:lang w:val="pt-PT"/>
        </w:rPr>
        <w:t>cuantum de 400 de lei şi cele efectiv încasate, pentru perioada 01.01.2010-13.05.2011, actualizate in funcţie de coeficientul de inflaţie defalcat pe fiecare luna, calculat de la data scadentei şi pana la data plaţii efective.</w:t>
      </w:r>
    </w:p>
    <w:p w:rsidRPr="000150E1" w:rsidR="00C67AA2" w14:paraId="21C51577" w14:textId="77777777">
      <w:pPr>
        <w:ind w:firstLine="705"/>
        <w:jc w:val="both"/>
        <w:rPr>
          <w:rStyle w:val="Fontdeparagrafimplicit"/>
          <w:rFonts w:ascii="Bookman Old Style" w:hAnsi="Bookman Old Style"/>
          <w:lang w:val="pt-PT"/>
        </w:rPr>
      </w:pPr>
      <w:r w:rsidRPr="000150E1">
        <w:rPr>
          <w:rStyle w:val="Fontdeparagrafimplicit"/>
          <w:rFonts w:ascii="Bookman Old Style" w:hAnsi="Bookman Old Style"/>
          <w:lang w:val="pt-PT"/>
        </w:rPr>
        <w:t xml:space="preserve">Pârâţii au fost obligaţi la plata către reclamant a sumei de 136,40 lei, reprezentând cheltuieli de judecată. </w:t>
      </w:r>
    </w:p>
    <w:p w:rsidRPr="000150E1" w:rsidR="00C67AA2" w14:paraId="20D538C5" w14:textId="77777777">
      <w:pPr>
        <w:ind w:firstLine="705"/>
        <w:jc w:val="both"/>
        <w:rPr>
          <w:rStyle w:val="Fontdeparagrafimplicit"/>
          <w:rFonts w:ascii="Bookman Old Style" w:hAnsi="Bookman Old Style"/>
          <w:lang w:val="pt-PT"/>
        </w:rPr>
      </w:pPr>
      <w:r w:rsidRPr="000150E1">
        <w:rPr>
          <w:rStyle w:val="Fontdeparagrafimplicit"/>
          <w:rFonts w:ascii="Bookman Old Style" w:hAnsi="Bookman Old Style"/>
          <w:lang w:val="pt-PT"/>
        </w:rPr>
        <w:t>Pentru a hotărî astfel prima instanţă a reţinut în ceea ce priveşte excepţia lipsei calităţii procesuale pasive a pârâţilor Primarul municipiului ................ şi Consiliul local .......... , că finanţarea unităţilor de învăţământ preuniversitar de stat, respectiv finanţarea de bază ce interesează în speţă, se asigură prin bugetele locale ale unităţilor administrativ-teritoriale de care aparţin unităţile de învăţământ, din sumele defalcate din venituri ale bugetului de stat şi din alte venituri ale bugetului local, primarul are calitatea de ordonator principal de credite, instanţa apreciază că legitimitatea procesuală pasivă a pârâtului Primarul oraşului ................ este conferită de art. 21 din Legea nr. 273/2006 privind finanţele publice locale, art. 4 din OUG 22/2002 coroborate cu art. 167 din Legea nr. 84/1995, iar potrivit art. 167 din Legea 84/95 Consiliul local este finanţatorul unităţilor de învăţământ ca atare excepţia lipsei calităţii procesuale pasive invocată de pârâţii Primarul municipiului ................ şi Consiliul local ................ s-a respins ca neîntemeiată.</w:t>
      </w:r>
    </w:p>
    <w:p w:rsidRPr="000150E1" w:rsidR="00C67AA2" w14:paraId="2EEFB370" w14:textId="77777777">
      <w:pPr>
        <w:jc w:val="both"/>
        <w:rPr>
          <w:rStyle w:val="Fontdeparagrafimplicit"/>
          <w:rFonts w:ascii="Bookman Old Style" w:hAnsi="Bookman Old Style"/>
          <w:lang w:val="pt-PT"/>
        </w:rPr>
      </w:pPr>
      <w:r w:rsidRPr="000150E1">
        <w:rPr>
          <w:rStyle w:val="Fontdeparagrafimplicit"/>
          <w:rFonts w:ascii="Bookman Old Style" w:hAnsi="Bookman Old Style"/>
          <w:lang w:val="pt-PT"/>
        </w:rPr>
        <w:tab/>
      </w:r>
      <w:r w:rsidRPr="000150E1">
        <w:rPr>
          <w:rStyle w:val="Fontdeparagrafimplicit"/>
          <w:rFonts w:ascii="Bookman Old Style" w:hAnsi="Bookman Old Style"/>
          <w:lang w:val="en-US"/>
        </w:rPr>
        <w:t xml:space="preserve">Instanţa a reţinut că potrivit art. 41 alin. 1 Cod procedură civilă „orice persoană care are folosinţa drepturilor civile poate să fie parte în judecată", iar art. 42 Cod procedură civilă se dispune că „persoanele care nu au exerciţiul drepturilor lor nu pot sta în judecată decât dacă sunt reprezentate... </w:t>
      </w:r>
      <w:r>
        <w:rPr>
          <w:rStyle w:val="Fontdeparagrafimplicit"/>
          <w:rFonts w:ascii="Bookman Old Style" w:hAnsi="Bookman Old Style"/>
        </w:rPr>
        <w:t>".Potrivit</w:t>
      </w:r>
      <w:r>
        <w:rPr>
          <w:rStyle w:val="Fontdeparagrafimplicit"/>
          <w:rFonts w:ascii="Bookman Old Style" w:hAnsi="Bookman Old Style"/>
        </w:rPr>
        <w:t xml:space="preserve"> art. 36 alin. </w:t>
      </w:r>
      <w:r w:rsidRPr="000150E1">
        <w:rPr>
          <w:rStyle w:val="Fontdeparagrafimplicit"/>
          <w:rFonts w:ascii="Bookman Old Style" w:hAnsi="Bookman Old Style"/>
          <w:lang w:val="pt-PT"/>
        </w:rPr>
        <w:t>4 din Legea nr. 215/2001 Consiliul local aprobă la propunerea primarului bugetul local, virările de credite, iar potrivit art. 167 alin. 2 şi 4 din Legea 84/1995 finanţarea complementară se asigură din bugetele locale. Aşadar excepţia lipsei capacităţii procesuale pasive a Primarului municipiului ................ şi Consiliului local ................ s-a respins ca neîntemeiată</w:t>
      </w:r>
    </w:p>
    <w:p w:rsidRPr="000150E1" w:rsidR="00C67AA2" w14:paraId="3CC3894F" w14:textId="77777777">
      <w:pPr>
        <w:jc w:val="both"/>
        <w:rPr>
          <w:rStyle w:val="Fontdeparagrafimplicit"/>
          <w:rFonts w:ascii="Bookman Old Style" w:hAnsi="Bookman Old Style"/>
          <w:lang w:val="pt-PT"/>
        </w:rPr>
      </w:pPr>
      <w:r w:rsidRPr="000150E1">
        <w:rPr>
          <w:rStyle w:val="Fontdeparagrafimplicit"/>
          <w:rFonts w:ascii="Bookman Old Style" w:hAnsi="Bookman Old Style"/>
          <w:lang w:val="pt-PT"/>
        </w:rPr>
        <w:tab/>
        <w:t>Asupra fondului cauzei, instanţa a reţinut că membrii de sindicat reprezentaţi sunt angajaţi ai pârâtei de rândul 1 şi nu au beneficiat, începând cu 01.01.2010 de drepturile salariale în conformitate cu Legea nr. 330/2009 coroborată cu Legea nr. 221/2008 de aprobare cu modificări a Ordonanţei de Guvern nr. 15/2008, respectiv înmulţirea cu coeficientul de multiplicare 1,000 la valoarea de 400,00 lei.</w:t>
      </w:r>
    </w:p>
    <w:p w:rsidRPr="000150E1" w:rsidR="00C67AA2" w14:paraId="34776953" w14:textId="77777777">
      <w:pPr>
        <w:jc w:val="both"/>
        <w:rPr>
          <w:rStyle w:val="Fontdeparagrafimplicit"/>
          <w:rFonts w:ascii="Bookman Old Style" w:hAnsi="Bookman Old Style"/>
          <w:lang w:val="pt-PT"/>
        </w:rPr>
      </w:pPr>
      <w:r w:rsidRPr="000150E1">
        <w:rPr>
          <w:rStyle w:val="Fontdeparagrafimplicit"/>
          <w:rFonts w:ascii="Bookman Old Style" w:hAnsi="Bookman Old Style"/>
          <w:lang w:val="pt-PT"/>
        </w:rPr>
        <w:tab/>
      </w:r>
      <w:r w:rsidRPr="000150E1">
        <w:rPr>
          <w:rStyle w:val="Fontdeparagrafimplicit"/>
          <w:rFonts w:ascii="Bookman Old Style" w:hAnsi="Bookman Old Style"/>
          <w:lang w:val="en-US"/>
        </w:rPr>
        <w:t xml:space="preserve">Prin dispoziţiile OG nr. 15/2008, privind creşterile salariale ale personalului din învăţământ pe anul 2008, art. 1 alin. </w:t>
      </w:r>
      <w:r w:rsidRPr="000150E1">
        <w:rPr>
          <w:rStyle w:val="Fontdeparagrafimplicit"/>
          <w:rFonts w:ascii="Bookman Old Style" w:hAnsi="Bookman Old Style"/>
          <w:lang w:val="pt-PT"/>
        </w:rPr>
        <w:t>1 lit. b şi c, se stabilea valoarea coeficientului de multiplicare 1,000, astfel încât, în anumite intervale de timp, se asigura o creştere a drepturilor salariale ale personalului didactic auxiliar pentru anul 2008 cu 16% mai mult faţă de nivelul din 31 decembrie 2007.</w:t>
      </w:r>
    </w:p>
    <w:p w:rsidRPr="000150E1" w:rsidR="00C67AA2" w14:paraId="641075E2" w14:textId="77777777">
      <w:pPr>
        <w:jc w:val="both"/>
        <w:rPr>
          <w:rStyle w:val="Fontdeparagrafimplicit"/>
          <w:rFonts w:ascii="Bookman Old Style" w:hAnsi="Bookman Old Style"/>
          <w:lang w:val="pt-PT"/>
        </w:rPr>
      </w:pPr>
      <w:r w:rsidRPr="000150E1">
        <w:rPr>
          <w:rStyle w:val="Fontdeparagrafimplicit"/>
          <w:rFonts w:ascii="Bookman Old Style" w:hAnsi="Bookman Old Style"/>
          <w:lang w:val="pt-PT"/>
        </w:rPr>
        <w:tab/>
        <w:t>Acest act normativ a fost aprobat cu modificări de către Parlamentul României prin Legea nr. 221/2008, principala modificare constând în majorarea coeficientului de multiplicare 1,000 la 400,00 lei pentru perioada 1 octombrie - 31.12.2008, aceasta reprezentând valoarea de referinţă pentru creşterile salariale ulterioare.</w:t>
      </w:r>
    </w:p>
    <w:p w:rsidRPr="000150E1" w:rsidR="00C67AA2" w14:paraId="66874C0C" w14:textId="77777777">
      <w:pPr>
        <w:jc w:val="both"/>
        <w:rPr>
          <w:rStyle w:val="Fontdeparagrafimplicit"/>
          <w:rFonts w:ascii="Bookman Old Style" w:hAnsi="Bookman Old Style"/>
          <w:lang w:val="pt-PT"/>
        </w:rPr>
      </w:pPr>
      <w:r w:rsidRPr="000150E1">
        <w:rPr>
          <w:rStyle w:val="Fontdeparagrafimplicit"/>
          <w:rFonts w:ascii="Bookman Old Style" w:hAnsi="Bookman Old Style"/>
          <w:lang w:val="pt-PT"/>
        </w:rPr>
        <w:tab/>
        <w:t>Această valoare a fost diminuată prin ordonanţe de urgenţă succesive care au fost ulterior declarate neconstituţionale prin decizii ale Curţii Constituţionale. Curtea Constituţională a stabilit că adoptarea ordonanţelor de urgenţă numai în scopul contracarării unei măsuri de politică legislativă în domeniul salarizării personalului din învăţământ adoptate de Parlament încalcă articolul 1 alin. 4, art. 61 alin. 1 şi art. 115 alin. 4 din Constituţie. (Decizia nr. 1221/12 noiembrie 2008, Decizia nr. 842/2 iunie 2009, Decizia nr. 989/30 iunie 2009).</w:t>
      </w:r>
    </w:p>
    <w:p w:rsidRPr="000150E1" w:rsidR="00C67AA2" w14:paraId="6F7D463E" w14:textId="77777777">
      <w:pPr>
        <w:jc w:val="both"/>
        <w:rPr>
          <w:rStyle w:val="Fontdeparagrafimplicit"/>
          <w:rFonts w:ascii="Bookman Old Style" w:hAnsi="Bookman Old Style"/>
          <w:lang w:val="pt-PT"/>
        </w:rPr>
      </w:pPr>
      <w:r w:rsidRPr="000150E1">
        <w:rPr>
          <w:rStyle w:val="Fontdeparagrafimplicit"/>
          <w:rFonts w:ascii="Bookman Old Style" w:hAnsi="Bookman Old Style"/>
          <w:lang w:val="pt-PT"/>
        </w:rPr>
        <w:tab/>
        <w:t>Prin Decizia nr. 3/2011 privind recursul în interesul legii publicată în Monitorul Oficial nr. 350 din 19/05/2011, Înalta Curte de Casaţie şi Justiţie a stabilit că dispoziţiile Ordonanţei Guvernului nr. 15/2008, astfel cum a fost aprobată şi modificată prin Legea nr. 221/2008, constituie temei legal pentru diferenţa dintre drepturile salariale cuvenite funcţiilor didactice potrivit acestui act normativ şi drepturile salariale efectiv încasate, cu începere de la 1 octombrie 2008 şi până la data de 31 decembrie 2009 ca efect al deciziilor Curţii Constituţionale prin care au fost declarate neconstituţionale ordonanţele de urgenţă ale Guvernului nr. 136/2008, nr. 151/2008 şi nr. 1/2009.</w:t>
      </w:r>
    </w:p>
    <w:p w:rsidRPr="000150E1" w:rsidR="00C67AA2" w14:paraId="33FCA937" w14:textId="77777777">
      <w:pPr>
        <w:jc w:val="both"/>
        <w:rPr>
          <w:rStyle w:val="Fontdeparagrafimplicit"/>
          <w:rFonts w:ascii="Bookman Old Style" w:hAnsi="Bookman Old Style"/>
          <w:lang w:val="pt-PT"/>
        </w:rPr>
      </w:pPr>
      <w:r w:rsidRPr="000150E1">
        <w:rPr>
          <w:rStyle w:val="Fontdeparagrafimplicit"/>
          <w:rFonts w:ascii="Bookman Old Style" w:hAnsi="Bookman Old Style"/>
          <w:lang w:val="pt-PT"/>
        </w:rPr>
        <w:tab/>
        <w:t>Potrivit art. 330/7 alin. 4 din Codul de procedură civilă, dezlegarea dată de înalta Curte de Casaţie şi Justiţie, printr-o decizie în interesul legii, problemelor de drept judecate este obligatorie pentru instanţe de la data publicării în Monitorul Oficial.</w:t>
      </w:r>
    </w:p>
    <w:p w:rsidRPr="000150E1" w:rsidR="00C67AA2" w14:paraId="7EF48402" w14:textId="77777777">
      <w:pPr>
        <w:jc w:val="both"/>
        <w:rPr>
          <w:rStyle w:val="Fontdeparagrafimplicit"/>
          <w:rFonts w:ascii="Bookman Old Style" w:hAnsi="Bookman Old Style"/>
          <w:lang w:val="pt-PT"/>
        </w:rPr>
      </w:pPr>
      <w:r w:rsidRPr="000150E1">
        <w:rPr>
          <w:rStyle w:val="Fontdeparagrafimplicit"/>
          <w:rFonts w:ascii="Bookman Old Style" w:hAnsi="Bookman Old Style"/>
          <w:lang w:val="pt-PT"/>
        </w:rPr>
        <w:tab/>
        <w:t>În ce priveşte aplicarea dispoziţiilor Legii 221/2008 şi în anul 2010, instanţa reţine următoarele:</w:t>
      </w:r>
    </w:p>
    <w:p w:rsidRPr="000150E1" w:rsidR="00C67AA2" w14:paraId="0579498D" w14:textId="77777777">
      <w:pPr>
        <w:jc w:val="both"/>
        <w:rPr>
          <w:rStyle w:val="Fontdeparagrafimplicit"/>
          <w:rFonts w:ascii="Bookman Old Style" w:hAnsi="Bookman Old Style"/>
          <w:lang w:val="pt-PT"/>
        </w:rPr>
      </w:pPr>
      <w:r w:rsidRPr="000150E1">
        <w:rPr>
          <w:rStyle w:val="Fontdeparagrafimplicit"/>
          <w:rFonts w:ascii="Bookman Old Style" w:hAnsi="Bookman Old Style"/>
          <w:lang w:val="pt-PT"/>
        </w:rPr>
        <w:tab/>
        <w:t>Art. 7 alin. 2 din Legea 330/2009 privind salarizarea unitară a personalului plătit din fonduri publice menţiona că „realizarea trecerii de la actualul sistem de salarizare la noul sistem de salarizare se efectuează în mod etapizat, astfel încât în perioada de implementare a prezenţei legi nici o persoană să nu înregistreze o diminuare a salariului brut de care beneficiază potrivit actualelor reglementări", iar art. 12 alin. 3 din acelaşi act normativ precizează că „în anul 2010, salariile, soldele şi indemnizaţiile lunare de încadrare se stabilesc potrivit art. 30 alin. 5 fără a fi utilizaţi coeficienţii de ierarhizare prevăzuţi în anexele la prezenţa lege. "</w:t>
      </w:r>
    </w:p>
    <w:p w:rsidRPr="000150E1" w:rsidR="00C67AA2" w14:paraId="19074D6A" w14:textId="77777777">
      <w:pPr>
        <w:jc w:val="both"/>
        <w:rPr>
          <w:rStyle w:val="Fontdeparagrafimplicit"/>
          <w:rFonts w:ascii="Bookman Old Style" w:hAnsi="Bookman Old Style"/>
          <w:lang w:val="pt-PT"/>
        </w:rPr>
      </w:pPr>
      <w:r w:rsidRPr="000150E1">
        <w:rPr>
          <w:rStyle w:val="Fontdeparagrafimplicit"/>
          <w:rFonts w:ascii="Bookman Old Style" w:hAnsi="Bookman Old Style"/>
          <w:lang w:val="pt-PT"/>
        </w:rPr>
        <w:tab/>
        <w:t>Art. 30 alin. 5 din Legea 330/2009 prevedea că „în anul 2010, personalul aflat în funcţie la 31 decembrie 2009 îşi va păstra salariul avut, fără a fi afectat de măsurile de reducere a cheltuielilor de personal din luna decembrie 2009, astfel:noul salariu de bază, solda funcţiei de bază sau, după caz, indemnizaţia lunară de încadrare va fi cel/cea corespunzătoare funcţiilor din luna decembrie 2009, la care se adaugă sporurile care se introduc în acesta/aceasta potrivit anexelor la prezenţa lege; sporurile prevăzute în anexele la prezenţa lege rămase în afara salariului de bază, soldei funcţiei de bază sau, după caz, indemnizaţiei lunare de încadrare se vor acorda într-un cuantum care să conducă la o valoare egală cu suma calculată pentru luna decembrie 2009. "</w:t>
      </w:r>
    </w:p>
    <w:p w:rsidRPr="000150E1" w:rsidR="00C67AA2" w14:paraId="48318EE9" w14:textId="77777777">
      <w:pPr>
        <w:jc w:val="both"/>
        <w:rPr>
          <w:rStyle w:val="Fontdeparagrafimplicit"/>
          <w:rFonts w:ascii="Bookman Old Style" w:hAnsi="Bookman Old Style"/>
          <w:lang w:val="pt-PT"/>
        </w:rPr>
      </w:pPr>
      <w:r w:rsidRPr="000150E1">
        <w:rPr>
          <w:rStyle w:val="Fontdeparagrafimplicit"/>
          <w:rFonts w:ascii="Bookman Old Style" w:hAnsi="Bookman Old Style"/>
          <w:lang w:val="pt-PT"/>
        </w:rPr>
        <w:tab/>
        <w:t>Însă, ţinând seama de faptul că prevederile Legii-cadru nr. 330/2009 privind salarizarea unitară a personalului plătit din fonduri publice intraseră în vigoare la 1 ianuarie 2010, dar nici acest act normativ şi nici Legea nr. 329/2009 nu conţineau vreo reglementare expresă cu privire la modul de încadrare a personalului din aceste instituţii şi la modul de salarizare a acestuia după expirarea contractelor colective de muncă, Guvernul României a adoptat O.U.G. nr. 1/2010 privind unele măsuri de reîncadrare în funcţii a unor categorii de personal din sectorul bugetar şi stabilirea salariilor acestora, precum şi alte măsuri în domeniul bugetar, publicată în M.O. nr. 62 din 27 ianuarie 2010.</w:t>
      </w:r>
    </w:p>
    <w:p w:rsidRPr="000150E1" w:rsidR="00C67AA2" w14:paraId="30444B59" w14:textId="77777777">
      <w:pPr>
        <w:jc w:val="both"/>
        <w:rPr>
          <w:rStyle w:val="Fontdeparagrafimplicit"/>
          <w:rFonts w:ascii="Bookman Old Style" w:hAnsi="Bookman Old Style"/>
          <w:lang w:val="pt-PT"/>
        </w:rPr>
      </w:pPr>
      <w:r w:rsidRPr="000150E1">
        <w:rPr>
          <w:rStyle w:val="Fontdeparagrafimplicit"/>
          <w:rFonts w:ascii="Bookman Old Style" w:hAnsi="Bookman Old Style"/>
          <w:lang w:val="pt-PT"/>
        </w:rPr>
        <w:tab/>
        <w:t xml:space="preserve">Potrivit art. 5 al. 1 din O.U.G. nr. 1/2010, începând cu luna ianuarie 2010, personalul aflat în funcţie la 31 decembrie 2009 îşi păstra salariul, solda sau, după caz, indemnizaţia lunară de încadrare brut/brută avute la această dată, fără a fi afectate de măsurile de reducere a cheltuielilor de personal din luna decembrie 2009 prevăzute la art. 10 din Legea nr. 329/2009. Pentru personalul didactic din învăţământ art. 5 al. 6 din O.U.G. nr. 1/2010 prevedea că reîncadrarea la data de 1 ianuarie 2010 se face luând în calcul salariile de bază la data de 31 decembrie 2009, stabilite în conformitate cu prevederile Ordonanţei de urgenţă a Guvernului nr. 41/2009 privind unele măsuri în domeniul salarizării </w:t>
      </w:r>
      <w:r w:rsidRPr="000150E1">
        <w:rPr>
          <w:rStyle w:val="Fontdeparagrafimplicit"/>
          <w:rFonts w:ascii="Bookman Old Style" w:hAnsi="Bookman Old Style"/>
          <w:lang w:val="pt-PT"/>
        </w:rPr>
        <w:t>personalului din sectorul bugetar pentru perioadă mai - decembrie 2009, aprobată prin Legea nr. 300/2009.</w:t>
      </w:r>
    </w:p>
    <w:p w:rsidRPr="000150E1" w:rsidR="00C67AA2" w14:paraId="470B72D8" w14:textId="77777777">
      <w:pPr>
        <w:jc w:val="both"/>
        <w:rPr>
          <w:rStyle w:val="Fontdeparagrafimplicit"/>
          <w:rFonts w:ascii="Bookman Old Style" w:hAnsi="Bookman Old Style"/>
          <w:lang w:val="pt-PT"/>
        </w:rPr>
      </w:pPr>
      <w:r w:rsidRPr="000150E1">
        <w:rPr>
          <w:rStyle w:val="Fontdeparagrafimplicit"/>
          <w:rFonts w:ascii="Bookman Old Style" w:hAnsi="Bookman Old Style"/>
          <w:lang w:val="pt-PT"/>
        </w:rPr>
        <w:tab/>
        <w:t>Însă, cum prin Decizia nr. 3 din 4 aprilie 2011 Înalta Curte de Casaţie şi Justiţie a admis recursul în interesul legii care viza aplicarea dispoziţiilor Legii nr. 221/2008 pentru aprobarea Ordonanţei Guvernului nr. 15/2008 privind creşterile salariale ce se vor acorda în anul 2008 personalului din învăţământ, stabilind că acestea se aplică pe toată perioada cuprinsă între 1 octombrie 2008 şi 31 decembrie 2009, instanţa a apreciat că reîncadrarea personalului didactic din învăţământ la data de 1 ianuarie 2010 nu se poate realiza altfel decât pe coeficienţii şi salariul avut în plată la 31 decembrie 2009, stabilit în conformitate cu Legea nr. 221/2008, şi nu cu Ordonanţa de urgenţă a Guvernului nr. 41/2009.</w:t>
      </w:r>
    </w:p>
    <w:p w:rsidRPr="000150E1" w:rsidR="00C67AA2" w14:paraId="1D419652" w14:textId="77777777">
      <w:pPr>
        <w:jc w:val="both"/>
        <w:rPr>
          <w:rStyle w:val="Fontdeparagrafimplicit"/>
          <w:rFonts w:ascii="Bookman Old Style" w:hAnsi="Bookman Old Style"/>
          <w:lang w:val="pt-PT"/>
        </w:rPr>
      </w:pPr>
      <w:r w:rsidRPr="000150E1">
        <w:rPr>
          <w:rStyle w:val="Fontdeparagrafimplicit"/>
          <w:rFonts w:ascii="Bookman Old Style" w:hAnsi="Bookman Old Style"/>
          <w:lang w:val="pt-PT"/>
        </w:rPr>
        <w:tab/>
        <w:t>O altă interpretare a prevederilor art. 5 al. 6 din O.U.G. 1/2010 ar conduce la nesocotirea deciziei susmenţionate, dar şi a considerentelor de principiu rezultate din deciziile Curţii Constituţionale pronunţate în materia salarizării cadrelor didactice .</w:t>
      </w:r>
    </w:p>
    <w:p w:rsidRPr="000150E1" w:rsidR="00C67AA2" w14:paraId="7830970F"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Acest aspect l-a reţinut şi Curtea Constituţională în Deciziile nr. 877 din 28 iunie 2011 şi 1376/18 octombrie 2011.</w:t>
      </w:r>
    </w:p>
    <w:p w:rsidRPr="000150E1" w:rsidR="00C67AA2" w14:paraId="7B202164" w14:textId="77777777">
      <w:pPr>
        <w:jc w:val="both"/>
        <w:rPr>
          <w:rStyle w:val="Fontdeparagrafimplicit"/>
          <w:rFonts w:ascii="Bookman Old Style" w:hAnsi="Bookman Old Style"/>
          <w:lang w:val="pt-PT"/>
        </w:rPr>
      </w:pPr>
      <w:r w:rsidRPr="000150E1">
        <w:rPr>
          <w:rStyle w:val="Fontdeparagrafimplicit"/>
          <w:rFonts w:ascii="Bookman Old Style" w:hAnsi="Bookman Old Style"/>
          <w:lang w:val="pt-PT"/>
        </w:rPr>
        <w:tab/>
        <w:t xml:space="preserve">În baza art. 274 Cod Procedura Civilă, instanţa a obligat pârâta la plata sumei de 136,40, reprezentând cheltuieli de judecată. </w:t>
      </w:r>
    </w:p>
    <w:p w:rsidRPr="000150E1" w:rsidR="00C67AA2" w14:paraId="1AADFEC7" w14:textId="77777777">
      <w:pPr>
        <w:jc w:val="both"/>
        <w:rPr>
          <w:rStyle w:val="Fontdeparagrafimplicit"/>
          <w:rFonts w:ascii="Bookman Old Style" w:hAnsi="Bookman Old Style"/>
          <w:lang w:val="pt-PT"/>
        </w:rPr>
      </w:pPr>
      <w:r w:rsidRPr="000150E1">
        <w:rPr>
          <w:rStyle w:val="Fontdeparagrafimplicit"/>
          <w:rFonts w:ascii="Bookman Old Style" w:hAnsi="Bookman Old Style"/>
          <w:lang w:val="pt-PT"/>
        </w:rPr>
        <w:tab/>
        <w:t>Faţă de considerentele expuse, instanţa a admis cererea reclamantului.</w:t>
      </w:r>
    </w:p>
    <w:p w:rsidRPr="000150E1" w:rsidR="00C67AA2" w14:paraId="2013DF1A"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i/>
          <w:lang w:val="pt-PT"/>
        </w:rPr>
        <w:t xml:space="preserve">Împotriva acestei hotărâri a declarat recurs pârâţii CONSILIUL LOCAL ................ şi PRIMARUL MUNICIPIULUI .......... </w:t>
      </w:r>
      <w:r w:rsidRPr="000150E1">
        <w:rPr>
          <w:rStyle w:val="Fontdeparagrafimplicit"/>
          <w:rFonts w:ascii="Bookman Old Style" w:hAnsi="Bookman Old Style"/>
          <w:lang w:val="pt-PT"/>
        </w:rPr>
        <w:t>, solicitând modificarea în parte a sentinţei în sensul respingerii acţiunii faţă de aceştia şi a-i exonera de plata cheltuielilor de judecată.</w:t>
      </w:r>
    </w:p>
    <w:p w:rsidRPr="000150E1" w:rsidR="00C67AA2" w14:paraId="3562B4E0"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 xml:space="preserve">În motivare s-a arătat, în esenţă, că obligaţia de a asigura fondurile necesare acestor plăţi revine Ministerului Finanţelor Publice, deoarece cheltuielile cu salariile se asigură de la bugetul de stat, din cote defalcate din TVA, iar potrivit legii, calculul şi plata acestor sume este de competenţa unităţilor de învăţământ. Aceste sume nu fac decât să tranziteze bugetul local. În acest sens sunt invocate dispoziţiile art. 48 alin. 1 şi 4 din Legea nr.128/1997 privind Statutul personalului didactic, care prevede: </w:t>
      </w:r>
    </w:p>
    <w:p w:rsidRPr="000150E1" w:rsidR="00C67AA2" w14:paraId="26C1B358"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 xml:space="preserve">„(1) Salarizarea personalului didactic şi didactic auxiliar se face cu respectarea principiului potrivit căruia învăţământul constituie o prioritate naţională ... </w:t>
      </w:r>
    </w:p>
    <w:p w:rsidRPr="000150E1" w:rsidR="00C67AA2" w14:paraId="7009F2C2"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 xml:space="preserve">(4) Valoarea coeficientului de multiplicare 1,000 se stabileşte anual din hotărâre a Guvernului, după aprobarea legii bugetului de stat, în limita fondurilor alocate de la bugetul de stat pentru cheltuielile cu salariile, în vederea realizării obiectivelor, programelor şi proiectelor stabilite”. </w:t>
      </w:r>
    </w:p>
    <w:p w:rsidRPr="000150E1" w:rsidR="00C67AA2" w14:paraId="48B2FABB"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 xml:space="preserve">Aceeaşi concluzie se desprinde şi din prevederile H.G. nr.1618/2009: </w:t>
      </w:r>
    </w:p>
    <w:p w:rsidRPr="000150E1" w:rsidR="00C67AA2" w14:paraId="1549B453"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 xml:space="preserve">„art. 1 (1) Finanţarea cheltuielilor cu salariile, sporurile, indemnizaţiile, şi alte drepturi salariale în bani ..... pentru unităţile de învăţământ preuniversitar de stat, se face pe baza standardelor de cost pe elevi preşcolar. </w:t>
      </w:r>
    </w:p>
    <w:p w:rsidRPr="000150E1" w:rsidR="00C67AA2" w14:paraId="47978634"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 xml:space="preserve">(3) Finanţarea cheltuielilor prevăzute la alin.l se asigură prin bugetele locale ale unităţilor administrative - teritoriale de care aparţin unităţile de învăţământ, din sumele defalcate din taxa pe valoarea adăugată”. </w:t>
      </w:r>
    </w:p>
    <w:p w:rsidRPr="000150E1" w:rsidR="00C67AA2" w14:paraId="1B045F9F"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Aşadar salariile, sporurile şi alte drepturi salariale se suportă din fondurile alocate de la bugetul de stat, iar nivelul acestora se stabileşte de către guvern prin mărirea sau micşorarea coeficientului de multiplicare.</w:t>
      </w:r>
    </w:p>
    <w:p w:rsidRPr="000150E1" w:rsidR="00C67AA2" w14:paraId="11D50B5D"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 xml:space="preserve">Legea nr.11/2010 privind legea bugetului de stat pe anul 2010 stipulează: </w:t>
      </w:r>
    </w:p>
    <w:p w:rsidRPr="000150E1" w:rsidR="00C67AA2" w14:paraId="3521B5E5"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 xml:space="preserve">„art.5 pct.(5) Finanţarea cheltuielilor cu salariile, sporurile, indemnizaţiile şi alte drepturi salariale în bani, stabilite prin lege, precum şi contribuţiile aferente acestora, pentru unităţile de învăţământ preuniversitar de stat, exclusiv </w:t>
      </w:r>
      <w:r w:rsidRPr="000150E1">
        <w:rPr>
          <w:rStyle w:val="Fontdeparagrafimplicit"/>
          <w:rFonts w:ascii="Bookman Old Style" w:hAnsi="Bookman Old Style"/>
          <w:lang w:val="pt-PT"/>
        </w:rPr>
        <w:t xml:space="preserve">învăţământul special şi centrele de resurse şi asistenţă educaţională, se face pe baza standardelor de cost pe elev/preşcolar, aprobate prin hotărâre a Guvernului”. </w:t>
      </w:r>
    </w:p>
    <w:p w:rsidRPr="000150E1" w:rsidR="00C67AA2" w14:paraId="694BD420"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Art.5 pct. (7) Pentru finanţarea cheltuielilor prevăzute la alin. (1) şi (4), cu excepţia celor pentru plata cheltuielilor cu salariile, sporurile, indemnizaţiile şi alte drepturi salariale în bani, stabilite prin lege, şi contribuţiile aferente acestora, ale instituţiilor sau ale unităţilor de învăţământ preuniversitar de stat, precum şi pentru plata ajutorului social, autorităţile administraţiei publice locale alocă pe lângă sumele defalcate din taxa pe valoarea adăugată şi sume din bugetele locale ale acestora.</w:t>
      </w:r>
    </w:p>
    <w:p w:rsidRPr="000150E1" w:rsidR="00C67AA2" w14:paraId="1D15C9D6"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 xml:space="preserve">Deci, prin legea bugetului de stat pe 2010, Guvernul a interzis autorităţilor publice locale să aloce sume din bugetul local pentru plata cheltuielilor cu salariile instituţiilor sau ale unităţilor de învăţământ preuniversitar de stat. </w:t>
      </w:r>
    </w:p>
    <w:p w:rsidRPr="000150E1" w:rsidR="00C67AA2" w14:paraId="67ECD408"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 xml:space="preserve">Conform H.G nr.2192/2004, art.16 „Finanţarea unităţilor de învăţământ preuniversitar de stat se asigură din fonduri alocate prin bugetele locale ale unităţilor administrativ-teritoriale în a căror rază îşi desfăşoară activitatea, de la bugetul de stat şi din alte surse, potrivit legii”. </w:t>
      </w:r>
    </w:p>
    <w:p w:rsidRPr="000150E1" w:rsidR="00C67AA2" w14:paraId="038F2714"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 xml:space="preserve">Privitor la plata în solidar a cheltuielilor de judecată în sumă de 136,40 lei, arată că recurenţii sunt lipsiţi de culpă procesuală, neputându-li-se reproşa o conduită nelegală care să fi avut ca rezultat prejudicierea reclamanţilor, neexistând din partea acestora un refuz de a nu îndeplini obligaţiile ce le revin potrivit legii, adică de a vira banii primiţi de la bugetul de stat pentru cheltuielile cu salariile personalului didactic către unităţile de învăţământ. </w:t>
      </w:r>
    </w:p>
    <w:p w:rsidRPr="000150E1" w:rsidR="00C67AA2" w14:paraId="25DADA85" w14:textId="77777777">
      <w:pPr>
        <w:ind w:firstLine="720"/>
        <w:jc w:val="both"/>
        <w:rPr>
          <w:rStyle w:val="Fontdeparagrafimplicit"/>
          <w:rFonts w:ascii="Bookman Old Style" w:hAnsi="Bookman Old Style"/>
          <w:lang w:val="pt-PT"/>
        </w:rPr>
      </w:pPr>
      <w:r w:rsidRPr="000150E1">
        <w:rPr>
          <w:rStyle w:val="Fontdeparagrafimplicit"/>
          <w:rFonts w:ascii="Bookman Old Style" w:hAnsi="Bookman Old Style"/>
          <w:i/>
          <w:lang w:val="pt-PT"/>
        </w:rPr>
        <w:t>Intimata LIGA SINDICATELOR DIN ÎNVĂŢĂMÂNTUL .......... , în numele membrilor de sindicat, a formulat întâmpinare</w:t>
      </w:r>
      <w:r w:rsidRPr="000150E1">
        <w:rPr>
          <w:rStyle w:val="Fontdeparagrafimplicit"/>
          <w:rFonts w:ascii="Bookman Old Style" w:hAnsi="Bookman Old Style"/>
          <w:lang w:val="pt-PT"/>
        </w:rPr>
        <w:t>, solicitând respingerea recursului ca nefondat şi menţinerea sentinţei, cu cheltuieli de judecată.</w:t>
      </w:r>
    </w:p>
    <w:p w:rsidRPr="000150E1" w:rsidR="00C67AA2" w14:paraId="57FDF941" w14:textId="77777777">
      <w:pPr>
        <w:ind w:firstLine="720"/>
        <w:jc w:val="both"/>
        <w:rPr>
          <w:rStyle w:val="Fontdeparagrafimplicit"/>
          <w:rFonts w:ascii="Bookman Old Style" w:hAnsi="Bookman Old Style"/>
          <w:lang w:val="en-US"/>
        </w:rPr>
      </w:pPr>
      <w:r w:rsidRPr="000150E1">
        <w:rPr>
          <w:rStyle w:val="Fontdeparagrafimplicit"/>
          <w:rFonts w:ascii="Bookman Old Style" w:hAnsi="Bookman Old Style"/>
          <w:lang w:val="pt-PT"/>
        </w:rPr>
        <w:t xml:space="preserve">S-a arătat, în esenţă, că în ceea ce priveşte calitatea procesuala pasiva a recurenţilor, aceasta rezultă din dispoziţiile art. 167 din Legea 84/1995, art. 36 alin. </w:t>
      </w:r>
      <w:r w:rsidRPr="000150E1">
        <w:rPr>
          <w:rStyle w:val="Fontdeparagrafimplicit"/>
          <w:rFonts w:ascii="Bookman Old Style" w:hAnsi="Bookman Old Style"/>
          <w:lang w:val="en-US"/>
        </w:rPr>
        <w:t xml:space="preserve">4 din Legea nr. 215/2001, art. 16 şi 28 din H.G. nr. 2192/2004, aliniatul 2 al art. 104, art. 106 al Legii nr. l/2011. </w:t>
      </w:r>
    </w:p>
    <w:p w:rsidRPr="000150E1" w:rsidR="00C67AA2" w14:paraId="455023C1" w14:textId="77777777">
      <w:pPr>
        <w:ind w:firstLine="720"/>
        <w:jc w:val="both"/>
        <w:rPr>
          <w:rStyle w:val="Fontdeparagrafimplicit"/>
          <w:rFonts w:ascii="Bookman Old Style" w:hAnsi="Bookman Old Style"/>
          <w:lang w:val="en-US"/>
        </w:rPr>
      </w:pPr>
      <w:r w:rsidRPr="000150E1">
        <w:rPr>
          <w:rStyle w:val="Fontdeparagrafimplicit"/>
          <w:rFonts w:ascii="Bookman Old Style" w:hAnsi="Bookman Old Style"/>
          <w:lang w:val="en-US"/>
        </w:rPr>
        <w:t xml:space="preserve">În ceea ce priveşte obligarea pârâtei la plata cheltuielilor de judecată, apreciază că atâta timp cât pârâta a contestat dreptul reclamanţilor, solicitând respingerea acţiunii, devin incidente dispoziţiile art. 274 </w:t>
      </w:r>
      <w:r w:rsidRPr="000150E1">
        <w:rPr>
          <w:rStyle w:val="Fontdeparagrafimplicit"/>
          <w:rFonts w:ascii="Bookman Old Style" w:hAnsi="Bookman Old Style"/>
          <w:lang w:val="en-US"/>
        </w:rPr>
        <w:t>C.proc.civ..</w:t>
      </w:r>
      <w:r w:rsidRPr="000150E1">
        <w:rPr>
          <w:rStyle w:val="Fontdeparagrafimplicit"/>
          <w:rFonts w:ascii="Bookman Old Style" w:hAnsi="Bookman Old Style"/>
          <w:lang w:val="en-US"/>
        </w:rPr>
        <w:t xml:space="preserve"> </w:t>
      </w:r>
    </w:p>
    <w:p w:rsidRPr="000150E1" w:rsidR="00C67AA2" w14:paraId="2E788798" w14:textId="77777777">
      <w:pPr>
        <w:ind w:firstLine="708"/>
        <w:jc w:val="both"/>
        <w:rPr>
          <w:rStyle w:val="Fontdeparagrafimplicit"/>
          <w:rFonts w:ascii="Bookman Old Style" w:hAnsi="Bookman Old Style"/>
          <w:lang w:val="en-US"/>
        </w:rPr>
      </w:pPr>
      <w:r w:rsidRPr="000150E1">
        <w:rPr>
          <w:rStyle w:val="Fontdeparagrafimplicit"/>
          <w:rFonts w:ascii="Bookman Old Style" w:hAnsi="Bookman Old Style"/>
          <w:lang w:val="en-US"/>
        </w:rPr>
        <w:t>Pe fondul cauzei este făcut un istoric al prevederilor legale, a dispoziţiilor Curţii Constituţionale a României şi a dezlegărilor Înaltei Curţi de Casaţie şi Justiţie aflate în legătură cu aplicarea Legii nr. 221/2008, concluzionându-se în sensul corectitudinii concluziilor tribunalului din cuprinsul sentinţei.</w:t>
      </w:r>
    </w:p>
    <w:p w:rsidRPr="000150E1" w:rsidR="00C67AA2" w14:paraId="60F69BF2" w14:textId="77777777">
      <w:pPr>
        <w:ind w:firstLine="708"/>
        <w:jc w:val="both"/>
        <w:rPr>
          <w:rStyle w:val="Fontdeparagrafimplicit"/>
          <w:rFonts w:ascii="Bookman Old Style" w:hAnsi="Bookman Old Style"/>
          <w:i/>
          <w:lang w:val="pt-PT"/>
        </w:rPr>
      </w:pPr>
      <w:r w:rsidRPr="000150E1">
        <w:rPr>
          <w:rStyle w:val="Fontdeparagrafimplicit"/>
          <w:rFonts w:ascii="Bookman Old Style" w:hAnsi="Bookman Old Style"/>
          <w:i/>
          <w:lang w:val="pt-PT"/>
        </w:rPr>
        <w:t>Analizând sentinţa atacată prin prisma motivelor de recurs formulate şi a apărărilor invocate, Curtea reţine următoarele:</w:t>
      </w:r>
    </w:p>
    <w:p w:rsidRPr="000150E1" w:rsidR="00C67AA2" w14:paraId="6FC988EC"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Prin criticile de fond, recurenţii arată că în condiţiile în care nivelul salariilor din învăţământul preuniversitar de stat se stabileşte de către guvern prin mărirea sau micşorarea coeficientului de multiplicare, acţiunea nu putea fi admisă.</w:t>
      </w:r>
    </w:p>
    <w:p w:rsidRPr="000150E1" w:rsidR="00C67AA2" w14:paraId="2196C929"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 xml:space="preserve">Or, o atare critică, deşi întemeiată pe dispoziţiile legale citate (art. 48 alin. 1 şi 4 din Legea nr.128/1997, art. 1 din H.G. nr.1618/2009, art. 5 din Legea nr.11/2010) nu poate fi primită, întrucât tinde la răsturnarea interpretării obligatorii pentru instanţe a prevederilor legale vizând salarizarea personalului din învăţământul preuniversitar, dată prin decizia pronunţată în interesul legii nr. 3/2011 a Înaltei Curţi de Casaţie şi Justiţie, astfel cum sunt evocate în motivarea instanţei de fond, redată mai sus, şi a dezlegărilor date de Curtea Constituţională a României în cuprinsul deciziei nr. 877/2011 asupra singurei interpretări constituţionale posibile a prevederilor </w:t>
      </w:r>
      <w:r w:rsidRPr="000150E1">
        <w:rPr>
          <w:rStyle w:val="Fontdeparagrafimplicit"/>
          <w:rFonts w:ascii="Bookman Old Style" w:hAnsi="Bookman Old Style"/>
          <w:vanish/>
          <w:lang w:val="pt-PT"/>
        </w:rPr>
        <w:t>&lt;LLNK 12010     1180 302   5 65&gt;</w:t>
      </w:r>
      <w:r w:rsidRPr="000150E1">
        <w:rPr>
          <w:rStyle w:val="Fontdeparagrafimplicit"/>
          <w:rFonts w:ascii="Bookman Old Style" w:hAnsi="Bookman Old Style"/>
          <w:lang w:val="pt-PT"/>
        </w:rPr>
        <w:t>art. 5 alin. (6) din O.U.G. nr. 1/2010.</w:t>
      </w:r>
    </w:p>
    <w:p w:rsidRPr="000150E1" w:rsidR="00C67AA2" w14:paraId="30AFF473"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 xml:space="preserve">Se arată, în această decizie, că interpretarea din decizia în interesul legii nr. 3/2011 se impune şi în cadrul operaţiunii de aplicare a prevederilor art. 5 alin. (6) din O.U.G. nr. 1/2010, prin care se prevede că „reîncadrarea personalului didactic din învăţământ la data de 1 ianuarie 2010 se face luând în calcul salariile de bază la data de 31 decembrie 2009, stabilite în conformitate cu prevederile </w:t>
      </w:r>
      <w:r w:rsidRPr="000150E1">
        <w:rPr>
          <w:rStyle w:val="Fontdeparagrafimplicit"/>
          <w:rFonts w:ascii="Bookman Old Style" w:hAnsi="Bookman Old Style"/>
          <w:vanish/>
          <w:lang w:val="pt-PT"/>
        </w:rPr>
        <w:t>&lt;LLNK 12009    41180 301   0 46&gt;</w:t>
      </w:r>
      <w:r w:rsidRPr="000150E1">
        <w:rPr>
          <w:rStyle w:val="Fontdeparagrafimplicit"/>
          <w:rFonts w:ascii="Bookman Old Style" w:hAnsi="Bookman Old Style"/>
          <w:lang w:val="pt-PT"/>
        </w:rPr>
        <w:t xml:space="preserve">Ordonanţei de urgenţă a Guvernului nr. 41/2009 privind unele măsuri în domeniul salarizării personalului din sectorul bugetar pentru perioada mai-decembrie 2009, aprobată prin </w:t>
      </w:r>
      <w:r w:rsidRPr="000150E1">
        <w:rPr>
          <w:rStyle w:val="Fontdeparagrafimplicit"/>
          <w:rFonts w:ascii="Bookman Old Style" w:hAnsi="Bookman Old Style"/>
          <w:vanish/>
          <w:lang w:val="pt-PT"/>
        </w:rPr>
        <w:t>&lt;LLNK 12009   300 10 201   0 18&gt;</w:t>
      </w:r>
      <w:r w:rsidRPr="000150E1">
        <w:rPr>
          <w:rStyle w:val="Fontdeparagrafimplicit"/>
          <w:rFonts w:ascii="Bookman Old Style" w:hAnsi="Bookman Old Style"/>
          <w:lang w:val="pt-PT"/>
        </w:rPr>
        <w:t>Legea nr. 300/2009”.</w:t>
      </w:r>
    </w:p>
    <w:p w:rsidRPr="000150E1" w:rsidR="00C67AA2" w14:paraId="6941AF59"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Ca atare, apar ca neîntemeiate motivele de recurs formulate sub acest aspect.</w:t>
      </w:r>
    </w:p>
    <w:p w:rsidRPr="000150E1" w:rsidR="00C67AA2" w14:paraId="17F0E5CA"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Pe de altă parte, se invocă imposibilitatea de a se aloca alte sume de către recurenţi, decât cele avansate de la bugetul de stat, din cote defalcate din TVA, cu acest titlu, prin legea bugetului de stat pe 2010, Guvernul interzicând autorităţilor publice locale să aloce sume din bugetul local pentru plata cheltuielilor cu salariile instituţiilor sau ale unităţilor de învăţământ preuniversitar de stat.</w:t>
      </w:r>
    </w:p>
    <w:p w:rsidRPr="000150E1" w:rsidR="00C67AA2" w14:paraId="0FAC44E9"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 xml:space="preserve">Notând că drepturile salariale solicitate erau scadente în anul 2010 şi prima parte a anului 2011, conform dispozitivului, sens în care vor fi avute în vedere dispoziţiile legale în vigoare la acea dată, Curtea constată că potrivit prevederilor art. 167 din Legea nr. 84/1995 unităţile de învăţământ preuniversitar de stat funcţionează ca unităţi finanţate din fonduri alocate prin bugetele locale ale unităţilor administrativ-teritoriale în a căror rază îşi desfăşoară activitatea, de la bugetul de stat şi din alte surse. </w:t>
      </w:r>
    </w:p>
    <w:p w:rsidRPr="000150E1" w:rsidR="00C67AA2" w14:paraId="5EDC5FE8"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Aceste considerente sunt valabile şi raportat la dispoziţiile Legii nr. 1/2011 (legea în vigoare la data promovării acţiunii, în timp ce Legea nr. 84/1995 era în vigoare la data derulării raporturilor juridice supuse judecăţii), similare în ce priveşte chestiunea finanţării unităţilor din învăţământul preuniversitar.</w:t>
      </w:r>
    </w:p>
    <w:p w:rsidRPr="000150E1" w:rsidR="00C67AA2" w14:paraId="47582923" w14:textId="77777777">
      <w:pPr>
        <w:ind w:firstLine="720"/>
        <w:jc w:val="both"/>
        <w:rPr>
          <w:rStyle w:val="Fontdeparagrafimplicit"/>
          <w:rFonts w:ascii="Bookman Old Style" w:hAnsi="Bookman Old Style"/>
          <w:lang w:val="pt-PT"/>
        </w:rPr>
      </w:pPr>
      <w:r w:rsidRPr="000150E1">
        <w:rPr>
          <w:rStyle w:val="Fontdeparagrafimplicit"/>
          <w:rFonts w:ascii="Bookman Old Style" w:hAnsi="Bookman Old Style"/>
          <w:lang w:val="pt-PT"/>
        </w:rPr>
        <w:t>Drept urmare, sursa din care trebuie plătite drepturile salariale neacordate în mod nelegal reclamanţilor rămâne tot bugetul local al unităţii administrativ-teritoriale</w:t>
      </w:r>
      <w:r w:rsidRPr="000150E1">
        <w:rPr>
          <w:rStyle w:val="Fontdeparagrafimplicit"/>
          <w:rFonts w:ascii="Bookman Old Style" w:hAnsi="Bookman Old Style"/>
          <w:i/>
          <w:lang w:val="pt-PT"/>
        </w:rPr>
        <w:t xml:space="preserve"> </w:t>
      </w:r>
      <w:r w:rsidRPr="000150E1">
        <w:rPr>
          <w:rStyle w:val="Fontdeparagrafimplicit"/>
          <w:rFonts w:ascii="Bookman Old Style" w:hAnsi="Bookman Old Style"/>
          <w:lang w:val="pt-PT"/>
        </w:rPr>
        <w:t>de care aparţine unitatea de învăţământ, fiind fără relevanţă din ce venituri se constituie sumele necesare pentru această plată, din punctul de vedere al reclamanţilor.</w:t>
      </w:r>
    </w:p>
    <w:p w:rsidRPr="000150E1" w:rsidR="00C67AA2" w14:paraId="1C2F0619" w14:textId="77777777">
      <w:pPr>
        <w:ind w:firstLine="900"/>
        <w:jc w:val="both"/>
        <w:rPr>
          <w:rStyle w:val="Fontdeparagrafimplicit"/>
          <w:rFonts w:ascii="Bookman Old Style" w:hAnsi="Bookman Old Style"/>
          <w:lang w:val="pt-PT"/>
        </w:rPr>
      </w:pPr>
      <w:r w:rsidRPr="000150E1">
        <w:rPr>
          <w:rStyle w:val="Fontdeparagrafimplicit"/>
          <w:rFonts w:ascii="Bookman Old Style" w:hAnsi="Bookman Old Style"/>
          <w:lang w:val="pt-PT"/>
        </w:rPr>
        <w:t>Este adevărat că în sensul prevederilor art. 14 din C. muncii coroborat cu dispoziţiile art. 11 alin. 5 din Legea nr. 128/1997 privind Statutul personalului didactic (dispoziţii menţinute în esenţă în Legea nr. 1/2011), calitatea de angajator aparţine unităţii de învăţământ, şi prin urmare acesteia îi revine în primul rând obligaţia de a efectua calculul şi plata drepturilor de natură salarială, însă îndeplinirea acestei obligaţii este dependentă de asigurarea finanţării corespunzătoare de la bugetul de stat şi de la bugetele unităţilor administrativ-teritoriale, ori pentru aceasta sunt prevăzute, prin dispoziţii legale speciale, atribuţii specifice în sarcina altor instituţii, printre care şi consiliile locale ale unităţilor administrativ teritoriale.</w:t>
      </w:r>
    </w:p>
    <w:p w:rsidRPr="000150E1" w:rsidR="00C67AA2" w14:paraId="5309B384" w14:textId="77777777">
      <w:pPr>
        <w:ind w:firstLine="900"/>
        <w:jc w:val="both"/>
        <w:rPr>
          <w:rStyle w:val="Fontdeparagrafimplicit"/>
          <w:rFonts w:ascii="Bookman Old Style" w:hAnsi="Bookman Old Style"/>
          <w:lang w:val="en-US"/>
        </w:rPr>
      </w:pPr>
      <w:r w:rsidRPr="000150E1">
        <w:rPr>
          <w:rStyle w:val="Fontdeparagrafimplicit"/>
          <w:rFonts w:ascii="Bookman Old Style" w:hAnsi="Bookman Old Style"/>
          <w:lang w:val="pt-PT"/>
        </w:rPr>
        <w:t xml:space="preserve">În cauză, calitatea procesuală pasivă a recurenţilor este justificată, având în vedere că potrivit dispoziţiilor art.36 alin. (4) lit. a) din Legea nr. 215/2001, consiliul local este cel care aprobă, la propunerea primarului, bugetul local şi asigură şi cadrul necesar privind furnizarea serviciilor publice de interes local privind educaţia. Totodată, consiliul local asigură cadrul necesar pentru furnizarea serviciilor publice de interes local privind educaţia, conform dispoziţiilor art. 36 alin. </w:t>
      </w:r>
      <w:r w:rsidRPr="000150E1">
        <w:rPr>
          <w:rStyle w:val="Fontdeparagrafimplicit"/>
          <w:rFonts w:ascii="Bookman Old Style" w:hAnsi="Bookman Old Style"/>
          <w:lang w:val="en-US"/>
        </w:rPr>
        <w:t xml:space="preserve">6 lit. a) pct. 1 din Legea nr. 215/2001. În plus, conform art. 4 alin. (1) din HG nr. 1.618/2009 privind finanţarea unităţilor de învăţământ preuniversitar de stat, finanţate din bugetele locale, pe baza standardelor de cost pe elev/preşcolar pentru anul 2010 „consiliile locale răspund de repartizarea </w:t>
      </w:r>
      <w:r w:rsidRPr="000150E1">
        <w:rPr>
          <w:rStyle w:val="Fontdeparagrafimplicit"/>
          <w:rFonts w:ascii="Bookman Old Style" w:hAnsi="Bookman Old Style"/>
          <w:lang w:val="en-US"/>
        </w:rPr>
        <w:t xml:space="preserve">sumelor şi aprobarea bugetelor pentru fiecare unitate de învăţământ cu personalitate juridică”. </w:t>
      </w:r>
    </w:p>
    <w:p w:rsidRPr="000150E1" w:rsidR="00C67AA2" w14:paraId="36389EE7" w14:textId="77777777">
      <w:pPr>
        <w:ind w:firstLine="900"/>
        <w:jc w:val="both"/>
        <w:rPr>
          <w:rStyle w:val="Fontdeparagrafimplicit"/>
          <w:rFonts w:ascii="Bookman Old Style" w:hAnsi="Bookman Old Style"/>
          <w:lang w:val="pt-PT"/>
        </w:rPr>
      </w:pPr>
      <w:r w:rsidRPr="000150E1">
        <w:rPr>
          <w:rStyle w:val="Fontdeparagrafimplicit"/>
          <w:rFonts w:ascii="Bookman Old Style" w:hAnsi="Bookman Old Style"/>
          <w:lang w:val="en-US"/>
        </w:rPr>
        <w:t xml:space="preserve">Consiliul local reprezintă autoritatea deliberativă a unităţii administrativ teritoriale, aceasta din urmă având personalitate juridică. Împrocesuarea acestuia s-a făcut deci în reprezentarea unităţii administrativ teritoriale şi raportat la calitatea pârâtului de autoritate publică locală, sens în care devin incidente dispoziţiile art. 1 alin. </w:t>
      </w:r>
      <w:r w:rsidRPr="000150E1">
        <w:rPr>
          <w:rStyle w:val="Fontdeparagrafimplicit"/>
          <w:rFonts w:ascii="Bookman Old Style" w:hAnsi="Bookman Old Style"/>
          <w:lang w:val="pt-PT"/>
        </w:rPr>
        <w:t>1 şi art. 2 alin. 1 lit.b din Legea nr. 554/2004 a contenciosului administrativ.</w:t>
      </w:r>
    </w:p>
    <w:p w:rsidRPr="000150E1" w:rsidR="00C67AA2" w14:paraId="3534D67D"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Pe de altă parte, art. 63 alin. 4 lit. a) şi b) din Legea nr. 215/2001 reglementează atribuţiile primarului de ordonator principal de credite, respectiv de întocmire a proiectului bugetului local.</w:t>
      </w:r>
    </w:p>
    <w:p w:rsidRPr="000150E1" w:rsidR="00C67AA2" w14:paraId="471559B1" w14:textId="77777777">
      <w:pPr>
        <w:ind w:firstLine="900"/>
        <w:jc w:val="both"/>
        <w:rPr>
          <w:rStyle w:val="Fontdeparagrafimplicit"/>
          <w:rFonts w:ascii="Bookman Old Style" w:hAnsi="Bookman Old Style"/>
          <w:lang w:val="pt-PT"/>
        </w:rPr>
      </w:pPr>
      <w:r w:rsidRPr="000150E1">
        <w:rPr>
          <w:rStyle w:val="Fontdeparagrafimplicit"/>
          <w:rFonts w:ascii="Bookman Old Style" w:hAnsi="Bookman Old Style"/>
          <w:lang w:val="pt-PT"/>
        </w:rPr>
        <w:t>În mod evident, primarul a fost chemat în judecată în considerarea calităţii sale de reprezentant al unităţii administrativ teritoriale, art. 62 alin. (1) din Legea administraţiei publice locale prevăzând expres această calitate.</w:t>
      </w:r>
    </w:p>
    <w:p w:rsidRPr="000150E1" w:rsidR="00C67AA2" w14:paraId="191EC4CD" w14:textId="77777777">
      <w:pPr>
        <w:ind w:firstLine="900"/>
        <w:jc w:val="both"/>
        <w:rPr>
          <w:rStyle w:val="Fontdeparagrafimplicit"/>
          <w:rFonts w:ascii="Bookman Old Style" w:hAnsi="Bookman Old Style"/>
          <w:lang w:val="pt-PT"/>
        </w:rPr>
      </w:pPr>
      <w:r w:rsidRPr="000150E1">
        <w:rPr>
          <w:rStyle w:val="Fontdeparagrafimplicit"/>
          <w:rFonts w:ascii="Bookman Old Style" w:hAnsi="Bookman Old Style"/>
          <w:lang w:val="pt-PT"/>
        </w:rPr>
        <w:t>Chemând în judecată pe aceşti pârâţi, reclamanţii au acţionat prin considerarea raporturilor juridice care leagă angajatorul de aceşti pârâţi, în condiţiile în care raporturile de muncă în sistemul bugetar, pe lângă latura de drept privat pe care o comportă, au în subsidiar o latură specifică dreptului public, prin aceea că o parte importantă a acestor raporturi juridice de dreptul muncii este reglementată prin legi şi pusă în aplicare de organe ale statului în regim de putere publică. Astfel, salarizarea cadrelor didactice şi în general salarizarea în sistemul bugetar are o componentă de drept public, fiind stabilită prin lege şi asigurată de la bugetul de stat. Or, considerând că drepturile salariale ale cadrelor didactice reprezentate în litigiu nu au fost calculate în acord cu prevederile legii, au fost chemate în judecată nu doar angajatorul, adică unitatea de învăţământ reprezentată prin director, ci şi autorităţile publice care au atribuţii în asigurarea sumelor litigioase, tocmai în considerarea acestor atribuţii. Practic, reclamanţii se întemeiază pe dispoziţiile legale care atribuie recurenţilor un anumit rol în asigurarea fondurilor pentru salarii recurenţilor, aşa cum au fost arătate pe larg în sentinţă, pentru a solicita ca aceste autorităţi să îşi exercite atribuţiile legale în sensul asigurării sumelor necesare pentru acoperirea integrală a salarizării cadrelor didactice.</w:t>
      </w:r>
    </w:p>
    <w:p w:rsidRPr="000150E1" w:rsidR="00C67AA2" w14:paraId="4C70BCB8"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Prima instanţă a dispus obligarea pârâţilor recurenţi la plata drepturilor salariale neachitate, fără a distinge după cum obligaţia acestora legală este de a plăti în ce priveşte unitatea de învăţământ angajatoare şi respectiv de a aloca  sumelor necesare pentru plata drepturilor, în ce-i priveşte pe recurenţi, conform celor ce preced. Ca urmare, Curtea va admite recursul doar sub acest aspect, modificând în parte sentinţa în sensul că obligaţia pârâţilor CONSILIUL LOCAL AL MUNICIPIULUI ................ şi PRIMARUL MUNICIPIULUI ................ vizează alocarea fondurilor necesare plăţii drepturilor salariale solicitate către unitatea de învăţământ pârâtă, iar nu direct plata acestor sume către reclamanţi.</w:t>
      </w:r>
    </w:p>
    <w:p w:rsidRPr="000150E1" w:rsidR="00C67AA2" w14:paraId="1C04CD4A"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Prin obligarea la alocarea  sumelor necesare pentru plata drepturilor se înţelege efectuarea de către fiecare dintre cei implicaţi în procesul de salarizare a personalului didactic a procedurilor specifice pentru asigurarea fondurilor necesare plăţii.</w:t>
      </w:r>
    </w:p>
    <w:p w:rsidRPr="000150E1" w:rsidR="00C67AA2" w14:paraId="7F445FAE"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 xml:space="preserve">În acest sens, se reţine specificul raporturilor de muncă în cadrul unităţilor bugetare, în care deşi încheierea formală a contractului individual de muncă se face între unitate şi angajat, în fond, raportul este unul între stat şi angajat, întrucât sursa financiară din care se achită drepturile salariale este bugetul de stat şi bugetul local, reglementarea raporturilor de muncă, a drepturilor şi obligaţiilor angajaţilor, a cauzelor răspunderii disciplinare, se face prin legi specifice, negocierea salarială este limitată, neputând fi negociate clauze referitoare la drepturile ale căror acordare şi cuantum sunt stabilite prin </w:t>
      </w:r>
      <w:r w:rsidRPr="000150E1">
        <w:rPr>
          <w:rStyle w:val="Fontdeparagrafimplicit"/>
          <w:rFonts w:ascii="Bookman Old Style" w:hAnsi="Bookman Old Style"/>
          <w:lang w:val="pt-PT"/>
        </w:rPr>
        <w:t>dispoziţii legale, cu alte cuvinte, statul se comportă ca un angajator în cazul acestor angajaţi. Ca atare, chemarea în judecată a recurenţilor se face în considerarea acestui raport juridic suis generis, ca reprezentând angajatorul sub aspect financiar în cadrul raportului de muncă.</w:t>
      </w:r>
    </w:p>
    <w:p w:rsidRPr="000150E1" w:rsidR="00C67AA2" w14:paraId="7D178135"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Practic, este o aplicaţie a unei acţiuni oblice, în sensul art. 974 Cod civ., salariaţii acţionând atât împotriva debitorului lor direct, în cadrul raportului de muncă, anume, instituţia de învăţământ angajatoare, cât şi împotriva celor obligaţi să îi furnizeze resursele financiare, deci debitorii acesteia în ce priveşte aceste sume.</w:t>
      </w:r>
    </w:p>
    <w:p w:rsidRPr="000150E1" w:rsidR="00C67AA2" w14:paraId="09C4B6C8" w14:textId="77777777">
      <w:pPr>
        <w:ind w:firstLine="720"/>
        <w:jc w:val="both"/>
        <w:rPr>
          <w:rStyle w:val="Fontdeparagrafimplicit"/>
          <w:rFonts w:ascii="Bookman Old Style" w:hAnsi="Bookman Old Style"/>
          <w:lang w:val="pt-PT"/>
        </w:rPr>
      </w:pPr>
      <w:r w:rsidRPr="000150E1">
        <w:rPr>
          <w:rStyle w:val="Fontdeparagrafimplicit"/>
          <w:rFonts w:ascii="Bookman Old Style" w:hAnsi="Bookman Old Style"/>
          <w:lang w:val="pt-PT"/>
        </w:rPr>
        <w:t xml:space="preserve">Neprevederea în buget a fondurilor necesare achitării drepturilor salariale solicitate de reclamanţi nu poate determina sistarea plăţii acestor drepturi salariale, atâta timp cât ordonatorii de credite, în elaborarea bugetelor instituţiilor din subordine, au obligaţia de a respecta inclusiv dispoziţiile legale care reglementează drepturile salariale ale angajaţilor. </w:t>
      </w:r>
    </w:p>
    <w:p w:rsidRPr="000150E1" w:rsidR="00C67AA2" w14:paraId="5AA4D91E" w14:textId="77777777">
      <w:pPr>
        <w:ind w:firstLine="720"/>
        <w:jc w:val="both"/>
        <w:rPr>
          <w:rStyle w:val="Fontdeparagrafimplicit"/>
          <w:rFonts w:ascii="Bookman Old Style" w:hAnsi="Bookman Old Style"/>
          <w:lang w:val="pt-PT"/>
        </w:rPr>
      </w:pPr>
      <w:r w:rsidRPr="000150E1">
        <w:rPr>
          <w:rStyle w:val="Fontdeparagrafimplicit"/>
          <w:rFonts w:ascii="Bookman Old Style" w:hAnsi="Bookman Old Style"/>
          <w:lang w:val="pt-PT"/>
        </w:rPr>
        <w:t>De altfel, acest aspect aparţine etapei executării hotărârii, neputând fi opusă drepturilor de natură salarială ale reclamanţilor, care au caracter pur şi simplu, nedepinzând de o atare pretinsă condiţie suspensivă.</w:t>
      </w:r>
    </w:p>
    <w:p w:rsidRPr="000150E1" w:rsidR="00C67AA2" w14:paraId="012A322A"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Faptul că nu au fost până în prezent aprobate fonduri de la bugetul de stat  pentru achitarea drepturilor salariale litigioase nu poate conduce la modificarea sentinţei atacate. Aceste aspecte privesc în fapt procedura de alimentare a bugetului local, din care se fac în final plăţile pentru asigurarea salariilor cadrelor didactice. Or, acest aspect poate fi invocat în cadrul derulării raporturilor dintre recurenţi şi autorităţile care alimentează bugetul local, pentru a se solicita alocarea de fonduri în scopul asigurării sumelor necesare acoperirii plăţilor dispuse de instanţă. Nu se diminuează însă participarea recurenţilor la raporturile juridice care, potrivit celor ce preced, întemeiază calitatea lor procesuală pasivă, nici semnificaţia juridică a acestor raporturi: altfel spus, recurenţii rămâne a fi obligaţi la alocarea fondurilor băneşti necesare plăţii sumelor restante datorate în favoarea unităţii de învăţământ, potrivit competenţelor legale la care s-a făcut referire mai sus.</w:t>
      </w:r>
    </w:p>
    <w:p w:rsidRPr="000150E1" w:rsidR="00C67AA2" w14:paraId="4AD315B4"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Ultima critică din recurs vizează obligarea recurenţilor la plata cheltuielilor de judecată, în condiţiile în care arată că nu au culpă în nealocarea şi neachitarea drepturilor salariale litigioase.</w:t>
      </w:r>
    </w:p>
    <w:p w:rsidRPr="000150E1" w:rsidR="00C67AA2" w14:paraId="1EF466D2"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Or, se constată că, aşa cum arată intimatul reclamant, recurenţii s-au opus la admiterea acţiunii, prin întâmpinarea formulată la fond, iar pe de altă parte, în raport de considerentele dezvoltate în cele ce preced, aceşti recurenţi reprezintă, cum s-a arătat, angajatorul în sens larg, adică statul, sub raport financiar, în ce priveşte salarizarea cadrelor didactice, astfel încât apare legală obligarea acestora la plata cheltuielilor de judecată aferente judecăţii, căzând în pretenţii sub aspectul nealocării fondurilor îndestulătoare pentru plata drepturilor salariale în cuantum integral pentru reclamanţi.</w:t>
      </w:r>
    </w:p>
    <w:p w:rsidRPr="000150E1" w:rsidR="00C67AA2" w14:paraId="21194FB9"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Având în vedere dispoziţiile art. 274 C.proc.civ., ca şi faptul că recursul este admis în parte, Curtea va obliga pârâţii recurenţi la plata parţială a cheltuielilor de judecată aferente recursului, în favoarea intimatei Liga Sindicatelor din Învăţământ .......... , în cuantum de 100 lei, reprezentând onorariu avocaţial.</w:t>
      </w:r>
    </w:p>
    <w:p w:rsidRPr="000150E1" w:rsidR="00C67AA2" w14:paraId="63141FFB" w14:textId="77777777">
      <w:pPr>
        <w:ind w:firstLine="720"/>
        <w:jc w:val="both"/>
        <w:rPr>
          <w:rStyle w:val="Fontdeparagrafimplicit"/>
          <w:rFonts w:ascii="Bookman Old Style" w:hAnsi="Bookman Old Style"/>
          <w:lang w:val="en-US"/>
        </w:rPr>
      </w:pPr>
      <w:r w:rsidRPr="000150E1">
        <w:rPr>
          <w:rStyle w:val="Fontdeparagrafimplicit"/>
          <w:rFonts w:ascii="Bookman Old Style" w:hAnsi="Bookman Old Style"/>
          <w:lang w:val="en-US"/>
        </w:rPr>
        <w:t>Se reţine incidenţa prevederilor art. 312 alin. 1-3 raportat la art. 304 pct. 9 şi art. 304 ind. 1 C.proc.civ. şi art. 10 şi 14 din Codul muncii.</w:t>
      </w:r>
    </w:p>
    <w:p w:rsidRPr="000150E1" w:rsidR="00C67AA2" w14:paraId="161BCDBB" w14:textId="77777777">
      <w:pPr>
        <w:ind w:firstLine="708"/>
        <w:jc w:val="both"/>
        <w:rPr>
          <w:rStyle w:val="Fontdeparagrafimplicit"/>
          <w:rFonts w:ascii="Bookman Old Style" w:hAnsi="Bookman Old Style"/>
          <w:lang w:val="en-US"/>
        </w:rPr>
      </w:pPr>
    </w:p>
    <w:p w:rsidRPr="000150E1" w:rsidR="00C67AA2" w14:paraId="43B047D7" w14:textId="77777777">
      <w:pPr>
        <w:jc w:val="both"/>
        <w:rPr>
          <w:rStyle w:val="Fontdeparagrafimplicit"/>
          <w:rFonts w:ascii="Bookman Old Style" w:hAnsi="Bookman Old Style"/>
          <w:b/>
          <w:sz w:val="20"/>
          <w:lang w:val="en-US"/>
        </w:rPr>
      </w:pPr>
    </w:p>
    <w:p w:rsidRPr="000150E1" w:rsidR="00C67AA2" w14:paraId="5CC0D2D4" w14:textId="77777777">
      <w:pPr>
        <w:ind w:firstLine="708"/>
        <w:jc w:val="center"/>
        <w:rPr>
          <w:rStyle w:val="Fontdeparagrafimplicit"/>
          <w:rFonts w:ascii="Bookman Old Style" w:hAnsi="Bookman Old Style"/>
          <w:lang w:val="en-US"/>
        </w:rPr>
      </w:pPr>
    </w:p>
    <w:p w:rsidRPr="000150E1" w:rsidR="00C67AA2" w14:paraId="6C64F30B" w14:textId="77777777">
      <w:pPr>
        <w:jc w:val="center"/>
        <w:rPr>
          <w:rStyle w:val="Fontdeparagrafimplicit"/>
          <w:rFonts w:ascii="Bookman Old Style" w:hAnsi="Bookman Old Style"/>
          <w:lang w:val="pt-PT"/>
        </w:rPr>
      </w:pPr>
      <w:r w:rsidRPr="000150E1">
        <w:rPr>
          <w:rStyle w:val="Fontdeparagrafimplicit"/>
          <w:rFonts w:ascii="Bookman Old Style" w:hAnsi="Bookman Old Style"/>
          <w:lang w:val="pt-PT"/>
        </w:rPr>
        <w:t xml:space="preserve">PENTRU ACESTE MOTIVE </w:t>
      </w:r>
    </w:p>
    <w:p w:rsidRPr="000150E1" w:rsidR="00C67AA2" w14:paraId="77CCD9A4" w14:textId="77777777">
      <w:pPr>
        <w:jc w:val="center"/>
        <w:rPr>
          <w:rStyle w:val="Fontdeparagrafimplicit"/>
          <w:rFonts w:ascii="Bookman Old Style" w:hAnsi="Bookman Old Style"/>
          <w:lang w:val="pt-PT"/>
        </w:rPr>
      </w:pPr>
      <w:r w:rsidRPr="000150E1">
        <w:rPr>
          <w:rStyle w:val="Fontdeparagrafimplicit"/>
          <w:rFonts w:ascii="Bookman Old Style" w:hAnsi="Bookman Old Style"/>
          <w:lang w:val="pt-PT"/>
        </w:rPr>
        <w:t>ÎN NUMELE LEGII</w:t>
      </w:r>
    </w:p>
    <w:p w:rsidRPr="000150E1" w:rsidR="00C67AA2" w14:paraId="08C6511B" w14:textId="77777777">
      <w:pPr>
        <w:jc w:val="center"/>
        <w:rPr>
          <w:rStyle w:val="Fontdeparagrafimplicit"/>
          <w:rFonts w:ascii="Bookman Old Style" w:hAnsi="Bookman Old Style"/>
          <w:lang w:val="pt-PT"/>
        </w:rPr>
      </w:pPr>
      <w:r w:rsidRPr="000150E1">
        <w:rPr>
          <w:rStyle w:val="Fontdeparagrafimplicit"/>
          <w:rFonts w:ascii="Bookman Old Style" w:hAnsi="Bookman Old Style"/>
          <w:lang w:val="pt-PT"/>
        </w:rPr>
        <w:t>D E C I D E:</w:t>
      </w:r>
    </w:p>
    <w:p w:rsidRPr="000150E1" w:rsidR="00C67AA2" w14:paraId="3B223B45" w14:textId="77777777">
      <w:pPr>
        <w:jc w:val="center"/>
        <w:rPr>
          <w:rStyle w:val="Fontdeparagrafimplicit"/>
          <w:rFonts w:ascii="Bookman Old Style" w:hAnsi="Bookman Old Style"/>
          <w:lang w:val="pt-PT"/>
        </w:rPr>
      </w:pPr>
    </w:p>
    <w:p w:rsidRPr="000150E1" w:rsidR="00C67AA2" w14:paraId="2B48A454"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 xml:space="preserve">Admite în parte recursul declarat de pârâţii PRIMARUL MUNICIPIULUI ................ şi CONSILIUL LOCAL ................ împotriva sentinţei civile nr. ........ din .......... a Tribunalului .......... , pronunţată în dosar nr. </w:t>
      </w:r>
      <w:r w:rsidRPr="000150E1" w:rsidR="00C846AD">
        <w:rPr>
          <w:rStyle w:val="Fontdeparagrafimplicit"/>
          <w:rFonts w:ascii="Bookman Old Style" w:hAnsi="Bookman Old Style"/>
          <w:lang w:val="pt-PT"/>
        </w:rPr>
        <w:t>20</w:t>
      </w:r>
      <w:r w:rsidRPr="000150E1">
        <w:rPr>
          <w:rStyle w:val="Fontdeparagrafimplicit"/>
          <w:rFonts w:ascii="Bookman Old Style" w:hAnsi="Bookman Old Style"/>
          <w:lang w:val="pt-PT"/>
        </w:rPr>
        <w:t xml:space="preserve"> pe care o modifică în parte în sensul că obligă pârâţii PRIMARUL MUNICIPIULUI ................ şi CONSILIUL LOCAL ................ la asigurarea fondurilor necesare plăţii drepturilor salariale solicitate prin acţiune.</w:t>
      </w:r>
    </w:p>
    <w:p w:rsidRPr="000150E1" w:rsidR="00C67AA2" w14:paraId="1CD4F153"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Menţine restul dispoziţiilor.</w:t>
      </w:r>
    </w:p>
    <w:p w:rsidRPr="000150E1" w:rsidR="00C67AA2" w14:paraId="303AC995"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Obligă pe recurenţi să plătească intimatului reclamant suma de 100 lei cheltuieli de judecată parţiale în recurs.</w:t>
      </w:r>
    </w:p>
    <w:p w:rsidRPr="000150E1" w:rsidR="00C67AA2" w14:paraId="5A541718"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Decizia este irevocabilă.</w:t>
      </w:r>
    </w:p>
    <w:p w:rsidRPr="000150E1" w:rsidR="00C67AA2" w14:paraId="6706D5DF" w14:textId="77777777">
      <w:pPr>
        <w:ind w:firstLine="708"/>
        <w:jc w:val="both"/>
        <w:rPr>
          <w:rStyle w:val="Fontdeparagrafimplicit"/>
          <w:rFonts w:ascii="Bookman Old Style" w:hAnsi="Bookman Old Style"/>
          <w:lang w:val="pt-PT"/>
        </w:rPr>
      </w:pPr>
      <w:r w:rsidRPr="000150E1">
        <w:rPr>
          <w:rStyle w:val="Fontdeparagrafimplicit"/>
          <w:rFonts w:ascii="Bookman Old Style" w:hAnsi="Bookman Old Style"/>
          <w:lang w:val="pt-PT"/>
        </w:rPr>
        <w:t>Dată şi pronunţată în şedinţa publică din ..............</w:t>
      </w:r>
    </w:p>
    <w:p w:rsidRPr="000150E1" w:rsidR="00C67AA2" w14:paraId="0C47CA45" w14:textId="77777777">
      <w:pPr>
        <w:ind w:firstLine="708"/>
        <w:jc w:val="both"/>
        <w:rPr>
          <w:rStyle w:val="Fontdeparagrafimplicit"/>
          <w:rFonts w:ascii="Bookman Old Style" w:hAnsi="Bookman Old Style"/>
          <w:sz w:val="22"/>
          <w:lang w:val="pt-PT"/>
        </w:rPr>
      </w:pPr>
    </w:p>
    <w:p w:rsidRPr="000150E1" w:rsidR="00C67AA2" w14:paraId="39276F04" w14:textId="77777777">
      <w:pPr>
        <w:rPr>
          <w:rStyle w:val="Fontdeparagrafimplicit"/>
          <w:rFonts w:ascii="Bookman Old Style" w:hAnsi="Bookman Old Style"/>
          <w:b/>
          <w:sz w:val="22"/>
          <w:lang w:val="pt-PT"/>
        </w:rPr>
      </w:pPr>
      <w:r w:rsidRPr="000150E1">
        <w:rPr>
          <w:rStyle w:val="Fontdeparagrafimplicit"/>
          <w:rFonts w:ascii="Bookman Old Style" w:hAnsi="Bookman Old Style"/>
          <w:sz w:val="22"/>
          <w:lang w:val="pt-PT"/>
        </w:rPr>
        <w:t xml:space="preserve">  </w:t>
      </w:r>
      <w:r w:rsidRPr="000150E1">
        <w:rPr>
          <w:rStyle w:val="Fontdeparagrafimplicit"/>
          <w:rFonts w:ascii="Bookman Old Style" w:hAnsi="Bookman Old Style"/>
          <w:b/>
          <w:sz w:val="22"/>
          <w:lang w:val="pt-PT"/>
        </w:rPr>
        <w:t xml:space="preserve">PREŞEDINTE                                                                  JUDECĂTORI </w:t>
      </w:r>
    </w:p>
    <w:p w:rsidRPr="000150E1" w:rsidR="00C67AA2" w14:paraId="38DABDE7" w14:textId="77777777">
      <w:pPr>
        <w:rPr>
          <w:rStyle w:val="Fontdeparagrafimplicit"/>
          <w:rFonts w:ascii="Bookman Old Style" w:hAnsi="Bookman Old Style"/>
          <w:b/>
          <w:sz w:val="22"/>
          <w:lang w:val="pt-PT"/>
        </w:rPr>
      </w:pPr>
      <w:r w:rsidRPr="000150E1">
        <w:rPr>
          <w:rStyle w:val="Fontdeparagrafimplicit"/>
          <w:rFonts w:ascii="Bookman Old Style" w:hAnsi="Bookman Old Style"/>
          <w:b/>
          <w:sz w:val="22"/>
          <w:lang w:val="pt-PT"/>
        </w:rPr>
        <w:t xml:space="preserve">    ...................                                                           A0019      ................      </w:t>
      </w:r>
    </w:p>
    <w:p w:rsidRPr="000150E1" w:rsidR="00C67AA2" w14:paraId="3AB40B67" w14:textId="77777777">
      <w:pPr>
        <w:rPr>
          <w:rStyle w:val="Fontdeparagrafimplicit"/>
          <w:rFonts w:ascii="Bookman Old Style" w:hAnsi="Bookman Old Style"/>
          <w:b/>
          <w:sz w:val="22"/>
          <w:lang w:val="pt-PT"/>
        </w:rPr>
      </w:pPr>
    </w:p>
    <w:p w:rsidRPr="000150E1" w:rsidR="00C67AA2" w14:paraId="28264902" w14:textId="77777777">
      <w:pPr>
        <w:rPr>
          <w:rStyle w:val="Fontdeparagrafimplicit"/>
          <w:rFonts w:ascii="Bookman Old Style" w:hAnsi="Bookman Old Style"/>
          <w:b/>
          <w:sz w:val="22"/>
          <w:lang w:val="pt-PT"/>
        </w:rPr>
      </w:pPr>
    </w:p>
    <w:p w:rsidRPr="000150E1" w:rsidR="00C67AA2" w14:paraId="5FCB9C5B" w14:textId="77777777">
      <w:pPr>
        <w:rPr>
          <w:rStyle w:val="Fontdeparagrafimplicit"/>
          <w:rFonts w:ascii="Bookman Old Style" w:hAnsi="Bookman Old Style"/>
          <w:b/>
          <w:sz w:val="22"/>
          <w:lang w:val="pt-PT"/>
        </w:rPr>
      </w:pPr>
    </w:p>
    <w:p w:rsidRPr="000150E1" w:rsidR="00C67AA2" w14:paraId="213A259A" w14:textId="77777777">
      <w:pPr>
        <w:rPr>
          <w:rStyle w:val="Fontdeparagrafimplicit"/>
          <w:rFonts w:ascii="Bookman Old Style" w:hAnsi="Bookman Old Style"/>
          <w:b/>
          <w:sz w:val="22"/>
          <w:lang w:val="pt-PT"/>
        </w:rPr>
      </w:pPr>
    </w:p>
    <w:p w:rsidRPr="000150E1" w:rsidR="00C67AA2" w14:paraId="4EC156EB" w14:textId="77777777">
      <w:pPr>
        <w:rPr>
          <w:rStyle w:val="Fontdeparagrafimplicit"/>
          <w:rFonts w:ascii="Bookman Old Style" w:hAnsi="Bookman Old Style"/>
          <w:b/>
          <w:sz w:val="22"/>
          <w:lang w:val="pt-PT"/>
        </w:rPr>
      </w:pPr>
    </w:p>
    <w:p w:rsidRPr="000150E1" w:rsidR="00C67AA2" w14:paraId="6A304445" w14:textId="77777777">
      <w:pPr>
        <w:rPr>
          <w:rStyle w:val="Fontdeparagrafimplicit"/>
          <w:rFonts w:ascii="Bookman Old Style" w:hAnsi="Bookman Old Style"/>
          <w:b/>
          <w:sz w:val="22"/>
          <w:lang w:val="pt-PT"/>
        </w:rPr>
      </w:pPr>
    </w:p>
    <w:p w:rsidRPr="000150E1" w:rsidR="00C67AA2" w14:paraId="58B7EF2B" w14:textId="77777777">
      <w:pPr>
        <w:jc w:val="center"/>
        <w:rPr>
          <w:rStyle w:val="Fontdeparagrafimplicit"/>
          <w:rFonts w:ascii="Bookman Old Style" w:hAnsi="Bookman Old Style"/>
          <w:b/>
          <w:sz w:val="22"/>
          <w:lang w:val="pt-PT"/>
        </w:rPr>
      </w:pPr>
      <w:r w:rsidRPr="000150E1">
        <w:rPr>
          <w:rStyle w:val="Fontdeparagrafimplicit"/>
          <w:rFonts w:ascii="Bookman Old Style" w:hAnsi="Bookman Old Style"/>
          <w:b/>
          <w:sz w:val="22"/>
          <w:lang w:val="pt-PT"/>
        </w:rPr>
        <w:t xml:space="preserve">                                                                                                GREFIER</w:t>
      </w:r>
    </w:p>
    <w:p w:rsidRPr="000150E1" w:rsidR="00C67AA2" w14:paraId="235F383D" w14:textId="77777777">
      <w:pPr>
        <w:jc w:val="center"/>
        <w:rPr>
          <w:rStyle w:val="Fontdeparagrafimplicit"/>
          <w:rFonts w:ascii="Bookman Old Style" w:hAnsi="Bookman Old Style"/>
          <w:b/>
          <w:sz w:val="22"/>
          <w:lang w:val="pt-PT"/>
        </w:rPr>
      </w:pPr>
      <w:r w:rsidRPr="000150E1">
        <w:rPr>
          <w:rStyle w:val="Fontdeparagrafimplicit"/>
          <w:rFonts w:ascii="Bookman Old Style" w:hAnsi="Bookman Old Style"/>
          <w:b/>
          <w:sz w:val="22"/>
          <w:lang w:val="pt-PT"/>
        </w:rPr>
        <w:t xml:space="preserve">                                                                                                ................ </w:t>
      </w:r>
    </w:p>
    <w:p w:rsidRPr="000150E1" w:rsidR="00C67AA2" w14:paraId="16FD3A0E" w14:textId="77777777">
      <w:pPr>
        <w:rPr>
          <w:rStyle w:val="Fontdeparagrafimplicit"/>
          <w:rFonts w:ascii="Bookman Old Style" w:hAnsi="Bookman Old Style"/>
          <w:b/>
          <w:sz w:val="22"/>
          <w:lang w:val="pt-PT"/>
        </w:rPr>
      </w:pPr>
    </w:p>
    <w:p w:rsidRPr="000150E1" w:rsidR="00C67AA2" w14:paraId="0BA8DFEA" w14:textId="77777777">
      <w:pPr>
        <w:rPr>
          <w:rStyle w:val="Fontdeparagrafimplicit"/>
          <w:rFonts w:ascii="Bookman Old Style" w:hAnsi="Bookman Old Style"/>
          <w:b/>
          <w:sz w:val="22"/>
          <w:lang w:val="pt-PT"/>
        </w:rPr>
      </w:pPr>
    </w:p>
    <w:p w:rsidRPr="000150E1" w:rsidR="00C67AA2" w14:paraId="68A2C9A8" w14:textId="77777777">
      <w:pPr>
        <w:jc w:val="both"/>
        <w:rPr>
          <w:rStyle w:val="Fontdeparagrafimplicit"/>
          <w:rFonts w:ascii="Bookman Old Style" w:hAnsi="Bookman Old Style"/>
          <w:sz w:val="16"/>
          <w:lang w:val="pt-PT"/>
        </w:rPr>
      </w:pPr>
    </w:p>
    <w:p w:rsidRPr="000150E1" w:rsidR="00C67AA2" w14:paraId="481F0DF8" w14:textId="77777777">
      <w:pPr>
        <w:jc w:val="both"/>
        <w:rPr>
          <w:rStyle w:val="Fontdeparagrafimplicit"/>
          <w:rFonts w:ascii="Bookman Old Style" w:hAnsi="Bookman Old Style"/>
          <w:sz w:val="16"/>
          <w:lang w:val="pt-PT"/>
        </w:rPr>
      </w:pPr>
    </w:p>
    <w:p w:rsidRPr="000150E1" w:rsidR="00C67AA2" w14:paraId="6A67B80F" w14:textId="77777777">
      <w:pPr>
        <w:jc w:val="both"/>
        <w:rPr>
          <w:rStyle w:val="Fontdeparagrafimplicit"/>
          <w:rFonts w:ascii="Bookman Old Style" w:hAnsi="Bookman Old Style"/>
          <w:sz w:val="16"/>
          <w:lang w:val="pt-PT"/>
        </w:rPr>
      </w:pPr>
    </w:p>
    <w:p w:rsidRPr="000150E1" w:rsidR="00C67AA2" w14:paraId="280D16E7" w14:textId="77777777">
      <w:pPr>
        <w:jc w:val="both"/>
        <w:rPr>
          <w:rStyle w:val="Fontdeparagrafimplicit"/>
          <w:rFonts w:ascii="Bookman Old Style" w:hAnsi="Bookman Old Style"/>
          <w:sz w:val="16"/>
          <w:lang w:val="pt-PT"/>
        </w:rPr>
      </w:pPr>
    </w:p>
    <w:p w:rsidRPr="000150E1" w:rsidR="00C67AA2" w14:paraId="193474A3" w14:textId="77777777">
      <w:pPr>
        <w:jc w:val="both"/>
        <w:rPr>
          <w:rStyle w:val="Fontdeparagrafimplicit"/>
          <w:rFonts w:ascii="Bookman Old Style" w:hAnsi="Bookman Old Style"/>
          <w:sz w:val="16"/>
          <w:lang w:val="pt-PT"/>
        </w:rPr>
      </w:pPr>
    </w:p>
    <w:p w:rsidRPr="000150E1" w:rsidR="00C67AA2" w14:paraId="0C6B4717" w14:textId="77777777">
      <w:pPr>
        <w:jc w:val="both"/>
        <w:rPr>
          <w:rStyle w:val="Fontdeparagrafimplicit"/>
          <w:rFonts w:ascii="Bookman Old Style" w:hAnsi="Bookman Old Style"/>
          <w:sz w:val="16"/>
          <w:lang w:val="pt-PT"/>
        </w:rPr>
      </w:pPr>
      <w:r w:rsidRPr="000150E1">
        <w:rPr>
          <w:rStyle w:val="Fontdeparagrafimplicit"/>
          <w:rFonts w:ascii="Bookman Old Style" w:hAnsi="Bookman Old Style"/>
          <w:sz w:val="16"/>
          <w:lang w:val="pt-PT"/>
        </w:rPr>
        <w:t>Red.A0019/dact............</w:t>
      </w:r>
    </w:p>
    <w:p w:rsidR="00C67AA2" w14:paraId="0A9307D6" w14:textId="77777777">
      <w:pPr>
        <w:jc w:val="both"/>
        <w:rPr>
          <w:rStyle w:val="Fontdeparagrafimplicit"/>
          <w:rFonts w:ascii="Bookman Old Style" w:hAnsi="Bookman Old Style"/>
          <w:sz w:val="16"/>
        </w:rPr>
      </w:pPr>
      <w:r>
        <w:rPr>
          <w:rStyle w:val="Fontdeparagrafimplicit"/>
          <w:rFonts w:ascii="Bookman Old Style" w:hAnsi="Bookman Old Style"/>
          <w:sz w:val="16"/>
        </w:rPr>
        <w:t>2ex./.............</w:t>
      </w:r>
    </w:p>
    <w:p w:rsidR="00C67AA2" w14:paraId="45A06559" w14:textId="77777777">
      <w:pPr>
        <w:rPr>
          <w:rStyle w:val="Fontdeparagrafimplicit"/>
        </w:rPr>
      </w:pPr>
      <w:r>
        <w:rPr>
          <w:rStyle w:val="Fontdeparagrafimplicit"/>
          <w:rFonts w:ascii="Bookman Old Style" w:hAnsi="Bookman Old Style"/>
          <w:sz w:val="16"/>
        </w:rPr>
        <w:t>Jud.fond:</w:t>
      </w:r>
      <w:r>
        <w:rPr>
          <w:rStyle w:val="Fontdeparagrafimplicit"/>
          <w:rFonts w:ascii="Garamond" w:hAnsi="Garamond"/>
          <w:b/>
          <w:sz w:val="22"/>
        </w:rPr>
        <w:t xml:space="preserve"> </w:t>
      </w:r>
      <w:r>
        <w:rPr>
          <w:rStyle w:val="Fontdeparagrafimplicit"/>
          <w:rFonts w:ascii="Bookman Old Style" w:hAnsi="Bookman Old Style"/>
          <w:sz w:val="16"/>
        </w:rPr>
        <w:t>.............</w:t>
      </w:r>
    </w:p>
    <w:sectPr>
      <w:footerReference w:type="even" r:id="rId4"/>
      <w:footerReference w:type="default" r:id="rId5"/>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67AA2" w14:paraId="6F596589"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C67AA2" w14:paraId="539926FD"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67AA2" w14:paraId="14F8B77E"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sidR="00C846AD">
      <w:rPr>
        <w:rStyle w:val="Numrdepagin"/>
        <w:noProof/>
      </w:rPr>
      <w:t>1</w:t>
    </w:r>
    <w:r>
      <w:rPr>
        <w:rStyle w:val="Numrdepagin"/>
      </w:rPr>
      <w:fldChar w:fldCharType="end"/>
    </w:r>
  </w:p>
  <w:p w:rsidR="00C67AA2" w14:paraId="24A419B1"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AA2"/>
    <w:rsid w:val="000150E1"/>
    <w:rsid w:val="00195E66"/>
    <w:rsid w:val="00291FBF"/>
    <w:rsid w:val="0096050F"/>
    <w:rsid w:val="00A85F0D"/>
    <w:rsid w:val="00C67AA2"/>
    <w:rsid w:val="00C846AD"/>
    <w:rsid w:val="00D26884"/>
  </w:rsids>
  <w:docVars>
    <w:docVar w:name="url" w:val="http://bd-cjca:80/ecris_cdms/document_upload.aspx?id_document=3300000000467943&amp;id_departament=3&amp;id_sesiune=307508&amp;id_user=157&amp;id_institutie=33&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77F95370"/>
  <w15:docId w15:val="{F3A21296-DFA4-4A35-A635-C80679089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customStyle="1" w:styleId="Titlu2">
    <w:name w:val="Titlu 2"/>
    <w:basedOn w:val="Normal"/>
    <w:next w:val="Normal"/>
    <w:qFormat/>
    <w:pPr>
      <w:keepNext/>
      <w:spacing w:before="240" w:after="60"/>
      <w:outlineLvl w:val="1"/>
    </w:pPr>
    <w:rPr>
      <w:rFonts w:ascii="Arial" w:hAnsi="Arial"/>
      <w:b/>
      <w:i/>
      <w:sz w:val="28"/>
    </w:rPr>
  </w:style>
  <w:style w:type="paragraph" w:customStyle="1" w:styleId="Titlu3">
    <w:name w:val="Titlu 3"/>
    <w:basedOn w:val="Normal"/>
    <w:next w:val="Normal"/>
    <w:qFormat/>
    <w:pPr>
      <w:keepNext/>
      <w:spacing w:before="240" w:after="60"/>
      <w:outlineLvl w:val="2"/>
    </w:pPr>
    <w:rPr>
      <w:rFonts w:ascii="Arial" w:hAnsi="Arial"/>
      <w:b/>
      <w:sz w:val="26"/>
    </w:rPr>
  </w:style>
  <w:style w:type="paragraph" w:styleId="NormalWeb">
    <w:name w:val="Normal (Web)"/>
    <w:basedOn w:val="Normal"/>
    <w:pPr>
      <w:spacing w:before="100" w:beforeAutospacing="1" w:after="100" w:afterAutospacing="1"/>
    </w:pPr>
  </w:style>
  <w:style w:type="paragraph" w:customStyle="1" w:styleId="a">
    <w:name w:val="a"/>
    <w:basedOn w:val="Normal"/>
    <w:link w:val="Fontdeparagrafimplicit"/>
    <w:rPr>
      <w:lang w:val="pl-PL"/>
    </w:rPr>
  </w:style>
  <w:style w:type="paragraph" w:customStyle="1" w:styleId="Subsol">
    <w:name w:val="Subsol"/>
    <w:basedOn w:val="Normal"/>
    <w:pPr>
      <w:tabs>
        <w:tab w:val="center" w:pos="4320"/>
        <w:tab w:val="right" w:pos="8640"/>
      </w:tabs>
    </w:pPr>
  </w:style>
  <w:style w:type="paragraph" w:customStyle="1" w:styleId="CaracterCaracterCaracterCaracterCaracterCaracter">
    <w:name w:val="Caracter Caracter Caracter Caracter Caracter Caracter"/>
    <w:basedOn w:val="Normal"/>
    <w:rPr>
      <w:lang w:val="pl-PL"/>
    </w:rPr>
  </w:style>
  <w:style w:type="paragraph" w:customStyle="1" w:styleId="CaracterCaracterCaracterCaracter">
    <w:name w:val="Caracter Caracter Caracter Caracter"/>
    <w:basedOn w:val="Normal"/>
    <w:pPr>
      <w:tabs>
        <w:tab w:val="left" w:pos="900"/>
        <w:tab w:val="left" w:pos="1080"/>
      </w:tabs>
      <w:ind w:right="22"/>
    </w:pPr>
    <w:rPr>
      <w:lang w:val="pl-PL"/>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aliases w:val=" Caracter Caracter"/>
    <w:link w:val="a"/>
    <w:rPr>
      <w:lang w:val="pl-PL"/>
    </w:rPr>
  </w:style>
  <w:style w:type="character" w:customStyle="1" w:styleId="Numrdepagin">
    <w:name w:val="Număr de pagină"/>
    <w:basedOn w:val="Fontdeparagrafimplicit"/>
    <w:rPr>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31</ap:TotalTime>
  <ap:Pages>9</ap:Pages>
  <ap:Words>4539</ap:Words>
  <ap:Characters>25876</ap:Characters>
  <ap:Application>Microsoft Office Word</ap:Application>
  <ap:DocSecurity>0</ap:DocSecurity>
  <ap:Lines>215</ap:Lines>
  <ap:Paragraphs>60</ap:Paragraphs>
  <ap:ScaleCrop>false</ap:ScaleCrop>
  <ap:CharactersWithSpaces>30355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