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D9764F" w:rsidR="000F02A8" w14:paraId="15A47C04" w14:textId="77777777">
      <w:pPr>
        <w:jc w:val="center"/>
        <w:rPr>
          <w:rStyle w:val="Fontdeparagrafimplicit"/>
          <w:rFonts w:ascii="Bookman Old Style" w:hAnsi="Bookman Old Style"/>
        </w:rPr>
      </w:pPr>
      <w:r w:rsidRPr="00D9764F">
        <w:rPr>
          <w:rStyle w:val="Fontdeparagrafimplicit"/>
          <w:rFonts w:ascii="Bookman Old Style" w:hAnsi="Bookman Old Style"/>
        </w:rPr>
        <w:t>ROMÂNIA</w:t>
      </w:r>
    </w:p>
    <w:p w:rsidRPr="00D9764F" w:rsidR="000F02A8" w14:paraId="62365242" w14:textId="72760555">
      <w:pPr>
        <w:jc w:val="center"/>
        <w:rPr>
          <w:rStyle w:val="Fontdeparagrafimplicit"/>
          <w:rFonts w:ascii="Bookman Old Style" w:hAnsi="Bookman Old Style"/>
        </w:rPr>
      </w:pPr>
      <w:r w:rsidRPr="00D9764F">
        <w:rPr>
          <w:rStyle w:val="Fontdeparagrafimplicit"/>
          <w:rFonts w:ascii="Bookman Old Style" w:hAnsi="Bookman Old Style"/>
        </w:rPr>
        <w:t xml:space="preserve">CURTEA DE APEL </w:t>
      </w:r>
      <w:r w:rsidRPr="00D9764F" w:rsidR="00905D45">
        <w:rPr>
          <w:rStyle w:val="Fontdeparagrafimplicit"/>
          <w:rFonts w:ascii="Bookman Old Style" w:hAnsi="Bookman Old Style"/>
        </w:rPr>
        <w:t xml:space="preserve">........... </w:t>
      </w:r>
    </w:p>
    <w:p w:rsidRPr="00D9764F" w:rsidR="000F02A8" w14:paraId="58FE9FA4" w14:textId="48E8C0B4">
      <w:pPr>
        <w:jc w:val="center"/>
        <w:rPr>
          <w:rStyle w:val="Fontdeparagrafimplicit"/>
          <w:rFonts w:ascii="Bookman Old Style" w:hAnsi="Bookman Old Style"/>
        </w:rPr>
      </w:pPr>
      <w:r w:rsidRPr="00D9764F">
        <w:rPr>
          <w:rStyle w:val="Fontdeparagrafimplicit"/>
          <w:rFonts w:ascii="Bookman Old Style" w:hAnsi="Bookman Old Style"/>
        </w:rPr>
        <w:t xml:space="preserve">SECŢIA </w:t>
      </w:r>
      <w:r w:rsidRPr="00D9764F" w:rsidR="00905D45">
        <w:rPr>
          <w:rStyle w:val="Fontdeparagrafimplicit"/>
          <w:rFonts w:ascii="Bookman Old Style" w:hAnsi="Bookman Old Style"/>
        </w:rPr>
        <w:t xml:space="preserve">........... </w:t>
      </w:r>
    </w:p>
    <w:p w:rsidRPr="00D9764F" w:rsidR="000F02A8" w14:paraId="3B3F4579" w14:textId="77777777">
      <w:pPr>
        <w:jc w:val="center"/>
        <w:rPr>
          <w:rStyle w:val="Fontdeparagrafimplicit"/>
          <w:rFonts w:ascii="Bookman Old Style" w:hAnsi="Bookman Old Style"/>
        </w:rPr>
      </w:pPr>
    </w:p>
    <w:p w:rsidRPr="00D9764F" w:rsidR="000F02A8" w14:paraId="05590635" w14:textId="5EF8899D">
      <w:pPr>
        <w:rPr>
          <w:rStyle w:val="Fontdeparagrafimplicit"/>
          <w:rFonts w:ascii="Bookman Old Style" w:hAnsi="Bookman Old Style"/>
        </w:rPr>
      </w:pPr>
      <w:r w:rsidRPr="00D9764F">
        <w:rPr>
          <w:rStyle w:val="Fontdeparagrafimplicit"/>
          <w:rFonts w:ascii="Bookman Old Style" w:hAnsi="Bookman Old Style"/>
        </w:rPr>
        <w:t xml:space="preserve">Dosar nr. </w:t>
      </w:r>
      <w:r w:rsidRPr="00D9764F" w:rsidR="00905D45">
        <w:rPr>
          <w:rStyle w:val="Fontdeparagrafimplicit"/>
          <w:rFonts w:ascii="Bookman Old Style" w:hAnsi="Bookman Old Style"/>
        </w:rPr>
        <w:t>14</w:t>
      </w:r>
    </w:p>
    <w:p w:rsidRPr="00D9764F" w:rsidR="000F02A8" w14:paraId="434FCB29" w14:textId="77777777">
      <w:pPr>
        <w:rPr>
          <w:rStyle w:val="Fontdeparagrafimplicit"/>
          <w:rFonts w:ascii="Bookman Old Style" w:hAnsi="Bookman Old Style"/>
        </w:rPr>
      </w:pPr>
    </w:p>
    <w:p w:rsidRPr="00D9764F" w:rsidR="000F02A8" w14:paraId="6731CEAA" w14:textId="67E2ECBF">
      <w:pPr>
        <w:jc w:val="center"/>
        <w:rPr>
          <w:rStyle w:val="Fontdeparagrafimplicit"/>
          <w:rFonts w:ascii="Bookman Old Style" w:hAnsi="Bookman Old Style"/>
          <w:b/>
        </w:rPr>
      </w:pPr>
      <w:r w:rsidRPr="00D9764F">
        <w:rPr>
          <w:rStyle w:val="Fontdeparagrafimplicit"/>
          <w:rFonts w:ascii="Bookman Old Style" w:hAnsi="Bookman Old Style"/>
          <w:b/>
        </w:rPr>
        <w:t xml:space="preserve">DECIZIA CIVILĂ NR. </w:t>
      </w:r>
      <w:r w:rsidRPr="00D9764F" w:rsidR="00905D45">
        <w:rPr>
          <w:rStyle w:val="Fontdeparagrafimplicit"/>
          <w:rFonts w:ascii="Bookman Old Style" w:hAnsi="Bookman Old Style"/>
          <w:b/>
        </w:rPr>
        <w:t>14</w:t>
      </w:r>
    </w:p>
    <w:p w:rsidRPr="00D9764F" w:rsidR="000F02A8" w14:paraId="7CD249BD" w14:textId="11916538">
      <w:pPr>
        <w:rPr>
          <w:rStyle w:val="Fontdeparagrafimplicit"/>
          <w:rFonts w:ascii="Bookman Old Style" w:hAnsi="Bookman Old Style"/>
        </w:rPr>
      </w:pPr>
      <w:r w:rsidRPr="00D9764F">
        <w:rPr>
          <w:rStyle w:val="Fontdeparagrafimplicit"/>
          <w:rFonts w:ascii="Bookman Old Style" w:hAnsi="Bookman Old Style"/>
        </w:rPr>
        <w:t xml:space="preserve">                          Şedinţa publică din data de  </w:t>
      </w:r>
      <w:r w:rsidRPr="00D9764F" w:rsidR="00905D45">
        <w:rPr>
          <w:rStyle w:val="Fontdeparagrafimplicit"/>
          <w:rFonts w:ascii="Bookman Old Style" w:hAnsi="Bookman Old Style"/>
        </w:rPr>
        <w:t xml:space="preserve">............ </w:t>
      </w:r>
      <w:r w:rsidRPr="00D9764F">
        <w:rPr>
          <w:rStyle w:val="Fontdeparagrafimplicit"/>
          <w:rFonts w:ascii="Bookman Old Style" w:hAnsi="Bookman Old Style"/>
        </w:rPr>
        <w:t xml:space="preserve">                                  </w:t>
      </w:r>
      <w:r w:rsidRPr="00D9764F">
        <w:rPr>
          <w:rStyle w:val="Fontdeparagrafimplicit"/>
          <w:rFonts w:ascii="Bookman Old Style" w:hAnsi="Bookman Old Style"/>
        </w:rPr>
        <w:tab/>
      </w:r>
      <w:r w:rsidRPr="00D9764F">
        <w:rPr>
          <w:rStyle w:val="Fontdeparagrafimplicit"/>
          <w:rFonts w:ascii="Bookman Old Style" w:hAnsi="Bookman Old Style"/>
        </w:rPr>
        <w:tab/>
      </w:r>
      <w:r w:rsidRPr="00D9764F">
        <w:rPr>
          <w:rStyle w:val="Fontdeparagrafimplicit"/>
          <w:rFonts w:ascii="Bookman Old Style" w:hAnsi="Bookman Old Style"/>
        </w:rPr>
        <w:tab/>
      </w:r>
      <w:r w:rsidRPr="00D9764F">
        <w:rPr>
          <w:rStyle w:val="Fontdeparagrafimplicit"/>
          <w:rFonts w:ascii="Bookman Old Style" w:hAnsi="Bookman Old Style"/>
        </w:rPr>
        <w:tab/>
        <w:t xml:space="preserve">    Instanţa constituită din:</w:t>
      </w:r>
    </w:p>
    <w:p w:rsidRPr="00D9764F" w:rsidR="000F02A8" w14:paraId="2A63CCC6" w14:textId="10973B06">
      <w:pPr>
        <w:ind w:left="1440" w:right="-975" w:firstLine="720"/>
        <w:rPr>
          <w:rStyle w:val="Fontdeparagrafimplicit"/>
          <w:rFonts w:ascii="Bookman Old Style" w:hAnsi="Bookman Old Style"/>
          <w:sz w:val="20"/>
        </w:rPr>
      </w:pPr>
      <w:r w:rsidRPr="00D9764F">
        <w:rPr>
          <w:rStyle w:val="Fontdeparagrafimplicit"/>
          <w:rFonts w:ascii="Bookman Old Style" w:hAnsi="Bookman Old Style"/>
        </w:rPr>
        <w:t xml:space="preserve">PREŞEDINTE :  </w:t>
      </w:r>
      <w:r w:rsidRPr="00D9764F" w:rsidR="00905D45">
        <w:rPr>
          <w:rStyle w:val="Fontdeparagrafimplicit"/>
          <w:rFonts w:ascii="Bookman Old Style" w:hAnsi="Bookman Old Style"/>
        </w:rPr>
        <w:t xml:space="preserve">............ </w:t>
      </w:r>
    </w:p>
    <w:p w:rsidRPr="00D9764F" w:rsidR="000F02A8" w14:paraId="51B39E2C" w14:textId="43A4410D">
      <w:pPr>
        <w:ind w:right="-975"/>
        <w:rPr>
          <w:rStyle w:val="Fontdeparagrafimplicit"/>
          <w:rFonts w:ascii="Bookman Old Style" w:hAnsi="Bookman Old Style"/>
        </w:rPr>
      </w:pPr>
      <w:r w:rsidRPr="00D9764F">
        <w:rPr>
          <w:rStyle w:val="Fontdeparagrafimplicit"/>
          <w:rFonts w:ascii="Bookman Old Style" w:hAnsi="Bookman Old Style"/>
          <w:sz w:val="20"/>
        </w:rPr>
        <w:tab/>
      </w:r>
      <w:r w:rsidRPr="00D9764F">
        <w:rPr>
          <w:rStyle w:val="Fontdeparagrafimplicit"/>
          <w:rFonts w:ascii="Bookman Old Style" w:hAnsi="Bookman Old Style"/>
          <w:sz w:val="20"/>
        </w:rPr>
        <w:tab/>
      </w:r>
      <w:r w:rsidRPr="00D9764F">
        <w:rPr>
          <w:rStyle w:val="Fontdeparagrafimplicit"/>
          <w:rFonts w:ascii="Bookman Old Style" w:hAnsi="Bookman Old Style"/>
          <w:sz w:val="20"/>
        </w:rPr>
        <w:tab/>
      </w:r>
      <w:r w:rsidRPr="00D9764F">
        <w:rPr>
          <w:rStyle w:val="Fontdeparagrafimplicit"/>
          <w:rFonts w:ascii="Bookman Old Style" w:hAnsi="Bookman Old Style"/>
        </w:rPr>
        <w:t xml:space="preserve">JUDECĂTOR  :  </w:t>
      </w:r>
      <w:r w:rsidRPr="00D9764F" w:rsidR="00905D45">
        <w:rPr>
          <w:rStyle w:val="Fontdeparagrafimplicit"/>
          <w:rFonts w:ascii="Bookman Old Style" w:hAnsi="Bookman Old Style"/>
        </w:rPr>
        <w:t>A0019</w:t>
      </w:r>
    </w:p>
    <w:p w:rsidRPr="00D9764F" w:rsidR="000F02A8" w14:paraId="72C7DA71" w14:textId="4EEE34BE">
      <w:pPr>
        <w:ind w:right="-975"/>
        <w:rPr>
          <w:rStyle w:val="Fontdeparagrafimplicit"/>
          <w:rFonts w:ascii="Bookman Old Style" w:hAnsi="Bookman Old Style"/>
        </w:rPr>
      </w:pPr>
      <w:r w:rsidRPr="00D9764F">
        <w:rPr>
          <w:rStyle w:val="Fontdeparagrafimplicit"/>
          <w:rFonts w:ascii="Bookman Old Style" w:hAnsi="Bookman Old Style"/>
        </w:rPr>
        <w:t xml:space="preserve">           </w:t>
      </w:r>
      <w:r w:rsidRPr="00D9764F">
        <w:rPr>
          <w:rStyle w:val="Fontdeparagrafimplicit"/>
          <w:rFonts w:ascii="Bookman Old Style" w:hAnsi="Bookman Old Style"/>
        </w:rPr>
        <w:tab/>
      </w:r>
      <w:r w:rsidRPr="00D9764F">
        <w:rPr>
          <w:rStyle w:val="Fontdeparagrafimplicit"/>
          <w:rFonts w:ascii="Bookman Old Style" w:hAnsi="Bookman Old Style"/>
        </w:rPr>
        <w:tab/>
        <w:t xml:space="preserve">GREFIER        :  </w:t>
      </w:r>
      <w:r w:rsidRPr="00D9764F" w:rsidR="00905D45">
        <w:rPr>
          <w:rStyle w:val="Fontdeparagrafimplicit"/>
          <w:rFonts w:ascii="Bookman Old Style" w:hAnsi="Bookman Old Style"/>
        </w:rPr>
        <w:t xml:space="preserve">................ </w:t>
      </w:r>
    </w:p>
    <w:p w:rsidRPr="00D9764F" w:rsidR="000F02A8" w14:paraId="781426CB" w14:textId="77777777">
      <w:pPr>
        <w:ind w:firstLine="720"/>
        <w:jc w:val="both"/>
        <w:rPr>
          <w:rStyle w:val="Fontdeparagrafimplicit"/>
          <w:rFonts w:ascii="Bookman Old Style" w:hAnsi="Bookman Old Style"/>
        </w:rPr>
      </w:pPr>
    </w:p>
    <w:p w:rsidRPr="00D9764F" w:rsidR="000F02A8" w14:paraId="382142CA" w14:textId="1C6D667B">
      <w:pPr>
        <w:ind w:firstLine="720"/>
        <w:jc w:val="both"/>
        <w:rPr>
          <w:rStyle w:val="Fontdeparagrafimplicit"/>
          <w:rFonts w:ascii="Bookman Old Style" w:hAnsi="Bookman Old Style"/>
        </w:rPr>
      </w:pPr>
      <w:r w:rsidRPr="00D9764F">
        <w:rPr>
          <w:rStyle w:val="Fontdeparagrafimplicit"/>
          <w:rFonts w:ascii="Bookman Old Style" w:hAnsi="Bookman Old Style"/>
        </w:rPr>
        <w:t xml:space="preserve">S-a luat în examinare apelul declarat de reclamanta LIGA SINDICATELOR DIN ÎNVĂŢĂMÂNT </w:t>
      </w:r>
      <w:r w:rsidRPr="00D9764F" w:rsidR="00905D45">
        <w:rPr>
          <w:rStyle w:val="Fontdeparagrafimplicit"/>
          <w:rFonts w:ascii="Bookman Old Style" w:hAnsi="Bookman Old Style"/>
        </w:rPr>
        <w:t xml:space="preserve">1 </w:t>
      </w:r>
      <w:r w:rsidRPr="00D9764F">
        <w:rPr>
          <w:rStyle w:val="Fontdeparagrafimplicit"/>
          <w:rFonts w:ascii="Bookman Old Style" w:hAnsi="Bookman Old Style"/>
        </w:rPr>
        <w:t xml:space="preserve">în numele şi pentru membrii de sindicat </w:t>
      </w:r>
      <w:r w:rsidRPr="00D9764F" w:rsidR="00905D45">
        <w:rPr>
          <w:rStyle w:val="Fontdeparagrafimplicit"/>
          <w:rFonts w:ascii="Bookman Old Style" w:hAnsi="Bookman Old Style"/>
        </w:rPr>
        <w:t xml:space="preserve">2 </w:t>
      </w:r>
      <w:r w:rsidRPr="00D9764F">
        <w:rPr>
          <w:rStyle w:val="Fontdeparagrafimplicit"/>
          <w:rFonts w:ascii="Bookman Old Style" w:hAnsi="Bookman Old Style"/>
        </w:rPr>
        <w:t xml:space="preserve">ş.a. împotriva sentinţei civile nr. </w:t>
      </w:r>
      <w:r w:rsidRPr="00D9764F" w:rsidR="00905D45">
        <w:rPr>
          <w:rStyle w:val="Fontdeparagrafimplicit"/>
          <w:rFonts w:ascii="Bookman Old Style" w:hAnsi="Bookman Old Style"/>
        </w:rPr>
        <w:t>.........</w:t>
      </w:r>
      <w:r w:rsidRPr="00D9764F">
        <w:rPr>
          <w:rStyle w:val="Fontdeparagrafimplicit"/>
          <w:rFonts w:ascii="Bookman Old Style" w:hAnsi="Bookman Old Style"/>
        </w:rPr>
        <w:t xml:space="preserve">din </w:t>
      </w:r>
      <w:r w:rsidRPr="00D9764F" w:rsidR="005A4715">
        <w:rPr>
          <w:rStyle w:val="Fontdeparagrafimplicit"/>
          <w:rFonts w:ascii="Bookman Old Style" w:hAnsi="Bookman Old Style"/>
        </w:rPr>
        <w:t xml:space="preserve">............. </w:t>
      </w:r>
      <w:r w:rsidRPr="00D9764F">
        <w:rPr>
          <w:rStyle w:val="Fontdeparagrafimplicit"/>
          <w:rFonts w:ascii="Bookman Old Style" w:hAnsi="Bookman Old Style"/>
        </w:rPr>
        <w:t xml:space="preserve">a Tribunalului </w:t>
      </w:r>
      <w:r w:rsidRPr="00D9764F" w:rsidR="005A4715">
        <w:rPr>
          <w:rStyle w:val="Fontdeparagrafimplicit"/>
          <w:rFonts w:ascii="Bookman Old Style" w:hAnsi="Bookman Old Style"/>
        </w:rPr>
        <w:t xml:space="preserve">............. </w:t>
      </w:r>
      <w:r w:rsidRPr="00D9764F">
        <w:rPr>
          <w:rStyle w:val="Fontdeparagrafimplicit"/>
          <w:rFonts w:ascii="Bookman Old Style" w:hAnsi="Bookman Old Style"/>
        </w:rPr>
        <w:t xml:space="preserve">, pronunţată în dosar nr. </w:t>
      </w:r>
      <w:r w:rsidRPr="00D9764F" w:rsidR="00905D45">
        <w:rPr>
          <w:rStyle w:val="Fontdeparagrafimplicit"/>
          <w:rFonts w:ascii="Bookman Old Style" w:hAnsi="Bookman Old Style"/>
        </w:rPr>
        <w:t>14</w:t>
      </w:r>
      <w:r w:rsidRPr="00D9764F">
        <w:rPr>
          <w:rStyle w:val="Fontdeparagrafimplicit"/>
          <w:rFonts w:ascii="Bookman Old Style" w:hAnsi="Bookman Old Style"/>
        </w:rPr>
        <w:t xml:space="preserve"> privind  şi pe pârâţii CENTRUL ŞCOLAR PENTRU EDUCAŢIE INCLUSIVĂ </w:t>
      </w:r>
      <w:r w:rsidRPr="00D9764F" w:rsidR="00905D45">
        <w:rPr>
          <w:rStyle w:val="Fontdeparagrafimplicit"/>
          <w:rFonts w:ascii="Bookman Old Style" w:hAnsi="Bookman Old Style"/>
        </w:rPr>
        <w:t xml:space="preserve">............. </w:t>
      </w:r>
      <w:r w:rsidRPr="00D9764F">
        <w:rPr>
          <w:rStyle w:val="Fontdeparagrafimplicit"/>
          <w:rFonts w:ascii="Bookman Old Style" w:hAnsi="Bookman Old Style"/>
        </w:rPr>
        <w:t xml:space="preserve">, CONSILIUL LOCAL AL ORAŞULUI </w:t>
      </w:r>
      <w:r w:rsidRPr="00D9764F" w:rsidR="00905D45">
        <w:rPr>
          <w:rStyle w:val="Fontdeparagrafimplicit"/>
          <w:rFonts w:ascii="Bookman Old Style" w:hAnsi="Bookman Old Style"/>
        </w:rPr>
        <w:t xml:space="preserve">............. </w:t>
      </w:r>
      <w:r w:rsidRPr="00D9764F">
        <w:rPr>
          <w:rStyle w:val="Fontdeparagrafimplicit"/>
          <w:rFonts w:ascii="Bookman Old Style" w:hAnsi="Bookman Old Style"/>
        </w:rPr>
        <w:t xml:space="preserve"> şi PRIMARUL ORAŞULUI </w:t>
      </w:r>
      <w:r w:rsidRPr="00D9764F" w:rsidR="005A4715">
        <w:rPr>
          <w:rStyle w:val="Fontdeparagrafimplicit"/>
          <w:rFonts w:ascii="Bookman Old Style" w:hAnsi="Bookman Old Style"/>
        </w:rPr>
        <w:t xml:space="preserve">S............. </w:t>
      </w:r>
      <w:r w:rsidRPr="00D9764F">
        <w:rPr>
          <w:rStyle w:val="Fontdeparagrafimplicit"/>
          <w:rFonts w:ascii="Bookman Old Style" w:hAnsi="Bookman Old Style"/>
        </w:rPr>
        <w:t>, având ca  obiect drepturi băneşti.</w:t>
      </w:r>
    </w:p>
    <w:p w:rsidRPr="00D9764F" w:rsidR="000F02A8" w14:paraId="6F0C21C3" w14:textId="77777777">
      <w:pPr>
        <w:ind w:firstLine="720"/>
        <w:jc w:val="both"/>
        <w:rPr>
          <w:rStyle w:val="Fontdeparagrafimplicit"/>
          <w:rFonts w:ascii="Bookman Old Style" w:hAnsi="Bookman Old Style"/>
        </w:rPr>
      </w:pPr>
      <w:r w:rsidRPr="00D9764F">
        <w:rPr>
          <w:rStyle w:val="Fontdeparagrafimplicit"/>
          <w:rFonts w:ascii="Bookman Old Style" w:hAnsi="Bookman Old Style"/>
        </w:rPr>
        <w:t>La apelul nominal făcut în şedinţă publică se  constată lipsa părţilor.</w:t>
      </w:r>
    </w:p>
    <w:p w:rsidRPr="00D9764F" w:rsidR="000F02A8" w14:paraId="3F7822A3" w14:textId="77777777">
      <w:pPr>
        <w:ind w:firstLine="720"/>
        <w:jc w:val="both"/>
        <w:rPr>
          <w:rStyle w:val="Fontdeparagrafimplicit"/>
          <w:rFonts w:ascii="Bookman Old Style" w:hAnsi="Bookman Old Style"/>
        </w:rPr>
      </w:pPr>
      <w:r w:rsidRPr="00D9764F">
        <w:rPr>
          <w:rStyle w:val="Fontdeparagrafimplicit"/>
          <w:rFonts w:ascii="Bookman Old Style" w:hAnsi="Bookman Old Style"/>
        </w:rPr>
        <w:t xml:space="preserve">Procedura de citare este legal îndeplinită.  </w:t>
      </w:r>
    </w:p>
    <w:p w:rsidRPr="00D9764F" w:rsidR="000F02A8" w14:paraId="7ED59729" w14:textId="77777777">
      <w:pPr>
        <w:ind w:firstLine="720"/>
        <w:jc w:val="both"/>
        <w:rPr>
          <w:rStyle w:val="Fontdeparagrafimplicit"/>
          <w:rFonts w:ascii="Bookman Old Style" w:hAnsi="Bookman Old Style"/>
        </w:rPr>
      </w:pPr>
      <w:r w:rsidRPr="00D9764F">
        <w:rPr>
          <w:rStyle w:val="Fontdeparagrafimplicit"/>
          <w:rFonts w:ascii="Bookman Old Style" w:hAnsi="Bookman Old Style"/>
        </w:rPr>
        <w:t>S-a făcut referatul cauzei, după care, se constată că apelul a fost declarat în termenul legal, a fost comunicat părţilor adverse şi este scutit de plata taxei judiciare de timbru.</w:t>
      </w:r>
    </w:p>
    <w:p w:rsidRPr="00D9764F" w:rsidR="000F02A8" w14:paraId="6314F8D4" w14:textId="77777777">
      <w:pPr>
        <w:ind w:firstLine="720"/>
        <w:jc w:val="both"/>
        <w:rPr>
          <w:rStyle w:val="Fontdeparagrafimplicit"/>
          <w:rFonts w:ascii="Bookman Old Style" w:hAnsi="Bookman Old Style"/>
        </w:rPr>
      </w:pPr>
      <w:r w:rsidRPr="00D9764F">
        <w:rPr>
          <w:rStyle w:val="Fontdeparagrafimplicit"/>
          <w:rFonts w:ascii="Bookman Old Style" w:hAnsi="Bookman Old Style"/>
        </w:rPr>
        <w:t>Prin întâmpinarea formulată şi înregistrată prin serviciul de registratură al instanţei  pârâtul intimat Centrul Şcolar Pentru Educaţie Inclusivă a solicitat respingerea cererii în totalitate ca nefondată şi menţinerea hotărârii instanţei de fond ca legală şi temeinică.</w:t>
      </w:r>
    </w:p>
    <w:p w:rsidRPr="00D9764F" w:rsidR="000F02A8" w14:paraId="369ABD73" w14:textId="77777777">
      <w:pPr>
        <w:ind w:firstLine="720"/>
        <w:jc w:val="both"/>
        <w:rPr>
          <w:rStyle w:val="Fontdeparagrafimplicit"/>
          <w:rFonts w:ascii="Bookman Old Style" w:hAnsi="Bookman Old Style"/>
        </w:rPr>
      </w:pPr>
      <w:r w:rsidRPr="00D9764F">
        <w:rPr>
          <w:rStyle w:val="Fontdeparagrafimplicit"/>
          <w:rFonts w:ascii="Bookman Old Style" w:hAnsi="Bookman Old Style"/>
        </w:rPr>
        <w:t>Reclamanta apelantă prin răspunsul la întâmpinare depus la dosar a solicitat judecarea cauzei în lipsă.</w:t>
      </w:r>
    </w:p>
    <w:p w:rsidRPr="00D9764F" w:rsidR="000F02A8" w14:paraId="6962B5D9" w14:textId="77777777">
      <w:pPr>
        <w:ind w:firstLine="720"/>
        <w:jc w:val="both"/>
        <w:rPr>
          <w:rStyle w:val="Fontdeparagrafimplicit"/>
          <w:rFonts w:ascii="Bookman Old Style" w:hAnsi="Bookman Old Style"/>
        </w:rPr>
      </w:pPr>
      <w:r w:rsidRPr="00D9764F">
        <w:rPr>
          <w:rStyle w:val="Fontdeparagrafimplicit"/>
          <w:rFonts w:ascii="Bookman Old Style" w:hAnsi="Bookman Old Style"/>
        </w:rPr>
        <w:t>Instanţa, verificând competenţa conform art. 131 C.pr.civ., în temeiul prevederilor art. 96 pct.2 C.pr.civ, constată că este competentă să soluţioneze prezentul apel.</w:t>
      </w:r>
    </w:p>
    <w:p w:rsidRPr="00D9764F" w:rsidR="000F02A8" w14:paraId="0AE73434" w14:textId="77777777">
      <w:pPr>
        <w:ind w:firstLine="720"/>
        <w:jc w:val="both"/>
        <w:rPr>
          <w:rStyle w:val="Fontdeparagrafimplicit"/>
          <w:rFonts w:ascii="Bookman Old Style" w:hAnsi="Bookman Old Style"/>
        </w:rPr>
      </w:pPr>
      <w:r w:rsidRPr="00D9764F">
        <w:rPr>
          <w:rStyle w:val="Fontdeparagrafimplicit"/>
          <w:rFonts w:ascii="Bookman Old Style" w:hAnsi="Bookman Old Style"/>
        </w:rPr>
        <w:t>Nefiind formulate cereri prealabile ori excepţii de invocat, Curtea constată cauza în stare de judecată, declară închise dezbaterile şi reţine cauza în pronunţare în baza actelor existente la dosar.</w:t>
      </w:r>
    </w:p>
    <w:p w:rsidRPr="00D9764F" w:rsidR="000F02A8" w14:paraId="62CA77B8" w14:textId="77777777">
      <w:pPr>
        <w:jc w:val="center"/>
        <w:rPr>
          <w:rStyle w:val="Fontdeparagrafimplicit"/>
          <w:rFonts w:ascii="Bookman Old Style" w:hAnsi="Bookman Old Style"/>
        </w:rPr>
      </w:pPr>
    </w:p>
    <w:p w:rsidRPr="00D9764F" w:rsidR="000F02A8" w14:paraId="0C5FBCF7" w14:textId="77777777">
      <w:pPr>
        <w:jc w:val="center"/>
        <w:rPr>
          <w:rStyle w:val="Fontdeparagrafimplicit"/>
          <w:rFonts w:ascii="Bookman Old Style" w:hAnsi="Bookman Old Style"/>
        </w:rPr>
      </w:pPr>
      <w:r w:rsidRPr="00D9764F">
        <w:rPr>
          <w:rStyle w:val="Fontdeparagrafimplicit"/>
          <w:rFonts w:ascii="Bookman Old Style" w:hAnsi="Bookman Old Style"/>
        </w:rPr>
        <w:t>C U R T E A</w:t>
      </w:r>
    </w:p>
    <w:p w:rsidRPr="00D9764F" w:rsidR="000F02A8" w14:paraId="4FE11184" w14:textId="77777777">
      <w:pPr>
        <w:rPr>
          <w:rStyle w:val="Fontdeparagrafimplicit"/>
          <w:rFonts w:ascii="Bookman Old Style" w:hAnsi="Bookman Old Style"/>
        </w:rPr>
      </w:pPr>
    </w:p>
    <w:p w:rsidRPr="00D9764F" w:rsidR="000F02A8" w14:paraId="0869E13A" w14:textId="1252B563">
      <w:pPr>
        <w:tabs>
          <w:tab w:val="left" w:pos="1623"/>
        </w:tabs>
        <w:ind w:firstLine="708"/>
        <w:jc w:val="both"/>
        <w:rPr>
          <w:rStyle w:val="Fontdeparagrafimplicit"/>
          <w:rFonts w:ascii="Bookman Old Style" w:hAnsi="Bookman Old Style"/>
        </w:rPr>
      </w:pPr>
      <w:r w:rsidRPr="00D9764F">
        <w:rPr>
          <w:rStyle w:val="Fontdeparagrafimplicit"/>
          <w:rFonts w:ascii="Bookman Old Style" w:hAnsi="Bookman Old Style"/>
          <w:i/>
        </w:rPr>
        <w:t xml:space="preserve">Prin sentinţa civilă nr. </w:t>
      </w:r>
      <w:r w:rsidRPr="00D9764F" w:rsidR="00905D45">
        <w:rPr>
          <w:rStyle w:val="Fontdeparagrafimplicit"/>
          <w:rFonts w:ascii="Bookman Old Style" w:hAnsi="Bookman Old Style"/>
          <w:i/>
        </w:rPr>
        <w:t>.........</w:t>
      </w:r>
      <w:r w:rsidRPr="00D9764F">
        <w:rPr>
          <w:rStyle w:val="Fontdeparagrafimplicit"/>
          <w:rFonts w:ascii="Bookman Old Style" w:hAnsi="Bookman Old Style"/>
          <w:i/>
        </w:rPr>
        <w:t xml:space="preserve">din </w:t>
      </w:r>
      <w:r w:rsidRPr="00D9764F" w:rsidR="00905D45">
        <w:rPr>
          <w:rStyle w:val="Fontdeparagrafimplicit"/>
          <w:rFonts w:ascii="Bookman Old Style" w:hAnsi="Bookman Old Style"/>
          <w:i/>
        </w:rPr>
        <w:t xml:space="preserve">............... </w:t>
      </w:r>
      <w:r w:rsidRPr="00D9764F">
        <w:rPr>
          <w:rStyle w:val="Fontdeparagrafimplicit"/>
          <w:rFonts w:ascii="Bookman Old Style" w:hAnsi="Bookman Old Style"/>
          <w:i/>
        </w:rPr>
        <w:t xml:space="preserve">pronunţată de Tribunalul </w:t>
      </w:r>
      <w:r w:rsidRPr="00D9764F" w:rsidR="00905D45">
        <w:rPr>
          <w:rStyle w:val="Fontdeparagrafimplicit"/>
          <w:rFonts w:ascii="Bookman Old Style" w:hAnsi="Bookman Old Style"/>
          <w:i/>
        </w:rPr>
        <w:t xml:space="preserve">1 </w:t>
      </w:r>
      <w:r w:rsidRPr="00D9764F">
        <w:rPr>
          <w:rStyle w:val="Fontdeparagrafimplicit"/>
          <w:rFonts w:ascii="Bookman Old Style" w:hAnsi="Bookman Old Style"/>
          <w:i/>
        </w:rPr>
        <w:t xml:space="preserve">în dosarul nr. </w:t>
      </w:r>
      <w:r w:rsidRPr="00D9764F" w:rsidR="00905D45">
        <w:rPr>
          <w:rStyle w:val="Fontdeparagrafimplicit"/>
          <w:rFonts w:ascii="Bookman Old Style" w:hAnsi="Bookman Old Style"/>
          <w:i/>
        </w:rPr>
        <w:t>14</w:t>
      </w:r>
      <w:r w:rsidRPr="00D9764F">
        <w:rPr>
          <w:rStyle w:val="Fontdeparagrafimplicit"/>
          <w:rFonts w:ascii="Bookman Old Style" w:hAnsi="Bookman Old Style"/>
          <w:i/>
        </w:rPr>
        <w:t xml:space="preserve"> </w:t>
      </w:r>
      <w:r w:rsidRPr="00D9764F">
        <w:rPr>
          <w:rStyle w:val="Fontdeparagrafimplicit"/>
          <w:rFonts w:ascii="Bookman Old Style" w:hAnsi="Bookman Old Style"/>
        </w:rPr>
        <w:t>s-a respins excepţia lipsei calităţii procesuale pasive, excepţie invocată de pârâţii Consiliul Local şi Instituţia Primarului.</w:t>
      </w:r>
    </w:p>
    <w:p w:rsidRPr="00D9764F" w:rsidR="000F02A8" w14:paraId="60F2339A" w14:textId="62B1A52A">
      <w:pPr>
        <w:tabs>
          <w:tab w:val="left" w:pos="1623"/>
        </w:tabs>
        <w:ind w:firstLine="708"/>
        <w:jc w:val="both"/>
        <w:rPr>
          <w:rStyle w:val="Fontdeparagrafimplicit"/>
          <w:rFonts w:ascii="Bookman Old Style" w:hAnsi="Bookman Old Style"/>
        </w:rPr>
      </w:pPr>
      <w:r w:rsidRPr="00D9764F">
        <w:rPr>
          <w:rStyle w:val="Fontdeparagrafimplicit"/>
          <w:rFonts w:ascii="Bookman Old Style" w:hAnsi="Bookman Old Style"/>
        </w:rPr>
        <w:t xml:space="preserve">S-a respins ca nefondată acţiunea formulată de reclamanta LIGA SINDICATELOR DIN ÎNVĂŢĂMÂNT </w:t>
      </w:r>
      <w:r w:rsidRPr="00D9764F" w:rsidR="00905D45">
        <w:rPr>
          <w:rStyle w:val="Fontdeparagrafimplicit"/>
          <w:rFonts w:ascii="Bookman Old Style" w:hAnsi="Bookman Old Style"/>
        </w:rPr>
        <w:t>1</w:t>
      </w:r>
      <w:r w:rsidR="00924C8C">
        <w:rPr>
          <w:rStyle w:val="Fontdeparagrafimplicit"/>
          <w:rFonts w:ascii="Bookman Old Style" w:hAnsi="Bookman Old Style"/>
        </w:rPr>
        <w:t xml:space="preserve"> </w:t>
      </w:r>
      <w:r w:rsidRPr="00D9764F">
        <w:rPr>
          <w:rStyle w:val="Fontdeparagrafimplicit"/>
          <w:rFonts w:ascii="Bookman Old Style" w:hAnsi="Bookman Old Style"/>
        </w:rPr>
        <w:t xml:space="preserve">în numele membrilor de sindicat </w:t>
      </w:r>
      <w:r w:rsidRPr="00D9764F" w:rsidR="00905D45">
        <w:rPr>
          <w:rStyle w:val="Fontdeparagrafimplicit"/>
          <w:rFonts w:ascii="Bookman Old Style" w:hAnsi="Bookman Old Style"/>
        </w:rPr>
        <w:t>3</w:t>
      </w:r>
      <w:r w:rsidRPr="00D9764F">
        <w:rPr>
          <w:rStyle w:val="Fontdeparagrafimplicit"/>
          <w:rFonts w:ascii="Bookman Old Style" w:hAnsi="Bookman Old Style"/>
        </w:rPr>
        <w:t xml:space="preserve">, </w:t>
      </w:r>
      <w:r w:rsidRPr="00D9764F" w:rsidR="00905D45">
        <w:rPr>
          <w:rStyle w:val="Fontdeparagrafimplicit"/>
          <w:rFonts w:ascii="Bookman Old Style" w:hAnsi="Bookman Old Style"/>
        </w:rPr>
        <w:t>4</w:t>
      </w:r>
      <w:r w:rsidRPr="00D9764F">
        <w:rPr>
          <w:rStyle w:val="Fontdeparagrafimplicit"/>
          <w:rFonts w:ascii="Bookman Old Style" w:hAnsi="Bookman Old Style"/>
        </w:rPr>
        <w:t xml:space="preserve">, </w:t>
      </w:r>
      <w:r w:rsidRPr="00D9764F" w:rsidR="00905D45">
        <w:rPr>
          <w:rStyle w:val="Fontdeparagrafimplicit"/>
          <w:rFonts w:ascii="Bookman Old Style" w:hAnsi="Bookman Old Style"/>
        </w:rPr>
        <w:t>5</w:t>
      </w:r>
      <w:r w:rsidRPr="00D9764F">
        <w:rPr>
          <w:rStyle w:val="Fontdeparagrafimplicit"/>
          <w:rFonts w:ascii="Bookman Old Style" w:hAnsi="Bookman Old Style"/>
        </w:rPr>
        <w:t xml:space="preserve">, </w:t>
      </w:r>
      <w:r w:rsidRPr="00D9764F" w:rsidR="00905D45">
        <w:rPr>
          <w:rStyle w:val="Fontdeparagrafimplicit"/>
          <w:rFonts w:ascii="Bookman Old Style" w:hAnsi="Bookman Old Style"/>
        </w:rPr>
        <w:t>6</w:t>
      </w:r>
      <w:r w:rsidRPr="00D9764F">
        <w:rPr>
          <w:rStyle w:val="Fontdeparagrafimplicit"/>
          <w:rFonts w:ascii="Bookman Old Style" w:hAnsi="Bookman Old Style"/>
        </w:rPr>
        <w:t xml:space="preserve">, </w:t>
      </w:r>
      <w:r w:rsidRPr="00D9764F" w:rsidR="00905D45">
        <w:rPr>
          <w:rStyle w:val="Fontdeparagrafimplicit"/>
          <w:rFonts w:ascii="Bookman Old Style" w:hAnsi="Bookman Old Style"/>
        </w:rPr>
        <w:t xml:space="preserve">7 </w:t>
      </w:r>
      <w:r w:rsidRPr="00D9764F">
        <w:rPr>
          <w:rStyle w:val="Fontdeparagrafimplicit"/>
          <w:rFonts w:ascii="Bookman Old Style" w:hAnsi="Bookman Old Style"/>
        </w:rPr>
        <w:t xml:space="preserve">în contradictoriu cu pârâţii CENTRUL ŞCOLAR PENTRU EDUCAŢIE INCLUSIVĂ </w:t>
      </w:r>
      <w:r w:rsidRPr="00D9764F" w:rsidR="00905D45">
        <w:rPr>
          <w:rStyle w:val="Fontdeparagrafimplicit"/>
          <w:rFonts w:ascii="Bookman Old Style" w:hAnsi="Bookman Old Style"/>
        </w:rPr>
        <w:t xml:space="preserve">............. </w:t>
      </w:r>
      <w:r w:rsidRPr="00D9764F">
        <w:rPr>
          <w:rStyle w:val="Fontdeparagrafimplicit"/>
          <w:rFonts w:ascii="Bookman Old Style" w:hAnsi="Bookman Old Style"/>
        </w:rPr>
        <w:t xml:space="preserve">, CONSILIUL LOCAL AL ORAŞULUI </w:t>
      </w:r>
      <w:r w:rsidRPr="00D9764F" w:rsidR="00905D45">
        <w:rPr>
          <w:rStyle w:val="Fontdeparagrafimplicit"/>
          <w:rFonts w:ascii="Bookman Old Style" w:hAnsi="Bookman Old Style"/>
        </w:rPr>
        <w:t xml:space="preserve">............. </w:t>
      </w:r>
      <w:r w:rsidRPr="00D9764F">
        <w:rPr>
          <w:rStyle w:val="Fontdeparagrafimplicit"/>
          <w:rFonts w:ascii="Bookman Old Style" w:hAnsi="Bookman Old Style"/>
        </w:rPr>
        <w:t xml:space="preserve"> şi PRIMARUL ORAŞULUI </w:t>
      </w:r>
      <w:r w:rsidRPr="00D9764F" w:rsidR="00905D45">
        <w:rPr>
          <w:rStyle w:val="Fontdeparagrafimplicit"/>
          <w:rFonts w:ascii="Bookman Old Style" w:hAnsi="Bookman Old Style"/>
        </w:rPr>
        <w:t>............</w:t>
      </w:r>
      <w:r w:rsidRPr="00D9764F">
        <w:rPr>
          <w:rStyle w:val="Fontdeparagrafimplicit"/>
          <w:rFonts w:ascii="Bookman Old Style" w:hAnsi="Bookman Old Style"/>
        </w:rPr>
        <w:t>- INSTITUTIA PRIMARULUI.</w:t>
      </w:r>
    </w:p>
    <w:p w:rsidRPr="00D9764F" w:rsidR="000F02A8" w14:paraId="46B28A5D" w14:textId="77777777">
      <w:pPr>
        <w:tabs>
          <w:tab w:val="left" w:pos="1623"/>
        </w:tabs>
        <w:ind w:firstLine="708"/>
        <w:jc w:val="both"/>
        <w:rPr>
          <w:rStyle w:val="Fontdeparagrafimplicit"/>
          <w:rFonts w:ascii="Bookman Old Style" w:hAnsi="Bookman Old Style"/>
        </w:rPr>
      </w:pPr>
      <w:r w:rsidRPr="00D9764F">
        <w:rPr>
          <w:rStyle w:val="Fontdeparagrafimplicit"/>
          <w:rFonts w:ascii="Bookman Old Style" w:hAnsi="Bookman Old Style"/>
        </w:rPr>
        <w:t>Pentru a hotărî astfel prima instanţă a respins excepţia lipsei calităţii procesuale pasive invocată pârâţii Consiliul local şi Primarul având în vedere că plata drepturilor salariale începând cu anul 2001 în baza art. XII alin.1 din OUG nr.32/2001, finanţarea instituţiilor de învăţământ preuniversitar de stat se asigură din bugetele locale ale unităţilor administrativ teritoriale pe raza cărora acestea îşi desfăşoară activitatea.</w:t>
      </w:r>
    </w:p>
    <w:p w:rsidRPr="00D9764F" w:rsidR="000F02A8" w14:paraId="4A72EF72"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Pe fond instanţa a reţinut, în esenţă, că drepturile salariale ale personalului din învăţământ au fost reglementate prin diferite acte normative, ultima reglementare fiind cea cuprinsă în Legea nr. 63/2011, în vigoare din data de 13 mai 2011. Prin acest act normativ s-a realizat o nouă reîncadrare a personalului şi s-a instituit un alt mod de calcul al salariului, nefiind avute în vedere la determinarea cuantumului salariului şi majorările salariale stabilite iniţial prin Legea nr.221/2008. </w:t>
      </w:r>
    </w:p>
    <w:p w:rsidRPr="00D9764F" w:rsidR="000F02A8" w14:paraId="3658C434"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În prezentul cadru procesual s-a solicitat acordarea începând cu data de 14 mai 2011 a salariului la nivelul celui avut anterior intrării în vigoare a Legii nr. 63/2011, invocându-se ca argument discriminarea, respectiv încălcarea dreptului la un bun şi la un proces echitabil, drepturi recunoscute de Convenţia europeană.</w:t>
      </w:r>
    </w:p>
    <w:p w:rsidRPr="00D9764F" w:rsidR="000F02A8" w14:paraId="066BC5ED"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Raportat la obiectul acţiunii, la considerentele pe care se întemeiază pretenţiile formulate, tribunalul a reţinut că instanţa de judecată nu poate acorda drepturi care nu sunt prevăzute de lege. Verificările sale pot privi doar corecta aplicare a Legii nr. 63/2011, fără a putea stabili drepturi mai mari decât cele acordate de legea aflată în vigoare, altfel s-ar depăşi atribuţiile puterii judecătoreşti, ceea ce nu e permis.</w:t>
      </w:r>
    </w:p>
    <w:p w:rsidRPr="00D9764F" w:rsidR="000F02A8" w14:paraId="6F94D010" w14:textId="77777777">
      <w:pPr>
        <w:pStyle w:val="NormalWeb"/>
        <w:spacing w:before="0" w:beforeAutospacing="0" w:after="0" w:afterAutospacing="0"/>
        <w:ind w:firstLine="708"/>
        <w:jc w:val="both"/>
        <w:rPr>
          <w:rStyle w:val="Fontdeparagrafimplicit"/>
          <w:rFonts w:ascii="Bookman Old Style" w:hAnsi="Bookman Old Style"/>
        </w:rPr>
      </w:pPr>
      <w:r w:rsidRPr="00D9764F">
        <w:rPr>
          <w:rStyle w:val="Fontdeparagrafimplicit"/>
          <w:rFonts w:ascii="Bookman Old Style" w:hAnsi="Bookman Old Style"/>
        </w:rPr>
        <w:t>Tribunalul a avut în vedere şi practica Curţii Constituţionale şi jurisprudenţa Curţii Europene a Drepturilor Omului.</w:t>
      </w:r>
    </w:p>
    <w:p w:rsidRPr="00D9764F" w:rsidR="000F02A8" w14:paraId="3AFEF424" w14:textId="77D39753">
      <w:pPr>
        <w:ind w:firstLine="708"/>
        <w:jc w:val="both"/>
        <w:rPr>
          <w:rStyle w:val="Fontdeparagrafimplicit"/>
          <w:rFonts w:ascii="Bookman Old Style" w:hAnsi="Bookman Old Style"/>
        </w:rPr>
      </w:pPr>
      <w:r w:rsidRPr="00D9764F">
        <w:rPr>
          <w:rStyle w:val="Fontdeparagrafimplicit"/>
          <w:rFonts w:ascii="Bookman Old Style" w:hAnsi="Bookman Old Style"/>
          <w:i/>
        </w:rPr>
        <w:t xml:space="preserve">Împotriva acestei hotărâri a declarat apel LIGA SINDICATELOR DIN ÎNVĂŢĂMÂNT </w:t>
      </w:r>
      <w:r w:rsidRPr="00D9764F" w:rsidR="00905D45">
        <w:rPr>
          <w:rStyle w:val="Fontdeparagrafimplicit"/>
          <w:rFonts w:ascii="Bookman Old Style" w:hAnsi="Bookman Old Style"/>
          <w:i/>
        </w:rPr>
        <w:t xml:space="preserve">1 </w:t>
      </w:r>
      <w:r w:rsidRPr="00D9764F">
        <w:rPr>
          <w:rStyle w:val="Fontdeparagrafimplicit"/>
          <w:rFonts w:ascii="Bookman Old Style" w:hAnsi="Bookman Old Style"/>
        </w:rPr>
        <w:t>solicitând desfiinţarea în totalitare a sentinţei apelate şi judecând pe fond cauza admiterea acţiunii.</w:t>
      </w:r>
    </w:p>
    <w:p w:rsidRPr="00D9764F" w:rsidR="000F02A8" w14:paraId="61E8EC82"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În motivarea apelului, apelanta a arătat, în esenţă, că din cuprinsul Legii nr. 63/2011 nu rezultă faptul că la data intrării în vigoarea a acestei legi se abrogă dispoziţiile Legii nr.221/2008 de aprobare a O.G. nr.15/2008.</w:t>
      </w:r>
    </w:p>
    <w:p w:rsidRPr="00D9764F" w:rsidR="000F02A8" w14:paraId="3FC6127D"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Diminuarea drastica a veniturilor salariale ale reclamanţilor apelanţi, ca urmare a intrării în vigoare a Legii nr.63/2011, nu este justificată sub nici o formă de către autoritatea naţională. </w:t>
      </w:r>
    </w:p>
    <w:p w:rsidRPr="00D9764F" w:rsidR="000F02A8" w14:paraId="2CC02864"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După data de 14.05.2011 apelanţii au fost lipsiţi în mod ilegal de drepturile salariale legal stabilite până la data de 13.05.2011 în conformitate cu prevederile Legii nr. 221/2008 de aprobare cu modificări a Ordonanţei de Guvern nr.15/2008 şi a Legii-cadru nr. 330/2009, 285/2010, 285/2010 privind salarizarea unitară" a personalului plătit din fonduri publice şi prin raportarea la dispoziţiile Legii nr. 221/2008 pentru aprobarea O.G. nr.15/2008.</w:t>
      </w:r>
    </w:p>
    <w:p w:rsidRPr="00D9764F" w:rsidR="000F02A8" w14:paraId="62DA5C24" w14:textId="5783BDDA">
      <w:pPr>
        <w:ind w:firstLine="708"/>
        <w:jc w:val="both"/>
        <w:rPr>
          <w:rStyle w:val="Fontdeparagrafimplicit"/>
          <w:rFonts w:ascii="Bookman Old Style" w:hAnsi="Bookman Old Style"/>
        </w:rPr>
      </w:pPr>
      <w:r w:rsidRPr="00D9764F">
        <w:rPr>
          <w:rStyle w:val="Fontdeparagrafimplicit"/>
          <w:rFonts w:ascii="Bookman Old Style" w:hAnsi="Bookman Old Style"/>
        </w:rPr>
        <w:t>Aplicabilitatea Legii nr. 221/2008 pentru perioada 01.10.2008 - 31.12.2009 a fost confirmată, în cadrul unui recurs în interesul legii, de Înalta Cur</w:t>
      </w:r>
      <w:r w:rsidR="004B6BAE">
        <w:rPr>
          <w:rStyle w:val="Fontdeparagrafimplicit"/>
          <w:rFonts w:ascii="Bookman Old Style" w:hAnsi="Bookman Old Style"/>
        </w:rPr>
        <w:t>t</w:t>
      </w:r>
      <w:r w:rsidRPr="00D9764F">
        <w:rPr>
          <w:rStyle w:val="Fontdeparagrafimplicit"/>
          <w:rFonts w:ascii="Bookman Old Style" w:hAnsi="Bookman Old Style"/>
        </w:rPr>
        <w:t>e de Casaţie şi Justiţie prin Decizia nr. 3/04.04.2011, care a stabilit că dispoziţiile O.G. nr. 15/2008 astfel cum au fost aprobate prin Legea nr.221/2008, constituie temei legal pentru plata diferenţei dintre drepturile salariale cuvenite funcţiilor didactice potrivit acestui act normativ şi cele efectiv încasate, începând cu 01 octombrie 2008 – 31.12.2009.</w:t>
      </w:r>
    </w:p>
    <w:p w:rsidRPr="00D9764F" w:rsidR="000F02A8" w14:paraId="6E0DCCC8"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Prin Decizia nr. 11/2012 pronunţata de Înalta Curie de Casaţie şi Justiţie în recursul în interesul legii s-a stabilit că în interpretarea şi aplicarea disp. art. 5 alin. 6 din OUG nr.1/2010 şi ale art. 30 din Legea nr.330/2009, personalul didactic din învăţământ aflat în funcţie la data de 31 decembrie 2009 are dreptul, începând cu data de 1 ianuarie 2010, la un salariu lunar calculat în raport cu salariul de bază din luna decembrie 2009, stabilit în conformitate cu prevederile Ordonanţei Guvernului nr. 15/2008 privind creşterile salariale ce se vor acorda în anul 2008 personalului didactic din învăţământ, aprobata prin Legea nr.221/2008.</w:t>
      </w:r>
    </w:p>
    <w:p w:rsidRPr="00D9764F" w:rsidR="000F02A8" w14:paraId="22761097"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Prin neacordarea efectivă, după data de 14.05.2011 a drepturilor conferite de Legea nr. 221/2008 a avut loc o încălcare a art. 1 din primul protocol </w:t>
      </w:r>
      <w:r w:rsidRPr="00D9764F">
        <w:rPr>
          <w:rStyle w:val="Fontdeparagrafimplicit"/>
          <w:rFonts w:ascii="Bookman Old Style" w:hAnsi="Bookman Old Style"/>
        </w:rPr>
        <w:t>adiţional, motiv pentru care, în baza art. 11 şi art. 20 din Constituţia României şi a art. 4 din Noul Cod Civil trebuie să se acorde prioritate reglementării internaţionale la care România a devenit parte prin ratificarea Convenţiei.</w:t>
      </w:r>
    </w:p>
    <w:p w:rsidRPr="00D9764F" w:rsidR="000F02A8" w14:paraId="2667351E"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Deşi instanţa de fond a respins ca nefondat şi capătul 2 al cererii introductive, nu a motivat sub nicio formă respingerea acestui capăt de cerere.</w:t>
      </w:r>
    </w:p>
    <w:p w:rsidRPr="00D9764F" w:rsidR="000F02A8" w14:paraId="606D8595" w14:textId="3461278E">
      <w:pPr>
        <w:ind w:firstLine="708"/>
        <w:jc w:val="both"/>
        <w:rPr>
          <w:rStyle w:val="Fontdeparagrafimplicit"/>
          <w:rFonts w:ascii="Bookman Old Style" w:hAnsi="Bookman Old Style"/>
        </w:rPr>
      </w:pPr>
      <w:r w:rsidRPr="00D9764F">
        <w:rPr>
          <w:rStyle w:val="Fontdeparagrafimplicit"/>
          <w:rFonts w:ascii="Bookman Old Style" w:hAnsi="Bookman Old Style"/>
          <w:i/>
        </w:rPr>
        <w:t xml:space="preserve">Pârâtul CENTRUL ŞCOLAR PENTRU EDUCAŢIE INCLUSIVĂ </w:t>
      </w:r>
      <w:r w:rsidRPr="00D9764F" w:rsidR="00905D45">
        <w:rPr>
          <w:rStyle w:val="Fontdeparagrafimplicit"/>
          <w:rFonts w:ascii="Bookman Old Style" w:hAnsi="Bookman Old Style"/>
          <w:i/>
        </w:rPr>
        <w:t xml:space="preserve">............. </w:t>
      </w:r>
      <w:r w:rsidRPr="00D9764F">
        <w:rPr>
          <w:rStyle w:val="Fontdeparagrafimplicit"/>
          <w:rFonts w:ascii="Bookman Old Style" w:hAnsi="Bookman Old Style"/>
          <w:i/>
        </w:rPr>
        <w:t xml:space="preserve"> a formulat întâmpinare</w:t>
      </w:r>
      <w:r w:rsidRPr="00D9764F">
        <w:rPr>
          <w:rStyle w:val="Fontdeparagrafimplicit"/>
          <w:rFonts w:ascii="Bookman Old Style" w:hAnsi="Bookman Old Style"/>
        </w:rPr>
        <w:t xml:space="preserve"> prin care a solicitat respingerea, în totalitatea a cererii formulate ca nefondată şi menţinerea hotărârii instanţei de fond ca legală şi temeinică. (f.21)</w:t>
      </w:r>
    </w:p>
    <w:p w:rsidRPr="00D9764F" w:rsidR="000F02A8" w14:paraId="64AA7C1E" w14:textId="77777777">
      <w:pPr>
        <w:ind w:firstLine="708"/>
        <w:jc w:val="both"/>
        <w:rPr>
          <w:rStyle w:val="Fontdeparagrafimplicit"/>
          <w:rFonts w:ascii="Bookman Old Style" w:hAnsi="Bookman Old Style"/>
          <w:i/>
        </w:rPr>
      </w:pPr>
      <w:r w:rsidRPr="00D9764F">
        <w:rPr>
          <w:rStyle w:val="Fontdeparagrafimplicit"/>
          <w:rFonts w:ascii="Bookman Old Style" w:hAnsi="Bookman Old Style"/>
          <w:i/>
        </w:rPr>
        <w:t>Analizând actele şi lucrările dosarului, din perspectiva criticilor formulate în cererea de apel, Curtea reţine următoarele:</w:t>
      </w:r>
    </w:p>
    <w:p w:rsidRPr="00D9764F" w:rsidR="000F02A8" w14:paraId="7B6886AD" w14:textId="77777777">
      <w:pPr>
        <w:ind w:firstLine="709"/>
        <w:jc w:val="both"/>
        <w:rPr>
          <w:rStyle w:val="Fontdeparagrafimplicit"/>
          <w:rFonts w:ascii="Bookman Old Style" w:hAnsi="Bookman Old Style"/>
        </w:rPr>
      </w:pPr>
      <w:r w:rsidRPr="00D9764F">
        <w:rPr>
          <w:rStyle w:val="Fontdeparagrafimplicit"/>
          <w:rFonts w:ascii="Bookman Old Style" w:hAnsi="Bookman Old Style"/>
        </w:rPr>
        <w:t>Cadrele didactice reprezentate în cauză de către sindicat au calitatea de salariaţi la unitatea de învăţământ preuniversitar pârâtă, salariile de bază ale acestora fiind stabilite potrivit Legii nr. 128/1997 (în prezent abrogată) prin luarea în calcul a două elemente, şi anume: coeficienţii de multiplicare prevăzuţi pentru fiecare funcţie şi valoarea coeficientului de multiplicare 1,000.</w:t>
      </w:r>
    </w:p>
    <w:p w:rsidRPr="00D9764F" w:rsidR="000F02A8" w14:paraId="74039DBF" w14:textId="77777777">
      <w:pPr>
        <w:ind w:firstLine="709"/>
        <w:jc w:val="both"/>
        <w:rPr>
          <w:rStyle w:val="Fontdeparagrafimplicit"/>
          <w:rFonts w:ascii="Bookman Old Style" w:hAnsi="Bookman Old Style"/>
        </w:rPr>
      </w:pPr>
      <w:r w:rsidRPr="00D9764F">
        <w:rPr>
          <w:rStyle w:val="Fontdeparagrafimplicit"/>
          <w:rFonts w:ascii="Bookman Old Style" w:hAnsi="Bookman Old Style"/>
        </w:rPr>
        <w:t>În cursul anului 2008, salariile de bază ale personalului didactic din învăţământ au fost majorate prin OG nr. 15/2008, aprobată cu modificări prin Legea nr. 221/2008, conform căreia, începând cu data de 1 octombrie 2008, valoarea coeficientului de multiplicare 1,000 a fost stabilită la 400,00 lei, aceasta urmând a fi valoarea de referinţă pentru creşterile salariale ulterioare.</w:t>
      </w:r>
    </w:p>
    <w:p w:rsidRPr="00D9764F" w:rsidR="000F02A8" w14:paraId="49C78ED0" w14:textId="77777777">
      <w:pPr>
        <w:ind w:firstLine="709"/>
        <w:jc w:val="both"/>
        <w:rPr>
          <w:rStyle w:val="Fontdeparagrafimplicit"/>
          <w:rFonts w:ascii="Bookman Old Style" w:hAnsi="Bookman Old Style"/>
        </w:rPr>
      </w:pPr>
      <w:r w:rsidRPr="00D9764F">
        <w:rPr>
          <w:rStyle w:val="Fontdeparagrafimplicit"/>
          <w:rFonts w:ascii="Bookman Old Style" w:hAnsi="Bookman Old Style"/>
        </w:rPr>
        <w:t>Prin dispoziţiile OUG nr. 136/2008 s-a diminuat coeficientul de multiplicare 1,000 la 299,933 lei pentru perioada octombrie-decembrie 2008, pentru funcţiile didactice prevăzute la art. 1 alin. 1 lit. c din OG nr. 15/2008, aprobată cu modificări prin Legea nr. 221/2008, însă prin Decizia Curţii Constituţionale nr. 1.221 din 12 noiembrie 2008 s-a constatat că prevederile Ordonanţei de urgenţă a Guvernului nr. 136/2008 sunt neconstituţionale.</w:t>
      </w:r>
    </w:p>
    <w:p w:rsidRPr="00D9764F" w:rsidR="000F02A8" w14:paraId="07BEA718" w14:textId="77777777">
      <w:pPr>
        <w:ind w:firstLine="709"/>
        <w:jc w:val="both"/>
        <w:rPr>
          <w:rStyle w:val="Fontdeparagrafimplicit"/>
          <w:rFonts w:ascii="Bookman Old Style" w:hAnsi="Bookman Old Style"/>
        </w:rPr>
      </w:pPr>
      <w:r w:rsidRPr="00D9764F">
        <w:rPr>
          <w:rStyle w:val="Fontdeparagrafimplicit"/>
          <w:rFonts w:ascii="Bookman Old Style" w:hAnsi="Bookman Old Style"/>
        </w:rPr>
        <w:t>Ulterior, prin OUG nr. 151/2008 a fost modificată şi completată OG nr. 15/2008, reglementându-se creşterile salariale care se vor acorda în anii 2008 şi 2009 personalului din învăţământ şi stabilindu-se coeficientul de multiplicare 1,000 la valoarea de 299,933 lei.</w:t>
      </w:r>
    </w:p>
    <w:p w:rsidRPr="00D9764F" w:rsidR="000F02A8" w14:paraId="381CFBEA"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Dispoziţiile art. 1 pct. 2 şi 3 din OUG nr. 151/2008 au fost, de asemenea, declarate neconstituţionale.</w:t>
      </w:r>
    </w:p>
    <w:p w:rsidRPr="00D9764F" w:rsidR="000F02A8" w14:paraId="4AF922B0"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Prin OUG nr. 1/2009, a modificat din nou dispoziţiile OG nr. 15/2008, aprobată cu modificări prin Legea nr. 221/2008, dar Curtea Constituţională, prin Decizia nr. 989/2009, a constatat că art. 2 şi 3 din acest act normativ încalcă şi ele prevederile Constituţiei.</w:t>
      </w:r>
    </w:p>
    <w:p w:rsidRPr="00D9764F" w:rsidR="000F02A8" w14:paraId="52B49C3E"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Ca urmare a constatării, prin decizii succesive pronunţate de Curtea Constituţională, a neconstituţionalităţii modificărilor aduse OG nr. 15/2008, aşa cum aceasta a fost aprobată prin Legea nr. 221/2008, Înalta Curte de Casaţie şi Justiţie, prin Decizia nr. 3 din 4 aprilie 2011, pronunţată în recurs în interesul legii, a stabilit că dispoziţiile OG nr. 15/2008, astfel cum a fost aprobată cu modificări prin Legea nr. 221/2008, constituie temei legal pentru diferenţa dintre drepturile salariale cuvenite funcţiilor didactice potrivit acestui act normativ şi drepturile salariale efectiv încasate cu începere de la data de 1 octombrie 2008 şi până la data de 31 decembrie 2009.</w:t>
      </w:r>
    </w:p>
    <w:p w:rsidRPr="00D9764F" w:rsidR="000F02A8" w14:paraId="75DADC59"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La data de 1 ianuarie 2010 a intrat în vigoare noua lege a salarizării unitare, Legea-cadru nr. 330/2009, care prevede la art. 1 alin. 2 că, începând cu data intrării sale în vigoare, drepturile salariale ale personalului din sectorul bugetar sunt şi rămân exclusiv cele prevăzute în această lege. Potrivit art. 30 alin. 5 din noul act normativ, în anul 2010, personalul aflat în funcţie la 31 decembrie 2009 îşi va păstra salariul avut în luna decembrie 2009, fără a fi afectat de măsurile de reducere a cheltuielilor de personal.</w:t>
      </w:r>
    </w:p>
    <w:p w:rsidRPr="00D9764F" w:rsidR="000F02A8" w14:paraId="68443CC3"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În vederea stabilirii unor criterii de determinare a sintagmei "salariu avut", prin art. 5 alin. 6 din Ordonanţa de urgenţă a Guvernului nr. 1/2010 privind unele măsuri de reîncadrare în funcţii a unor categorii de personal din sectorul bugetar şi stabilirea salariilor acestora, precum şi alte măsuri în domeniul bugetar s-a prevăzut că: "Reîncadrarea personalului didactic din învăţământ la data de 1 ianuarie 2010 se face luând în calcul salariile de bază la data de 31 decembrie 2009, stabilite în conformitate cu prevederile Ordonanţei de urgenţă a Guvernului nr. 41/2009 privind unele măsuri în domeniul salarizării personalului din sectorul bugetar pentru perioada mai-decembrie 2009, aprobată prin Legea nr. 300/2009."</w:t>
      </w:r>
    </w:p>
    <w:p w:rsidRPr="00D9764F" w:rsidR="000F02A8" w14:paraId="1CDBFD8D"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În interpretarea dispoziţiilor de mai sus, Înalta Curte de Casaţie şi Justiţie, prin Decizia nr. 11/2012, pronunţată în recurs în interesul legii, a stabilit că personalul didactic din învăţământ aflat în funcţie la data de 31 decembrie 2009 are dreptul, începând cu data de 1 ianuarie 2010, la un salariu lunar calculat în raport cu salariul de bază din luna decembrie 2009, stabilit în conformitate cu prevederile OG nr. 15/2008 privind creşterile salariale ce se vor acorda în anul 2008 personalului din învăţământ, aprobată cu modificări prin Legea nr. 221/2008.</w:t>
      </w:r>
    </w:p>
    <w:p w:rsidRPr="00D9764F" w:rsidR="000F02A8" w14:paraId="3E9AD59A" w14:textId="77777777">
      <w:pPr>
        <w:ind w:firstLine="720"/>
        <w:jc w:val="both"/>
        <w:rPr>
          <w:rStyle w:val="Fontdeparagrafimplicit"/>
          <w:rFonts w:ascii="Bookman Old Style" w:hAnsi="Bookman Old Style"/>
        </w:rPr>
      </w:pPr>
      <w:r w:rsidRPr="00D9764F">
        <w:rPr>
          <w:rStyle w:val="Fontdeparagrafimplicit"/>
          <w:rFonts w:ascii="Bookman Old Style" w:hAnsi="Bookman Old Style"/>
        </w:rPr>
        <w:t>Prin intrarea în vigoare la data de 3 iulie 2010 a Legii nr. 118/2010 drepturile salariale ale întregului personal bugetar au fost reduse cu 25%, iar prin intrarea în vigoare a Legii nr. 285/2010, privind salarizarea în anul 2011 a personalului plătit din fonduri publice, cuantumul brut al salariilor de bază, astfel cum au fost acordate personalului plătit din fonduri publice pentru luna octombrie 2010, a fost majorat doar cu 15%.</w:t>
      </w:r>
    </w:p>
    <w:p w:rsidRPr="00D9764F" w:rsidR="000F02A8" w14:paraId="55014471"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La data de 13 mai 2011 a intrat în vigoare </w:t>
      </w:r>
      <w:r w:rsidRPr="00D9764F">
        <w:rPr>
          <w:rStyle w:val="Fontdeparagrafimplicit"/>
          <w:rFonts w:ascii="Bookman Old Style" w:hAnsi="Bookman Old Style"/>
          <w:i/>
        </w:rPr>
        <w:t>Legea nr. 63/2011 privind încadrarea şi salarizarea în anul 2011 a personalului didactic şi didactic auxiliar din învăţământ</w:t>
      </w:r>
      <w:r w:rsidRPr="00D9764F">
        <w:rPr>
          <w:rStyle w:val="Fontdeparagrafimplicit"/>
          <w:rFonts w:ascii="Bookman Old Style" w:hAnsi="Bookman Old Style"/>
        </w:rPr>
        <w:t>, moment ce a marcat adoptarea unui nou sistem de salarizare a personalului didactic si didactic auxiliar din învăţământ, cuantumul brut al salariilor de încadrare pentru fiecare funcţie în parte fiind cel prevăzut în anexele la lege, renunţându-se astfel la modalitatea de stabilire a salariilor în funcţie de coeficienţii de multiplicare şi valoarea coeficientului de multiplicare 1,000.</w:t>
      </w:r>
    </w:p>
    <w:p w:rsidRPr="00D9764F" w:rsidR="000F02A8" w14:paraId="2CAB988A"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Totodată, la art. 6 din Legea nr. 63/2011, s-a stabilit în mod expres că  orice alte dispoziţii contrare cu privire la stabilirea salariilor şi a celorlalte drepturi de natură salarială, în anul 2011, pentru personalul din învăţământ, se abrogă.</w:t>
      </w:r>
    </w:p>
    <w:p w:rsidRPr="00D9764F" w:rsidR="000F02A8" w14:paraId="4E07B8C7"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Este de menţionat faptul că în temeiul Legii nr. 283/2011, elementele de salarizare pentru personalul din învăţământ stabilite prin Legea nr. 63/2011 au fost menţinute pentru anul 2012 la acelaşi nivel cu cel acordat în luna decembrie 2011.</w:t>
      </w:r>
    </w:p>
    <w:p w:rsidRPr="00D9764F" w:rsidR="000F02A8" w14:paraId="1948918C" w14:textId="7417293C">
      <w:pPr>
        <w:ind w:firstLine="708"/>
        <w:jc w:val="both"/>
        <w:rPr>
          <w:rStyle w:val="Fontdeparagrafimplicit"/>
          <w:rFonts w:ascii="Bookman Old Style" w:hAnsi="Bookman Old Style"/>
        </w:rPr>
      </w:pPr>
      <w:r w:rsidRPr="00D9764F">
        <w:rPr>
          <w:rStyle w:val="Fontdeparagrafimplicit"/>
          <w:rFonts w:ascii="Bookman Old Style" w:hAnsi="Bookman Old Style"/>
        </w:rPr>
        <w:t>În temeiul OUG nr. 19/2012, salariile din învăţământ stabilite prin Legea nr. 63/2011 au fost majorate în două etape, astfel: cu 8%, începând cu data de 1 iunie 2012, faţă de nivelul acordat pentru luna mai 2012 şi cu 7,4%, începând cu data de 1 decembrie 2012, faţă de nivelul acordat pentru luna noiembrie 2012.</w:t>
      </w:r>
    </w:p>
    <w:p w:rsidRPr="00D9764F" w:rsidR="000F02A8" w14:paraId="100466E1"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Prin urmare, contrar celor invocate prin cererea de apel, începând cu data de 13 mai 2011 salarizarea personalului didactic si didactic auxiliar din învăţământ trebuia să se facă în raport de dispoziţiile neechivoce ale Legii nr. 63/2011.</w:t>
      </w:r>
    </w:p>
    <w:p w:rsidRPr="00D9764F" w:rsidR="000F02A8" w14:paraId="13EB7000"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Forţa obligatorie a legii impune aplicarea sa în limitele dispoziţiilor edictate, iar principiul constituţional care interzice ultraactivitatea legii civile se opune ca un act normativ abrogat expres să producă efecte după acest moment.</w:t>
      </w:r>
    </w:p>
    <w:p w:rsidRPr="00D9764F" w:rsidR="000F02A8" w14:paraId="4A34748F"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Este real că Înalta Curte de Casaţie şi Justiţie, prin Decizia nr. 11/2012, pronunţată în recurs în interesul legii, a stabilit că personalul didactic din învăţământ are dreptul, începând cu data de 1 ianuarie 2010, la un salariu lunar </w:t>
      </w:r>
      <w:r w:rsidRPr="00D9764F">
        <w:rPr>
          <w:rStyle w:val="Fontdeparagrafimplicit"/>
          <w:rFonts w:ascii="Bookman Old Style" w:hAnsi="Bookman Old Style"/>
        </w:rPr>
        <w:t>calculat în raport cu salariul de bază din luna decembrie 2009, stabilit în conformitate cu prevederile OG nr. 15/2008 privind creşterile salariale ce se vor acorda în anul 2008 personalului din învăţământ, aprobată cu modificări prin Legea nr. 221/2008, însă la adoptarea acestei soluţii au fost avute în vedere doar dispoziţiile cu caracter tranzitoriu privitoare la salarizare cuprinse în art. 30 din Legea nr. 330/2009 şi art. 5 alin. 6 din OUG nr. 1/2010, astfel încât, contrar susţinerilor din cererea de apel, efectele acestei decizii nu pot extinse şi ulterior momentului intrării în vigoare a Legii nr. 63/2011, acest act normativ nefiind supus analizei cu ocazia soluţionării recursului în interesul legii.</w:t>
      </w:r>
    </w:p>
    <w:p w:rsidRPr="00D9764F" w:rsidR="000F02A8" w14:paraId="59687381"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Prin cererea de chemare în judecată, s-a susţinut faptul că prin adoptarea Legii nr. 63/2011, a avut loc o restrângere a drepturilor salariale cu caracter discriminatoriu, fiind încălcat şi art. 1 din Protocolul adiţional nr. 1 al Convenţiei Europene pentru Apărarea Drepturilor Omului.</w:t>
      </w:r>
    </w:p>
    <w:p w:rsidRPr="00D9764F" w:rsidR="000F02A8" w14:paraId="172408BD"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În acest sens, se impune se observa faptul că fiind chemată să se pronunţe asupra constituţionalităţii Legii nr. 63/2011, înainte de promulgarea acesteia, Curtea Constituţională a constatat prin decizia nr. 575/2011 că obiecţia de neconstituţionalitate este neîntemeiată, sens în care a reţinut că „…Din examinarea jurisprudenţei Curţii Europene a Drepturilor Omului în această materie, se constată că dreptul la anumite foloase băneşti în calitate de salariat a fost asimilat, în anumite condiţii, unui drept de proprietate şi analizat din perspectiva art. 1 din Protocolul nr. 1 adiţional la Convenţia pentru apărarea drepturilor omului şi a libertăţilor fundamentale.</w:t>
      </w:r>
    </w:p>
    <w:p w:rsidRPr="00D9764F" w:rsidR="000F02A8" w14:paraId="5C6FEB36"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În această privinţă, însă, Curtea Europeană a Drepturilor Omului a distins între dreptul persoanei de a continua să primească, în viitor, un salariu într-un anumit cuantum şi dreptul de a primi efectiv salariul cuvenit pentru perioada în care munca a fost prestată. Astfel, prin Hotărârea din 19 aprilie 2007 pronunţată în Cauza Vilho Eskelinen împotriva Finlandei, paragraful 94, Curtea Europeană a Drepturilor Omului a statuat că în Convenţie nu se conferă dreptul de a primi în continuare un salariu cu un anumit cuantum. Reluând aceste considerente în Hotărârea din 20 mai 2010, pronunţată în Cauza Lelas împotriva Croaţiei, paragraful 58, Curtea a reţinut că nu este consacrat prin Convenţie dreptul de a continua să fii plătit cu un salariu într-un anumit cuantum; venitul care a fost câştigat reprezintă însă un "bun" în sensul art. 1 din Protocolul nr. 1 adiţional la Convenţia pentru apărarea drepturilor omului şi a libertăţilor fundamentale (în acelaşi sens, Hotărârea din 13 iulie 2006 pronunţată în Cauza Bahγeyaka împotriva Turciei, Hotărârea din 24 martie 2005 pronunţată în Cauza Erkan împotriva Turciei, Hotărârea din 9 noiembrie 2000 pronunţată în Cauza Schetini şi alţii împotriva Italiei). Aceeaşi distincţie semnificativă este realizată şi în jurisprudenţa Curţii Constituţionale, aplicabilă, mutatis mutandis, în prezenta cauză (spre exemplu Decizia nr. 871 din 25 iunie 2010, publicată în Monitorul Oficial al României, Partea I, nr. 433 din 28 iunie 2010).</w:t>
      </w:r>
    </w:p>
    <w:p w:rsidRPr="00D9764F" w:rsidR="000F02A8" w14:paraId="4C9F6B6E"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Raportând, în temeiul art. 20 din Constituţie, reglementarea criticată la interpretarea dată prin aceste considerente de principiu dispoziţiilor art. 1 din Protocolul nr. 1 la Convenţia pentru apărarea drepturilor omului şi a libertăţilor fundamentale, se constată că susţinerile autorilor sesizării sunt neîntemeiate. Astfel, legea supusă controlului Curţii stabileşte drepturile salariale ale cadrelor didactice de la data intrării sale în vigoare şi până la finele anului 2011, aşadar pentru viitor, fără a afecta în niciun mod drepturile salariale dobândite pentru perioada anterioară intrării sale în vigoare. Ca urmare, nu se poate reţine că dispoziţiile sale ar stabili o ingerinţă de tipul privării de proprietate prohibită de Protocolul nr. 1 adiţional la Convenţia pentru apărarea drepturilor omului şi a libertăţilor fundamentale.</w:t>
      </w:r>
    </w:p>
    <w:p w:rsidRPr="00D9764F" w:rsidR="000F02A8" w14:paraId="1AE93B9F"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Cât priveşte salariul care urmează a fi plătit în viitor, Curtea reţine că este dreptul autorităţii legiuitoare de a elabora măsuri de politică legislativă în domeniul salarizării în concordanţă cu condiţiile economice şi sociale existente la un moment dat. În această privinţă, Curtea Europeană a Drepturilor Omului a statuat, de exemplu în Hotararea din 8 noiembrie 2005 pronunţată în Cauza Kechko împotriva Ucrainei, paragraful 23, că statul este cel în măsură să stabilească ce sume trebuie plătite angajaţilor săi din bugetul de stat. Statul poate dispune introducerea, suspendarea sau încetarea plăţii unor astfel de sume prin modificări legislative corespunzătoare.</w:t>
      </w:r>
    </w:p>
    <w:p w:rsidRPr="00D9764F" w:rsidR="000F02A8" w14:paraId="00A10261"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De altfel, printr-o jurisprudenţă constantă, Curtea Europeană a Drepturilor Omului a statuat că statele se bucură de o largă marjă de apreciere pentru a determina oportunitatea şi intensitatea politicilor lor în acest domeniu (spre exemplu, Hotărârea din 8 decembrie 2009 pronunţată în Cauza Wieczorek împotriva Poloniei, şi Hotărârea din 2 februarie 2010 pronunţată în Cauza Aizpurua Ortiz împotriva Spaniei, aplicabile mutatis mutandis).(…)”</w:t>
      </w:r>
    </w:p>
    <w:p w:rsidRPr="00D9764F" w:rsidR="000F02A8" w14:paraId="3BE4FEE2"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În considerentele, aceleiaşi decizii, Curtea constituţională a constat că:   „(…) această lege temporară a fost promovată în scopul de a crea premisele necesare pentru ca statul să îşi îndeplinească obligaţiile constituţionale menţionate, prin aplicarea măsurilor preconizate urmând să se asigure existenţa fondurilor necesare pentru ca întreg personalul din învăţământ să îşi poată primi drepturile cuvenite, în aceleaşi condiţii, fără discriminări. În plus, drepturile câştigate nu sunt cu nimic afectate prin noua reglementare (…)”.</w:t>
      </w:r>
    </w:p>
    <w:p w:rsidRPr="00D9764F" w:rsidR="000F02A8" w14:paraId="5B12EE0E"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Curtea constituţională şi-a menţinut aceeaşi jurisprudenţă, respingând în mod constant excepţiile de neconstituţionalitate a dispoziţiilor art. 1 şi 6 ale Legii nr. 63/2011 invocate în numeroase dosare aflate pe rolul instanţelor de judecată.</w:t>
      </w:r>
    </w:p>
    <w:p w:rsidRPr="00D9764F" w:rsidR="000F02A8" w14:paraId="00437F1C"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Într-o decizie recentă nr. 637/2014, Curtea constituţională a reţinut că, „(…)în materia salarizării personalului didactic şi didactic auxiliar, a existat o situaţie juridică specifică, determinată de succesiunea a numeroase acte normative cu acest obiect de reglementare şi de practica judiciară neunitară, care a condus la un sistem de salarizare neunitar. În acest context specific salarizării personalului didactic şi didactic auxiliar, reglementarea criticată dă expresie unei măsuri de politică bugetară, determinată de impactul financiar major asupra cheltuielilor de personal aprobate pentru anul 2011, având în vedere consecinţele modificărilor legislative şi ale soluţiilor pronunţate de instanţele judecătoreşti, urmărind să elimine inechitatea în stabilirea salariilor din sistemul naţional de învăţământ (…).” </w:t>
      </w:r>
    </w:p>
    <w:p w:rsidRPr="00D9764F" w:rsidR="000F02A8" w14:paraId="386FF77D"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În acest context se impun a fi amintite şi statuările Curţii Europene a Drepturilor Omului care soluţionând în data de 6 decembrie 2011 cauza Mihăieş şi Senteş împotriva României, a reţinut că </w:t>
      </w:r>
      <w:r w:rsidRPr="00D9764F">
        <w:rPr>
          <w:rStyle w:val="Fontdeparagrafimplicit"/>
          <w:rFonts w:ascii="Bookman Old Style" w:hAnsi="Bookman Old Style"/>
          <w:shd w:val="clear" w:color="auto" w:fill="FFFFFF"/>
        </w:rPr>
        <w:t>măsurile criticate de reclamanţi  - reducerea cu 25% a salariilor în baza Legii nr. 118/2010 - nu le-a cauzat un prejudiciu disproporţionat şi excesiv, incompatibil cu dreptul la respectarea bunurilor, garantat de art. 1 din Protocolul nr. 1. Curtea a considerat că statul pârât nu a depăşit marja sa de apreciere şi şi-a îndeplinit obligaţia de a păstra un echilibru just între diversele interese în cauză</w:t>
      </w:r>
      <w:r w:rsidRPr="00D9764F">
        <w:rPr>
          <w:rStyle w:val="Fontdeparagrafimplicit"/>
          <w:rFonts w:ascii="Bookman Old Style" w:hAnsi="Bookman Old Style"/>
        </w:rPr>
        <w:t xml:space="preserve">. </w:t>
      </w:r>
    </w:p>
    <w:p w:rsidRPr="00D9764F" w:rsidR="000F02A8" w14:paraId="3A765798"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Totodată, în motivarea soluţiei date, </w:t>
      </w:r>
      <w:r w:rsidRPr="00D9764F">
        <w:rPr>
          <w:rStyle w:val="Fontdeparagrafimplicit"/>
          <w:rFonts w:ascii="Bookman Old Style" w:hAnsi="Bookman Old Style"/>
          <w:shd w:val="clear" w:color="auto" w:fill="FFFFFF"/>
        </w:rPr>
        <w:t xml:space="preserve">Curtea </w:t>
      </w:r>
      <w:r w:rsidRPr="00D9764F">
        <w:rPr>
          <w:rStyle w:val="Fontdeparagrafimplicit"/>
          <w:rFonts w:ascii="Bookman Old Style" w:hAnsi="Bookman Old Style"/>
        </w:rPr>
        <w:t xml:space="preserve">Europeană a Drepturilor Omului </w:t>
      </w:r>
      <w:r w:rsidRPr="00D9764F">
        <w:rPr>
          <w:rStyle w:val="Fontdeparagrafimplicit"/>
          <w:rFonts w:ascii="Bookman Old Style" w:hAnsi="Bookman Old Style"/>
          <w:shd w:val="clear" w:color="auto" w:fill="FFFFFF"/>
        </w:rPr>
        <w:t>a reamintit</w:t>
      </w:r>
      <w:r w:rsidRPr="00D9764F">
        <w:rPr>
          <w:rStyle w:val="Fontdeparagrafimplicit"/>
          <w:rFonts w:ascii="Bookman Old Style" w:hAnsi="Bookman Old Style"/>
        </w:rPr>
        <w:t xml:space="preserve"> că</w:t>
      </w:r>
      <w:r w:rsidRPr="00D9764F">
        <w:rPr>
          <w:rStyle w:val="Fontdeparagrafimplicit"/>
          <w:rFonts w:ascii="Bookman Old Style" w:hAnsi="Bookman Old Style"/>
          <w:shd w:val="clear" w:color="auto" w:fill="FFFFFF"/>
        </w:rPr>
        <w:t>, prin convenţie, nu se conferă dreptul de a primi în continuare un salariu într-un anumit cuantum, precum şi faptul că este de competenţa statului să stabilească în mod discreţionar remuneraţiile provenite de la bugetul statului pe care vrea să le plătească angajaţilor săi.</w:t>
      </w:r>
      <w:r w:rsidRPr="00D9764F">
        <w:rPr>
          <w:rStyle w:val="Fontdeparagrafimplicit"/>
          <w:rFonts w:ascii="Bookman Old Style" w:hAnsi="Bookman Old Style"/>
        </w:rPr>
        <w:t xml:space="preserve"> </w:t>
      </w:r>
    </w:p>
    <w:p w:rsidRPr="00D9764F" w:rsidR="000F02A8" w14:paraId="690B3AA2"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În raport de aceste dezlegări şi statuări obligatorii, Curtea de Apel va înlătura susţinerile din apel referitoare la încălcarea dreptului de proprietate şi la caracterul permanent al dreptului de a beneficia de drepturile salariale în cuantumul stabilit anterior intrării în vigoare a Legii nr. 63/2011.</w:t>
      </w:r>
    </w:p>
    <w:p w:rsidRPr="00D9764F" w:rsidR="000F02A8" w14:paraId="6ED53F93" w14:textId="2E4157A2">
      <w:pPr>
        <w:ind w:firstLine="708"/>
        <w:jc w:val="both"/>
        <w:rPr>
          <w:rStyle w:val="Fontdeparagrafimplicit"/>
          <w:rFonts w:ascii="Bookman Old Style" w:hAnsi="Bookman Old Style"/>
        </w:rPr>
      </w:pPr>
      <w:r w:rsidRPr="00D9764F">
        <w:rPr>
          <w:rStyle w:val="Fontdeparagrafimplicit"/>
          <w:rFonts w:ascii="Bookman Old Style" w:hAnsi="Bookman Old Style"/>
        </w:rPr>
        <w:t>Curtea constată neîntemeiată şi critica cuprinsă în apelul sindicatului vizând</w:t>
      </w:r>
      <w:r w:rsidRPr="00D9764F">
        <w:rPr>
          <w:rStyle w:val="apple-converted-space"/>
          <w:rFonts w:ascii="Bookman Old Style" w:hAnsi="Bookman Old Style"/>
        </w:rPr>
        <w:t> </w:t>
      </w:r>
      <w:r w:rsidRPr="00D9764F">
        <w:rPr>
          <w:rStyle w:val="spelle"/>
          <w:rFonts w:ascii="Bookman Old Style" w:hAnsi="Bookman Old Style"/>
        </w:rPr>
        <w:t>nemotivarea</w:t>
      </w:r>
      <w:r w:rsidRPr="00D9764F">
        <w:rPr>
          <w:rStyle w:val="apple-converted-space"/>
          <w:rFonts w:ascii="Bookman Old Style" w:hAnsi="Bookman Old Style"/>
        </w:rPr>
        <w:t> </w:t>
      </w:r>
      <w:r w:rsidRPr="00D9764F">
        <w:rPr>
          <w:rStyle w:val="Fontdeparagrafimplicit"/>
          <w:rFonts w:ascii="Bookman Old Style" w:hAnsi="Bookman Old Style"/>
        </w:rPr>
        <w:t>petitul</w:t>
      </w:r>
      <w:r w:rsidRPr="00D9764F" w:rsidR="00905D45">
        <w:rPr>
          <w:rStyle w:val="Fontdeparagrafimplicit"/>
          <w:rFonts w:ascii="Bookman Old Style" w:hAnsi="Bookman Old Style"/>
        </w:rPr>
        <w:t>ui</w:t>
      </w:r>
      <w:r w:rsidRPr="00D9764F">
        <w:rPr>
          <w:rStyle w:val="Fontdeparagrafimplicit"/>
          <w:rFonts w:ascii="Bookman Old Style" w:hAnsi="Bookman Old Style"/>
        </w:rPr>
        <w:t xml:space="preserve"> 2 al acţiunii, aceasta deoarece sentinţa atacată cuprinde motivele de fapt şi de drept care au format convingerea instanţei, şi care permit exercitarea controlului judiciar atât în ceea ce priveşte cererea de calculare şi plată a salariilor începând cu data de 14 mai 2011 în funcţie de dispoziţiile Legii nr. 221/2008, cât şi în ceea ce priveşte cererea de emitere a dispoziţiilor de încadrare cu luarea în considerare a Legii nr. 221/2008.</w:t>
      </w:r>
    </w:p>
    <w:p w:rsidRPr="00D9764F" w:rsidR="000F02A8" w14:paraId="05F4EBBC"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Ţinând seama de aceste considerente, Curtea apreciază ca hotărârea fondului este legală şi temeinică, astfel ca o va menţine ca atare, urmând ca în temeiul dispoziţiilor art. 480 alin. 1 C.proc.civ. să respingă ca nefondat apelul declarat.</w:t>
      </w:r>
    </w:p>
    <w:p w:rsidRPr="00D9764F" w:rsidR="000F02A8" w14:paraId="20042C31" w14:textId="77777777">
      <w:pPr>
        <w:jc w:val="center"/>
        <w:rPr>
          <w:rStyle w:val="Fontdeparagrafimplicit"/>
          <w:rFonts w:ascii="Bookman Old Style" w:hAnsi="Bookman Old Style"/>
        </w:rPr>
      </w:pPr>
    </w:p>
    <w:p w:rsidRPr="00D9764F" w:rsidR="000F02A8" w14:paraId="5B2023AC" w14:textId="77777777">
      <w:pPr>
        <w:jc w:val="center"/>
        <w:rPr>
          <w:rStyle w:val="Fontdeparagrafimplicit"/>
          <w:rFonts w:ascii="Bookman Old Style" w:hAnsi="Bookman Old Style"/>
        </w:rPr>
      </w:pPr>
      <w:r w:rsidRPr="00D9764F">
        <w:rPr>
          <w:rStyle w:val="Fontdeparagrafimplicit"/>
          <w:rFonts w:ascii="Bookman Old Style" w:hAnsi="Bookman Old Style"/>
        </w:rPr>
        <w:t>PENTRU ACESTE MOTIVE</w:t>
      </w:r>
    </w:p>
    <w:p w:rsidRPr="00D9764F" w:rsidR="000F02A8" w14:paraId="7B056F72" w14:textId="77777777">
      <w:pPr>
        <w:jc w:val="center"/>
        <w:rPr>
          <w:rStyle w:val="Fontdeparagrafimplicit"/>
          <w:rFonts w:ascii="Bookman Old Style" w:hAnsi="Bookman Old Style"/>
        </w:rPr>
      </w:pPr>
      <w:r w:rsidRPr="00D9764F">
        <w:rPr>
          <w:rStyle w:val="Fontdeparagrafimplicit"/>
          <w:rFonts w:ascii="Bookman Old Style" w:hAnsi="Bookman Old Style"/>
        </w:rPr>
        <w:t>ÎN NUMELE LEGII</w:t>
      </w:r>
    </w:p>
    <w:p w:rsidRPr="00D9764F" w:rsidR="000F02A8" w14:paraId="1A91732F" w14:textId="77777777">
      <w:pPr>
        <w:jc w:val="center"/>
        <w:rPr>
          <w:rStyle w:val="Fontdeparagrafimplicit"/>
          <w:rFonts w:ascii="Bookman Old Style" w:hAnsi="Bookman Old Style"/>
        </w:rPr>
      </w:pPr>
      <w:r w:rsidRPr="00D9764F">
        <w:rPr>
          <w:rStyle w:val="Fontdeparagrafimplicit"/>
          <w:rFonts w:ascii="Bookman Old Style" w:hAnsi="Bookman Old Style"/>
        </w:rPr>
        <w:t>D E C I D E :</w:t>
      </w:r>
    </w:p>
    <w:p w:rsidRPr="00D9764F" w:rsidR="000F02A8" w14:paraId="58FC94D6" w14:textId="77777777">
      <w:pPr>
        <w:jc w:val="center"/>
        <w:rPr>
          <w:rStyle w:val="Fontdeparagrafimplicit"/>
          <w:rFonts w:ascii="Bookman Old Style" w:hAnsi="Bookman Old Style"/>
        </w:rPr>
      </w:pPr>
    </w:p>
    <w:p w:rsidRPr="00D9764F" w:rsidR="000F02A8" w14:paraId="6CE6A982" w14:textId="45CE924E">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Respinge ca nefondat apelul declarat de LIGA SINDICATELOR DIN ÎNVĂŢĂMÂNT </w:t>
      </w:r>
      <w:r w:rsidRPr="00D9764F" w:rsidR="00905D45">
        <w:rPr>
          <w:rStyle w:val="Fontdeparagrafimplicit"/>
          <w:rFonts w:ascii="Bookman Old Style" w:hAnsi="Bookman Old Style"/>
        </w:rPr>
        <w:t xml:space="preserve">1  </w:t>
      </w:r>
      <w:r w:rsidRPr="00D9764F">
        <w:rPr>
          <w:rStyle w:val="Fontdeparagrafimplicit"/>
          <w:rFonts w:ascii="Bookman Old Style" w:hAnsi="Bookman Old Style"/>
        </w:rPr>
        <w:t xml:space="preserve">cu domiciliul procesual ales în </w:t>
      </w:r>
      <w:r w:rsidRPr="00D9764F" w:rsidR="00905D45">
        <w:rPr>
          <w:rStyle w:val="Fontdeparagrafimplicit"/>
          <w:rFonts w:ascii="Bookman Old Style" w:hAnsi="Bookman Old Style"/>
        </w:rPr>
        <w:t>......</w:t>
      </w:r>
      <w:r w:rsidRPr="00D9764F">
        <w:rPr>
          <w:rStyle w:val="Fontdeparagrafimplicit"/>
          <w:rFonts w:ascii="Bookman Old Style" w:hAnsi="Bookman Old Style"/>
        </w:rPr>
        <w:t xml:space="preserve">, </w:t>
      </w:r>
      <w:r w:rsidRPr="00D9764F" w:rsidR="00905D45">
        <w:rPr>
          <w:rStyle w:val="Fontdeparagrafimplicit"/>
          <w:rFonts w:ascii="Bookman Old Style" w:hAnsi="Bookman Old Style"/>
        </w:rPr>
        <w:t>........</w:t>
      </w:r>
      <w:r w:rsidR="00B34EDD">
        <w:rPr>
          <w:rStyle w:val="Fontdeparagrafimplicit"/>
          <w:rFonts w:ascii="Bookman Old Style" w:hAnsi="Bookman Old Style"/>
        </w:rPr>
        <w:t>,</w:t>
      </w:r>
      <w:r w:rsidRPr="00D9764F">
        <w:rPr>
          <w:rStyle w:val="Fontdeparagrafimplicit"/>
          <w:rFonts w:ascii="Bookman Old Style" w:hAnsi="Bookman Old Style"/>
        </w:rPr>
        <w:t xml:space="preserve"> nr. </w:t>
      </w:r>
      <w:r w:rsidRPr="00D9764F" w:rsidR="00905D45">
        <w:rPr>
          <w:rStyle w:val="Fontdeparagrafimplicit"/>
          <w:rFonts w:ascii="Bookman Old Style" w:hAnsi="Bookman Old Style"/>
        </w:rPr>
        <w:t>........,</w:t>
      </w:r>
      <w:r w:rsidRPr="00D9764F">
        <w:rPr>
          <w:rStyle w:val="Fontdeparagrafimplicit"/>
          <w:rFonts w:ascii="Bookman Old Style" w:hAnsi="Bookman Old Style"/>
        </w:rPr>
        <w:t xml:space="preserve"> judeţul </w:t>
      </w:r>
      <w:r w:rsidR="00924C8C">
        <w:rPr>
          <w:rStyle w:val="Fontdeparagrafimplicit"/>
          <w:rFonts w:ascii="Bookman Old Style" w:hAnsi="Bookman Old Style"/>
        </w:rPr>
        <w:t>......</w:t>
      </w:r>
      <w:r w:rsidRPr="00D9764F">
        <w:rPr>
          <w:rStyle w:val="Fontdeparagrafimplicit"/>
          <w:rFonts w:ascii="Bookman Old Style" w:hAnsi="Bookman Old Style"/>
        </w:rPr>
        <w:t xml:space="preserve"> împotriva sentinţei civile nr. </w:t>
      </w:r>
      <w:r w:rsidRPr="00D9764F" w:rsidR="00905D45">
        <w:rPr>
          <w:rStyle w:val="Fontdeparagrafimplicit"/>
          <w:rFonts w:ascii="Bookman Old Style" w:hAnsi="Bookman Old Style"/>
        </w:rPr>
        <w:t>.........</w:t>
      </w:r>
      <w:r w:rsidRPr="00D9764F">
        <w:rPr>
          <w:rStyle w:val="Fontdeparagrafimplicit"/>
          <w:rFonts w:ascii="Bookman Old Style" w:hAnsi="Bookman Old Style"/>
        </w:rPr>
        <w:t xml:space="preserve">din </w:t>
      </w:r>
      <w:r w:rsidRPr="00D9764F" w:rsidR="00905D45">
        <w:rPr>
          <w:rStyle w:val="Fontdeparagrafimplicit"/>
          <w:rFonts w:ascii="Bookman Old Style" w:hAnsi="Bookman Old Style"/>
        </w:rPr>
        <w:t>.........</w:t>
      </w:r>
      <w:r w:rsidRPr="00D9764F">
        <w:rPr>
          <w:rStyle w:val="Fontdeparagrafimplicit"/>
          <w:rFonts w:ascii="Bookman Old Style" w:hAnsi="Bookman Old Style"/>
        </w:rPr>
        <w:t xml:space="preserve"> a Tribunalului </w:t>
      </w:r>
      <w:r w:rsidRPr="00D9764F" w:rsidR="00905D45">
        <w:rPr>
          <w:rStyle w:val="Fontdeparagrafimplicit"/>
          <w:rFonts w:ascii="Bookman Old Style" w:hAnsi="Bookman Old Style"/>
        </w:rPr>
        <w:t xml:space="preserve">1 </w:t>
      </w:r>
      <w:r w:rsidRPr="00D9764F">
        <w:rPr>
          <w:rStyle w:val="Fontdeparagrafimplicit"/>
          <w:rFonts w:ascii="Bookman Old Style" w:hAnsi="Bookman Old Style"/>
        </w:rPr>
        <w:t xml:space="preserve">pronunţată în dosarul nr. </w:t>
      </w:r>
      <w:r w:rsidRPr="00D9764F" w:rsidR="00905D45">
        <w:rPr>
          <w:rStyle w:val="Fontdeparagrafimplicit"/>
          <w:rFonts w:ascii="Bookman Old Style" w:hAnsi="Bookman Old Style"/>
        </w:rPr>
        <w:t>14</w:t>
      </w:r>
      <w:r w:rsidRPr="00D9764F">
        <w:rPr>
          <w:rStyle w:val="Fontdeparagrafimplicit"/>
          <w:rFonts w:ascii="Bookman Old Style" w:hAnsi="Bookman Old Style"/>
        </w:rPr>
        <w:t>, pe care o păstrează.</w:t>
      </w:r>
    </w:p>
    <w:p w:rsidRPr="00D9764F" w:rsidR="000F02A8" w14:paraId="6801E346" w14:textId="77777777">
      <w:pPr>
        <w:ind w:firstLine="708"/>
        <w:jc w:val="both"/>
        <w:rPr>
          <w:rStyle w:val="Fontdeparagrafimplicit"/>
          <w:rFonts w:ascii="Bookman Old Style" w:hAnsi="Bookman Old Style"/>
        </w:rPr>
      </w:pPr>
      <w:r w:rsidRPr="00D9764F">
        <w:rPr>
          <w:rStyle w:val="Fontdeparagrafimplicit"/>
          <w:rFonts w:ascii="Bookman Old Style" w:hAnsi="Bookman Old Style"/>
        </w:rPr>
        <w:t>Definitivă.</w:t>
      </w:r>
    </w:p>
    <w:p w:rsidRPr="00D9764F" w:rsidR="000F02A8" w14:paraId="2B78E8CB" w14:textId="7305A2A2">
      <w:pPr>
        <w:ind w:firstLine="708"/>
        <w:jc w:val="both"/>
        <w:rPr>
          <w:rStyle w:val="Fontdeparagrafimplicit"/>
          <w:rFonts w:ascii="Bookman Old Style" w:hAnsi="Bookman Old Style"/>
        </w:rPr>
      </w:pPr>
      <w:r w:rsidRPr="00D9764F">
        <w:rPr>
          <w:rStyle w:val="Fontdeparagrafimplicit"/>
          <w:rFonts w:ascii="Bookman Old Style" w:hAnsi="Bookman Old Style"/>
        </w:rPr>
        <w:t xml:space="preserve">Pronunţată în şedinţa publică din </w:t>
      </w:r>
      <w:r w:rsidRPr="00D9764F" w:rsidR="00905D45">
        <w:rPr>
          <w:rStyle w:val="Fontdeparagrafimplicit"/>
          <w:rFonts w:ascii="Bookman Old Style" w:hAnsi="Bookman Old Style"/>
        </w:rPr>
        <w:t>............</w:t>
      </w:r>
      <w:r w:rsidRPr="00D9764F">
        <w:rPr>
          <w:rStyle w:val="Fontdeparagrafimplicit"/>
          <w:rFonts w:ascii="Bookman Old Style" w:hAnsi="Bookman Old Style"/>
        </w:rPr>
        <w:t>.</w:t>
      </w:r>
    </w:p>
    <w:p w:rsidRPr="00D9764F" w:rsidR="000F02A8" w14:paraId="588790F5" w14:textId="77777777">
      <w:pPr>
        <w:ind w:firstLine="708"/>
        <w:jc w:val="both"/>
        <w:rPr>
          <w:rStyle w:val="Fontdeparagrafimplicit"/>
          <w:rFonts w:ascii="Bookman Old Style" w:hAnsi="Bookman Old Style"/>
          <w:sz w:val="22"/>
        </w:rPr>
      </w:pPr>
    </w:p>
    <w:p w:rsidRPr="00D9764F" w:rsidR="000F02A8" w14:paraId="63D0DF58" w14:textId="77777777">
      <w:pPr>
        <w:jc w:val="both"/>
        <w:rPr>
          <w:rStyle w:val="Fontdeparagrafimplicit"/>
          <w:rFonts w:ascii="Bookman Old Style" w:hAnsi="Bookman Old Style"/>
          <w:b/>
          <w:sz w:val="20"/>
        </w:rPr>
      </w:pPr>
      <w:r w:rsidRPr="00D9764F">
        <w:rPr>
          <w:rStyle w:val="Fontdeparagrafimplicit"/>
          <w:rFonts w:ascii="Bookman Old Style" w:hAnsi="Bookman Old Style"/>
          <w:b/>
          <w:sz w:val="20"/>
        </w:rPr>
        <w:t xml:space="preserve">       PREŞEDINTE                            JUDECĂTOR                                    GREFIER</w:t>
      </w:r>
    </w:p>
    <w:p w:rsidRPr="00D9764F" w:rsidR="000F02A8" w:rsidP="00905D45" w14:paraId="5F1512BA" w14:textId="1D8E2B96">
      <w:pPr>
        <w:ind w:firstLine="720"/>
        <w:rPr>
          <w:rStyle w:val="Fontdeparagrafimplicit"/>
          <w:rFonts w:ascii="Bookman Old Style" w:hAnsi="Bookman Old Style"/>
          <w:b/>
          <w:sz w:val="20"/>
        </w:rPr>
      </w:pPr>
      <w:r w:rsidRPr="00D9764F">
        <w:rPr>
          <w:rStyle w:val="Fontdeparagrafimplicit"/>
          <w:rFonts w:ascii="Bookman Old Style" w:hAnsi="Bookman Old Style"/>
          <w:b/>
          <w:sz w:val="20"/>
        </w:rPr>
        <w:t xml:space="preserve">............ </w:t>
      </w:r>
      <w:r w:rsidRPr="00D9764F" w:rsidR="0030752A">
        <w:rPr>
          <w:rStyle w:val="Fontdeparagrafimplicit"/>
          <w:rFonts w:ascii="Bookman Old Style" w:hAnsi="Bookman Old Style"/>
          <w:b/>
          <w:sz w:val="20"/>
        </w:rPr>
        <w:t xml:space="preserve">         </w:t>
      </w:r>
      <w:r w:rsidRPr="00D9764F">
        <w:rPr>
          <w:rStyle w:val="Fontdeparagrafimplicit"/>
          <w:rFonts w:ascii="Bookman Old Style" w:hAnsi="Bookman Old Style"/>
          <w:b/>
          <w:sz w:val="20"/>
        </w:rPr>
        <w:tab/>
      </w:r>
      <w:r w:rsidRPr="00D9764F">
        <w:rPr>
          <w:rStyle w:val="Fontdeparagrafimplicit"/>
          <w:rFonts w:ascii="Bookman Old Style" w:hAnsi="Bookman Old Style"/>
          <w:b/>
          <w:sz w:val="20"/>
        </w:rPr>
        <w:tab/>
      </w:r>
      <w:r w:rsidRPr="00D9764F" w:rsidR="0030752A">
        <w:rPr>
          <w:rStyle w:val="Fontdeparagrafimplicit"/>
          <w:rFonts w:ascii="Bookman Old Style" w:hAnsi="Bookman Old Style"/>
          <w:b/>
          <w:sz w:val="20"/>
        </w:rPr>
        <w:t xml:space="preserve"> </w:t>
      </w:r>
      <w:r w:rsidRPr="00D9764F">
        <w:rPr>
          <w:rStyle w:val="Fontdeparagrafimplicit"/>
          <w:rFonts w:ascii="Bookman Old Style" w:hAnsi="Bookman Old Style"/>
          <w:b/>
          <w:sz w:val="20"/>
        </w:rPr>
        <w:t xml:space="preserve">A0019                               </w:t>
      </w:r>
      <w:r w:rsidRPr="00D9764F" w:rsidR="0030752A">
        <w:rPr>
          <w:rStyle w:val="Fontdeparagrafimplicit"/>
          <w:rFonts w:ascii="Bookman Old Style" w:hAnsi="Bookman Old Style"/>
          <w:b/>
          <w:sz w:val="20"/>
        </w:rPr>
        <w:t xml:space="preserve">         </w:t>
      </w:r>
      <w:r w:rsidRPr="00D9764F">
        <w:rPr>
          <w:rStyle w:val="Fontdeparagrafimplicit"/>
          <w:rFonts w:ascii="Bookman Old Style" w:hAnsi="Bookman Old Style"/>
          <w:b/>
          <w:sz w:val="20"/>
        </w:rPr>
        <w:t xml:space="preserve">................ </w:t>
      </w:r>
    </w:p>
    <w:p w:rsidRPr="00D9764F" w:rsidR="000F02A8" w14:paraId="467C48A7" w14:textId="77777777">
      <w:pPr>
        <w:rPr>
          <w:rStyle w:val="Fontdeparagrafimplicit"/>
          <w:rFonts w:ascii="Bookman Old Style" w:hAnsi="Bookman Old Style"/>
          <w:b/>
          <w:sz w:val="22"/>
        </w:rPr>
      </w:pPr>
    </w:p>
    <w:p w:rsidRPr="00D9764F" w:rsidR="000F02A8" w14:paraId="28FC1BC4" w14:textId="77777777">
      <w:pPr>
        <w:jc w:val="both"/>
        <w:rPr>
          <w:rStyle w:val="Fontdeparagrafimplicit"/>
          <w:rFonts w:ascii="Bookman Old Style" w:hAnsi="Bookman Old Style"/>
          <w:b/>
        </w:rPr>
      </w:pPr>
    </w:p>
    <w:p w:rsidRPr="00D9764F" w:rsidR="000F02A8" w14:paraId="6AC1F3A9" w14:textId="77777777">
      <w:pPr>
        <w:jc w:val="both"/>
        <w:rPr>
          <w:rStyle w:val="Fontdeparagrafimplicit"/>
          <w:rFonts w:ascii="Bookman Old Style" w:hAnsi="Bookman Old Style"/>
          <w:sz w:val="16"/>
        </w:rPr>
      </w:pPr>
    </w:p>
    <w:p w:rsidRPr="00D9764F" w:rsidR="000F02A8" w14:paraId="2DAD82D9" w14:textId="77777777">
      <w:pPr>
        <w:jc w:val="both"/>
        <w:rPr>
          <w:rStyle w:val="Fontdeparagrafimplicit"/>
          <w:rFonts w:ascii="Bookman Old Style" w:hAnsi="Bookman Old Style"/>
          <w:sz w:val="16"/>
        </w:rPr>
      </w:pPr>
    </w:p>
    <w:p w:rsidRPr="00D9764F" w:rsidR="000F02A8" w14:paraId="74817A3F" w14:textId="6FA72430">
      <w:pPr>
        <w:jc w:val="both"/>
        <w:rPr>
          <w:rStyle w:val="Fontdeparagrafimplicit"/>
          <w:rFonts w:ascii="Bookman Old Style" w:hAnsi="Bookman Old Style"/>
          <w:sz w:val="16"/>
        </w:rPr>
      </w:pPr>
      <w:r w:rsidRPr="00D9764F">
        <w:rPr>
          <w:rStyle w:val="Fontdeparagrafimplicit"/>
          <w:rFonts w:ascii="Bookman Old Style" w:hAnsi="Bookman Old Style"/>
          <w:sz w:val="16"/>
        </w:rPr>
        <w:t>Red.</w:t>
      </w:r>
      <w:r w:rsidRPr="00D9764F" w:rsidR="00905D45">
        <w:rPr>
          <w:rStyle w:val="Fontdeparagrafimplicit"/>
          <w:rFonts w:ascii="Bookman Old Style" w:hAnsi="Bookman Old Style"/>
          <w:sz w:val="16"/>
        </w:rPr>
        <w:t>A0019</w:t>
      </w:r>
      <w:r w:rsidRPr="00D9764F">
        <w:rPr>
          <w:rStyle w:val="Fontdeparagrafimplicit"/>
          <w:rFonts w:ascii="Bookman Old Style" w:hAnsi="Bookman Old Style"/>
          <w:sz w:val="16"/>
        </w:rPr>
        <w:t>/dact.</w:t>
      </w:r>
      <w:r w:rsidRPr="00D9764F" w:rsidR="00905D45">
        <w:rPr>
          <w:rStyle w:val="Fontdeparagrafimplicit"/>
          <w:rFonts w:ascii="Bookman Old Style" w:hAnsi="Bookman Old Style"/>
          <w:sz w:val="16"/>
        </w:rPr>
        <w:t>......</w:t>
      </w:r>
    </w:p>
    <w:p w:rsidRPr="00D9764F" w:rsidR="000F02A8" w14:paraId="263BC4AA" w14:textId="44163CC2">
      <w:pPr>
        <w:jc w:val="both"/>
        <w:rPr>
          <w:rStyle w:val="Fontdeparagrafimplicit"/>
          <w:rFonts w:ascii="Bookman Old Style" w:hAnsi="Bookman Old Style"/>
          <w:sz w:val="16"/>
        </w:rPr>
      </w:pPr>
      <w:r w:rsidRPr="00D9764F">
        <w:rPr>
          <w:rStyle w:val="Fontdeparagrafimplicit"/>
          <w:rFonts w:ascii="Bookman Old Style" w:hAnsi="Bookman Old Style"/>
          <w:sz w:val="16"/>
        </w:rPr>
        <w:t>6 ex./</w:t>
      </w:r>
      <w:r w:rsidRPr="00D9764F" w:rsidR="00905D45">
        <w:rPr>
          <w:rStyle w:val="Fontdeparagrafimplicit"/>
          <w:rFonts w:ascii="Bookman Old Style" w:hAnsi="Bookman Old Style"/>
          <w:sz w:val="16"/>
        </w:rPr>
        <w:t>.......</w:t>
      </w:r>
    </w:p>
    <w:p w:rsidRPr="00D9764F" w:rsidR="000F02A8" w14:paraId="5DF4784F" w14:textId="6433AE2B">
      <w:pPr>
        <w:jc w:val="both"/>
        <w:rPr>
          <w:rStyle w:val="Fontdeparagrafimplicit"/>
          <w:rFonts w:ascii="Bookman Old Style" w:hAnsi="Bookman Old Style"/>
          <w:sz w:val="16"/>
        </w:rPr>
      </w:pPr>
      <w:r w:rsidRPr="00D9764F">
        <w:rPr>
          <w:rStyle w:val="Fontdeparagrafimplicit"/>
          <w:rFonts w:ascii="Bookman Old Style" w:hAnsi="Bookman Old Style"/>
          <w:sz w:val="16"/>
        </w:rPr>
        <w:t>Jud. fond:</w:t>
      </w:r>
      <w:r w:rsidRPr="00D9764F" w:rsidR="00905D45">
        <w:rPr>
          <w:rStyle w:val="Fontdeparagrafimplicit"/>
          <w:rFonts w:ascii="Bookman Old Style" w:hAnsi="Bookman Old Style"/>
          <w:sz w:val="16"/>
        </w:rPr>
        <w:t>...........</w:t>
      </w:r>
    </w:p>
    <w:p w:rsidRPr="00D9764F" w:rsidR="000F02A8" w14:paraId="06B864A4" w14:textId="77777777">
      <w:pPr>
        <w:rPr>
          <w:rStyle w:val="Fontdeparagrafimplicit"/>
        </w:rPr>
      </w:pPr>
    </w:p>
    <w:p w:rsidRPr="00D9764F" w:rsidR="000F02A8" w14:paraId="6AF9974E" w14:textId="77777777">
      <w:pPr>
        <w:rPr>
          <w:rStyle w:val="Fontdeparagrafimplicit"/>
        </w:rPr>
      </w:pPr>
      <w:r w:rsidRPr="00D9764F">
        <w:rPr>
          <w:rStyle w:val="Fontdeparagrafimplicit"/>
          <w:rFonts w:ascii="Bookman Old Style" w:hAnsi="Bookman Old Style"/>
          <w:sz w:val="20"/>
        </w:rPr>
        <w:tab/>
      </w:r>
      <w:r w:rsidRPr="00D9764F">
        <w:rPr>
          <w:rStyle w:val="Fontdeparagrafimplicit"/>
          <w:rFonts w:ascii="Bookman Old Style" w:hAnsi="Bookman Old Style"/>
          <w:sz w:val="20"/>
        </w:rPr>
        <w:tab/>
      </w:r>
      <w:r w:rsidRPr="00D9764F">
        <w:rPr>
          <w:rStyle w:val="Fontdeparagrafimplicit"/>
          <w:rFonts w:ascii="Bookman Old Style" w:hAnsi="Bookman Old Style"/>
          <w:sz w:val="20"/>
        </w:rPr>
        <w:tab/>
      </w:r>
    </w:p>
    <w:p w:rsidRPr="00D9764F" w:rsidR="000F02A8" w14:paraId="042E803A" w14:textId="77777777">
      <w:pPr>
        <w:rPr>
          <w:rStyle w:val="Fontdeparagrafimplicit"/>
        </w:rPr>
      </w:pPr>
    </w:p>
    <w:p w:rsidRPr="00D9764F" w:rsidR="000F02A8" w14:paraId="06F9F256" w14:textId="77777777">
      <w:pPr>
        <w:rPr>
          <w:rStyle w:val="Fontdeparagrafimplicit"/>
        </w:rPr>
      </w:pPr>
    </w:p>
    <w:p w:rsidRPr="00D9764F" w:rsidR="000F02A8" w14:paraId="3DD288BC" w14:textId="77777777">
      <w:pPr>
        <w:rPr>
          <w:rStyle w:val="Fontdeparagrafimplicit"/>
        </w:rPr>
      </w:pPr>
    </w:p>
    <w:p w:rsidRPr="00D9764F" w:rsidR="000F02A8" w14:paraId="50D476AD" w14:textId="77777777">
      <w:pPr>
        <w:rPr>
          <w:rStyle w:val="Fontdeparagrafimplicit"/>
        </w:rPr>
      </w:pPr>
    </w:p>
    <w:p w:rsidRPr="00D9764F" w:rsidR="000F02A8" w14:paraId="01D9B7A6" w14:textId="77777777">
      <w:pPr>
        <w:rPr>
          <w:rStyle w:val="Fontdeparagrafimplicit"/>
        </w:rPr>
      </w:pPr>
    </w:p>
    <w:p w:rsidRPr="00D9764F" w:rsidR="000F02A8" w14:paraId="186704E5" w14:textId="77777777">
      <w:pPr>
        <w:rPr>
          <w:rStyle w:val="Fontdeparagrafimplicit"/>
        </w:rPr>
      </w:pPr>
    </w:p>
    <w:p w:rsidRPr="00D9764F" w:rsidR="000F02A8" w14:paraId="43337167" w14:textId="77777777">
      <w:pPr>
        <w:rPr>
          <w:rStyle w:val="Fontdeparagrafimplicit"/>
        </w:rPr>
      </w:pPr>
    </w:p>
    <w:p w:rsidRPr="00D9764F" w:rsidR="000F02A8" w14:paraId="27924D58" w14:textId="77777777">
      <w:pPr>
        <w:rPr>
          <w:rStyle w:val="Fontdeparagrafimplicit"/>
        </w:rPr>
      </w:pPr>
    </w:p>
    <w:p w:rsidRPr="00D9764F" w:rsidR="000F02A8" w14:paraId="32ADE30A" w14:textId="77777777">
      <w:pPr>
        <w:rPr>
          <w:rStyle w:val="Fontdeparagrafimplicit"/>
        </w:rPr>
      </w:pPr>
    </w:p>
    <w:p w:rsidRPr="00D9764F" w:rsidR="000F02A8" w14:paraId="53EBC7B4" w14:textId="77777777">
      <w:pPr>
        <w:rPr>
          <w:rStyle w:val="Fontdeparagrafimplicit"/>
        </w:rPr>
      </w:pPr>
    </w:p>
    <w:p w:rsidRPr="00D9764F" w:rsidR="000F02A8" w14:paraId="175932C3" w14:textId="77777777">
      <w:pPr>
        <w:rPr>
          <w:rStyle w:val="Fontdeparagrafimplicit"/>
        </w:rPr>
      </w:pPr>
    </w:p>
    <w:p w:rsidRPr="00D9764F" w:rsidR="000F02A8" w14:paraId="53FD2BAB" w14:textId="77777777">
      <w:pPr>
        <w:rPr>
          <w:rStyle w:val="Fontdeparagrafimplicit"/>
        </w:rPr>
      </w:pPr>
    </w:p>
    <w:p w:rsidRPr="00D9764F" w:rsidR="000F02A8" w14:paraId="32812E3E" w14:textId="77777777">
      <w:pPr>
        <w:rPr>
          <w:rStyle w:val="Fontdeparagrafimplicit"/>
        </w:rPr>
      </w:pPr>
    </w:p>
    <w:p w:rsidRPr="00D9764F" w:rsidR="000F02A8" w14:paraId="20D7C250" w14:textId="77777777">
      <w:pPr>
        <w:rPr>
          <w:rStyle w:val="Fontdeparagrafimplicit"/>
        </w:rPr>
      </w:pPr>
    </w:p>
    <w:p w:rsidRPr="00D9764F" w:rsidR="000F02A8" w14:paraId="10463CF9" w14:textId="77777777">
      <w:pPr>
        <w:rPr>
          <w:rStyle w:val="Fontdeparagrafimplicit"/>
        </w:rPr>
      </w:pPr>
    </w:p>
    <w:p w:rsidRPr="00D9764F" w:rsidR="000F02A8" w14:paraId="719DE1FD" w14:textId="77777777">
      <w:pPr>
        <w:rPr>
          <w:rStyle w:val="Fontdeparagrafimplici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02A8" w14:paraId="11592125"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0F02A8" w14:paraId="235947D6"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02A8" w14:paraId="44A4544C"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0F02A8" w14:paraId="6F42CBDC"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2A8"/>
    <w:rsid w:val="000F02A8"/>
    <w:rsid w:val="000F7D77"/>
    <w:rsid w:val="0028750D"/>
    <w:rsid w:val="0030752A"/>
    <w:rsid w:val="00324685"/>
    <w:rsid w:val="00335A62"/>
    <w:rsid w:val="004B6BAE"/>
    <w:rsid w:val="005738E0"/>
    <w:rsid w:val="005A4715"/>
    <w:rsid w:val="006C7686"/>
    <w:rsid w:val="00803846"/>
    <w:rsid w:val="008C7776"/>
    <w:rsid w:val="00905D45"/>
    <w:rsid w:val="00924C8C"/>
    <w:rsid w:val="00B34EDD"/>
    <w:rsid w:val="00CC0073"/>
    <w:rsid w:val="00D9764F"/>
  </w:rsids>
  <w:docVars>
    <w:docVar w:name="url" w:val="http://bd-cjca:80/ecris_cdms/document_upload.aspx?id_document=3300000000715358&amp;id_departament=3&amp;id_sesiune=617432&amp;id_user=18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927BCB7"/>
  <w15:docId w15:val="{270F300A-DD36-4CE3-A241-B706B9D2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character" w:customStyle="1" w:styleId="apple-converted-space">
    <w:name w:val="apple-converted-space"/>
    <w:basedOn w:val="Fontdeparagrafimplicit"/>
  </w:style>
  <w:style w:type="character" w:customStyle="1" w:styleId="spelle">
    <w:name w:val="spelle"/>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36</ap:TotalTime>
  <ap:Pages>7</ap:Pages>
  <ap:Words>3521</ap:Words>
  <ap:Characters>20075</ap:Characters>
  <ap:Application>Microsoft Office Word</ap:Application>
  <ap:DocSecurity>0</ap:DocSecurity>
  <ap:Lines>167</ap:Lines>
  <ap:Paragraphs>47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23549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