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008E447B" w14:paraId="56687FF4" w14:textId="7D70FF61">
      <w:pPr>
        <w:rPr>
          <w:rStyle w:val="Fontdeparagrafimplicit"/>
          <w:rFonts w:ascii="Garamond" w:hAnsi="Garamond"/>
        </w:rPr>
      </w:pPr>
      <w:r>
        <w:rPr>
          <w:rStyle w:val="Fontdeparagrafimplicit"/>
          <w:rFonts w:ascii="Garamond" w:hAnsi="Garamond"/>
        </w:rPr>
        <w:t xml:space="preserve"> </w:t>
      </w:r>
    </w:p>
    <w:p w:rsidR="008E447B" w14:paraId="02019FC4" w14:textId="4C671010">
      <w:pPr>
        <w:ind w:firstLine="567"/>
        <w:jc w:val="both"/>
        <w:rPr>
          <w:rStyle w:val="Fontdeparagrafimplicit"/>
          <w:b/>
        </w:rPr>
      </w:pPr>
      <w:r>
        <w:rPr>
          <w:rStyle w:val="Fontdeparagrafimplicit"/>
          <w:b/>
        </w:rPr>
        <w:t>DOSAR NR.</w:t>
      </w:r>
      <w:r w:rsidR="0034506E">
        <w:rPr>
          <w:rStyle w:val="Fontdeparagrafimplicit"/>
          <w:b/>
        </w:rPr>
        <w:t xml:space="preserve">1 </w:t>
      </w:r>
    </w:p>
    <w:p w:rsidR="008E447B" w14:paraId="135AD9CE" w14:textId="77777777">
      <w:pPr>
        <w:ind w:firstLine="567"/>
        <w:jc w:val="both"/>
        <w:rPr>
          <w:rStyle w:val="Fontdeparagrafimplicit"/>
          <w:b/>
        </w:rPr>
      </w:pPr>
    </w:p>
    <w:p w:rsidR="008E447B" w14:paraId="1F625EC6" w14:textId="77777777">
      <w:pPr>
        <w:ind w:firstLine="567"/>
        <w:jc w:val="center"/>
        <w:rPr>
          <w:rStyle w:val="Fontdeparagrafimplicit"/>
          <w:b/>
        </w:rPr>
      </w:pPr>
      <w:r>
        <w:rPr>
          <w:rStyle w:val="Fontdeparagrafimplicit"/>
          <w:b/>
        </w:rPr>
        <w:t xml:space="preserve">R O M Â N I A </w:t>
      </w:r>
    </w:p>
    <w:p w:rsidR="008E447B" w14:paraId="1BDA9F7C" w14:textId="4C99A1BE">
      <w:pPr>
        <w:ind w:firstLine="567"/>
        <w:jc w:val="center"/>
        <w:rPr>
          <w:rStyle w:val="Fontdeparagrafimplicit"/>
          <w:b/>
        </w:rPr>
      </w:pPr>
      <w:r>
        <w:rPr>
          <w:rStyle w:val="Fontdeparagrafimplicit"/>
          <w:b/>
        </w:rPr>
        <w:t xml:space="preserve">CURTEA DE APEL </w:t>
      </w:r>
      <w:r w:rsidR="0034506E">
        <w:rPr>
          <w:rStyle w:val="Fontdeparagrafimplicit"/>
          <w:b/>
        </w:rPr>
        <w:t xml:space="preserve">                  </w:t>
      </w:r>
      <w:r>
        <w:rPr>
          <w:rStyle w:val="Fontdeparagrafimplicit"/>
          <w:b/>
        </w:rPr>
        <w:t xml:space="preserve"> </w:t>
      </w:r>
    </w:p>
    <w:p w:rsidR="008E447B" w14:paraId="2D250B73" w14:textId="49E1EE14">
      <w:pPr>
        <w:ind w:firstLine="567"/>
        <w:jc w:val="center"/>
        <w:rPr>
          <w:rStyle w:val="Fontdeparagrafimplicit"/>
          <w:b/>
        </w:rPr>
      </w:pPr>
      <w:r>
        <w:rPr>
          <w:rStyle w:val="Fontdeparagrafimplicit"/>
          <w:b/>
        </w:rPr>
        <w:t xml:space="preserve">SECŢIA </w:t>
      </w:r>
      <w:r w:rsidR="0034506E">
        <w:rPr>
          <w:rStyle w:val="Fontdeparagrafimplicit"/>
          <w:b/>
        </w:rPr>
        <w:t xml:space="preserve"> </w:t>
      </w:r>
      <w:r>
        <w:rPr>
          <w:rStyle w:val="Fontdeparagrafimplicit"/>
          <w:b/>
        </w:rPr>
        <w:t xml:space="preserve"> </w:t>
      </w:r>
    </w:p>
    <w:p w:rsidR="008E447B" w14:paraId="0135057C" w14:textId="5FF5938A">
      <w:pPr>
        <w:ind w:firstLine="567"/>
        <w:jc w:val="center"/>
        <w:rPr>
          <w:rStyle w:val="Fontdeparagrafimplicit"/>
          <w:b/>
          <w:i/>
        </w:rPr>
      </w:pPr>
      <w:r>
        <w:rPr>
          <w:rStyle w:val="Fontdeparagrafimplicit"/>
          <w:b/>
          <w:i/>
        </w:rPr>
        <w:t xml:space="preserve">Decizia civilă nr. </w:t>
      </w:r>
      <w:r w:rsidR="0034506E">
        <w:rPr>
          <w:rStyle w:val="Fontdeparagrafimplicit"/>
          <w:b/>
          <w:i/>
        </w:rPr>
        <w:t>24</w:t>
      </w:r>
    </w:p>
    <w:p w:rsidR="008E447B" w14:paraId="6A201D31" w14:textId="43DE2B53">
      <w:pPr>
        <w:ind w:firstLine="567"/>
        <w:jc w:val="center"/>
        <w:rPr>
          <w:rStyle w:val="Fontdeparagrafimplicit"/>
          <w:b/>
        </w:rPr>
      </w:pPr>
      <w:r>
        <w:rPr>
          <w:rStyle w:val="Fontdeparagrafimplicit"/>
          <w:b/>
        </w:rPr>
        <w:t xml:space="preserve">ŞEDINŢA PUBLICĂ DIN  </w:t>
      </w:r>
      <w:r w:rsidR="0034506E">
        <w:rPr>
          <w:rStyle w:val="Fontdeparagrafimplicit"/>
          <w:b/>
        </w:rPr>
        <w:t xml:space="preserve"> </w:t>
      </w:r>
    </w:p>
    <w:p w:rsidR="008E447B" w14:paraId="6D0CD503" w14:textId="77777777">
      <w:pPr>
        <w:ind w:firstLine="567"/>
        <w:jc w:val="center"/>
        <w:rPr>
          <w:rStyle w:val="Fontdeparagrafimplicit"/>
          <w:b/>
        </w:rPr>
      </w:pPr>
      <w:r>
        <w:rPr>
          <w:rStyle w:val="Fontdeparagrafimplicit"/>
          <w:b/>
        </w:rPr>
        <w:t>CURTEA CONSTITUITĂ DIN :</w:t>
      </w:r>
    </w:p>
    <w:p w:rsidR="008E447B" w14:paraId="2054D532" w14:textId="07C33D78">
      <w:pPr>
        <w:ind w:firstLine="567"/>
        <w:jc w:val="center"/>
        <w:rPr>
          <w:rStyle w:val="Fontdeparagrafimplicit"/>
          <w:b/>
        </w:rPr>
      </w:pPr>
      <w:r>
        <w:rPr>
          <w:rStyle w:val="Fontdeparagrafimplicit"/>
          <w:b/>
        </w:rPr>
        <w:t xml:space="preserve">PREŞEDINTE: </w:t>
      </w:r>
      <w:r w:rsidR="0034506E">
        <w:rPr>
          <w:rStyle w:val="Fontdeparagrafimplicit"/>
          <w:b/>
        </w:rPr>
        <w:t xml:space="preserve">A0008 </w:t>
      </w:r>
    </w:p>
    <w:p w:rsidR="008E447B" w14:paraId="71839170" w14:textId="67044739">
      <w:pPr>
        <w:ind w:firstLine="567"/>
        <w:jc w:val="center"/>
        <w:rPr>
          <w:rStyle w:val="Fontdeparagrafimplicit"/>
          <w:b/>
        </w:rPr>
      </w:pPr>
      <w:r>
        <w:rPr>
          <w:rStyle w:val="Fontdeparagrafimplicit"/>
          <w:b/>
        </w:rPr>
        <w:t xml:space="preserve">JUDECĂTOR: </w:t>
      </w:r>
      <w:r w:rsidR="0034506E">
        <w:rPr>
          <w:rStyle w:val="Fontdeparagrafimplicit"/>
          <w:b/>
        </w:rPr>
        <w:t xml:space="preserve">                </w:t>
      </w:r>
    </w:p>
    <w:p w:rsidR="008E447B" w14:paraId="5F6F7151" w14:textId="3D7DAE95">
      <w:pPr>
        <w:ind w:firstLine="567"/>
        <w:jc w:val="center"/>
        <w:rPr>
          <w:rStyle w:val="Fontdeparagrafimplicit"/>
          <w:b/>
        </w:rPr>
      </w:pPr>
      <w:r>
        <w:rPr>
          <w:rStyle w:val="Fontdeparagrafimplicit"/>
          <w:b/>
        </w:rPr>
        <w:t xml:space="preserve">JUDECĂTOR: </w:t>
      </w:r>
      <w:r w:rsidR="0034506E">
        <w:rPr>
          <w:rStyle w:val="Fontdeparagrafimplicit"/>
          <w:b/>
        </w:rPr>
        <w:t xml:space="preserve">                </w:t>
      </w:r>
    </w:p>
    <w:p w:rsidR="008E447B" w14:paraId="515B258A" w14:textId="68BC8D93">
      <w:pPr>
        <w:ind w:firstLine="567"/>
        <w:jc w:val="center"/>
        <w:rPr>
          <w:rStyle w:val="Fontdeparagrafimplicit"/>
          <w:b/>
        </w:rPr>
      </w:pPr>
      <w:r>
        <w:rPr>
          <w:rStyle w:val="Fontdeparagrafimplicit"/>
          <w:b/>
        </w:rPr>
        <w:t xml:space="preserve">GREFIER: </w:t>
      </w:r>
      <w:r w:rsidR="0034506E">
        <w:rPr>
          <w:rStyle w:val="Fontdeparagrafimplicit"/>
          <w:b/>
        </w:rPr>
        <w:t xml:space="preserve">                </w:t>
      </w:r>
    </w:p>
    <w:p w:rsidR="008E447B" w14:paraId="30BBF54D" w14:textId="77777777">
      <w:pPr>
        <w:ind w:firstLine="567"/>
        <w:jc w:val="both"/>
        <w:rPr>
          <w:rStyle w:val="Fontdeparagrafimplicit"/>
          <w:b/>
          <w:i/>
        </w:rPr>
      </w:pPr>
      <w:r>
        <w:rPr>
          <w:rStyle w:val="Fontdeparagrafimplicit"/>
          <w:b/>
          <w:i/>
        </w:rPr>
        <w:t xml:space="preserve"> </w:t>
      </w:r>
    </w:p>
    <w:p w:rsidR="008E447B" w14:paraId="35BE6077" w14:textId="77777777">
      <w:pPr>
        <w:ind w:firstLine="567"/>
        <w:jc w:val="both"/>
        <w:rPr>
          <w:rStyle w:val="Fontdeparagrafimplicit"/>
          <w:b/>
          <w:i/>
        </w:rPr>
      </w:pPr>
    </w:p>
    <w:p w:rsidR="008E447B" w14:paraId="638798BC" w14:textId="77777777">
      <w:pPr>
        <w:ind w:firstLine="567"/>
        <w:jc w:val="both"/>
        <w:rPr>
          <w:rStyle w:val="Fontdeparagrafimplicit"/>
        </w:rPr>
      </w:pPr>
    </w:p>
    <w:p w:rsidR="008E447B" w14:paraId="63FB4687" w14:textId="54C46243">
      <w:pPr>
        <w:ind w:firstLine="567"/>
        <w:jc w:val="both"/>
      </w:pPr>
      <w:r>
        <w:t xml:space="preserve">Pe rol se află soluţionarea recursurilor declarate de recurentul-pârât INSPECTORATUL DE POLIŢIE AL JUDEŢULUI </w:t>
      </w:r>
      <w:r w:rsidR="0034506E">
        <w:t xml:space="preserve">                </w:t>
      </w:r>
      <w:r>
        <w:t xml:space="preserve"> şi recurentul-reclamant </w:t>
      </w:r>
      <w:r w:rsidR="0034506E">
        <w:t xml:space="preserve">2 </w:t>
      </w:r>
      <w:r>
        <w:t xml:space="preserve">, împotriva sentinţei civile nr. </w:t>
      </w:r>
      <w:r w:rsidR="0034506E">
        <w:t xml:space="preserve">3/2018 </w:t>
      </w:r>
      <w:r>
        <w:t xml:space="preserve"> pronunţate de Tribunalul </w:t>
      </w:r>
      <w:r w:rsidR="0034506E">
        <w:t xml:space="preserve">                </w:t>
      </w:r>
      <w:r>
        <w:t xml:space="preserve"> – Secţia </w:t>
      </w:r>
      <w:r w:rsidR="0034506E">
        <w:t xml:space="preserve"> </w:t>
      </w:r>
      <w:r>
        <w:t xml:space="preserve"> în dosarul  nr. </w:t>
      </w:r>
      <w:r w:rsidR="0034506E">
        <w:t xml:space="preserve">1 </w:t>
      </w:r>
      <w:r>
        <w:t xml:space="preserve">, în contradictoriu cu intimaţii-reclamanţi </w:t>
      </w:r>
      <w:r w:rsidR="0034506E">
        <w:t xml:space="preserve">4 </w:t>
      </w:r>
      <w:r>
        <w:t xml:space="preserve">, </w:t>
      </w:r>
      <w:r w:rsidR="0034506E">
        <w:t xml:space="preserve">5 </w:t>
      </w:r>
      <w:r>
        <w:t xml:space="preserve">, </w:t>
      </w:r>
      <w:r w:rsidR="0034506E">
        <w:t xml:space="preserve">6 </w:t>
      </w:r>
      <w:r>
        <w:t xml:space="preserve">, </w:t>
      </w:r>
      <w:r w:rsidR="0034506E">
        <w:t xml:space="preserve">7 </w:t>
      </w:r>
      <w:r>
        <w:t xml:space="preserve"> şi </w:t>
      </w:r>
      <w:r w:rsidR="0034506E">
        <w:t xml:space="preserve">8 </w:t>
      </w:r>
      <w:r>
        <w:t>, având ca obiect „litigiu privind funcţionarii publici statutari”.</w:t>
      </w:r>
    </w:p>
    <w:p w:rsidR="008E447B" w14:paraId="39CD87E7" w14:textId="6D230562">
      <w:pPr>
        <w:ind w:firstLine="567"/>
        <w:jc w:val="both"/>
      </w:pPr>
      <w:r>
        <w:t xml:space="preserve">La apelul nominal făcut în şedinţă publică, răspunde recurentul-reclamant şi intimaţii-reclamanţi, prin avocat </w:t>
      </w:r>
      <w:r w:rsidR="0034506E">
        <w:t xml:space="preserve">           </w:t>
      </w:r>
      <w:r>
        <w:t>, în baza împuternicirii avocaţiale pe care o depune la dosar, lipsind recurentul-pârât.</w:t>
      </w:r>
    </w:p>
    <w:p w:rsidR="008E447B" w14:paraId="1CE3811C" w14:textId="77777777">
      <w:pPr>
        <w:ind w:firstLine="567"/>
        <w:jc w:val="both"/>
      </w:pPr>
      <w:r>
        <w:t>Procedura de citare este legal îndeplinită.</w:t>
      </w:r>
    </w:p>
    <w:p w:rsidR="008E447B" w14:paraId="5EDCE0FE" w14:textId="77777777">
      <w:pPr>
        <w:ind w:firstLine="567"/>
        <w:jc w:val="both"/>
      </w:pPr>
      <w:r>
        <w:t>S-a făcut referatul cauzei de către grefierul de şedinţă, după care:</w:t>
      </w:r>
    </w:p>
    <w:p w:rsidR="008E447B" w14:paraId="5AB05799" w14:textId="55F6F57F">
      <w:pPr>
        <w:ind w:firstLine="567"/>
        <w:jc w:val="both"/>
      </w:pPr>
      <w:r>
        <w:t>Apărătorul recurentului-reclamant şi al intimaţilor –reclamanţi depune la dosar o adeverinţă din care rezultă că cei pe care îi reprezintă sunt membri ai Sindicatului Poliţiştilor din România „</w:t>
      </w:r>
      <w:r w:rsidR="0034506E">
        <w:t xml:space="preserve">                    </w:t>
      </w:r>
      <w:r>
        <w:t xml:space="preserve">”, filiala teritorială </w:t>
      </w:r>
      <w:r w:rsidR="0034506E">
        <w:t xml:space="preserve">                </w:t>
      </w:r>
      <w:r>
        <w:t>.</w:t>
      </w:r>
    </w:p>
    <w:p w:rsidR="008E447B" w14:paraId="3A1D74EE" w14:textId="77777777">
      <w:pPr>
        <w:ind w:firstLine="567"/>
        <w:jc w:val="both"/>
      </w:pPr>
      <w:r>
        <w:t>Nemaifiind alte chestiuni prealabile de invocat sau probe de administrat, Curtea acordă cuvântul asupra cererii de sesizare a Curţii Constituţionale cu excepţia de neconstituţionalitate a OG nr. 38/2003 în integralitatea ei şi în special a anexei 1 formulată de recurentul-reclamant, precum şi asupra celor 2 recursuri formulate în cauză.</w:t>
      </w:r>
    </w:p>
    <w:p w:rsidR="008E447B" w14:paraId="171B9AF7" w14:textId="5AA83AD0">
      <w:pPr>
        <w:ind w:firstLine="567"/>
        <w:jc w:val="both"/>
      </w:pPr>
      <w:r>
        <w:t xml:space="preserve">Apărătorul recurentului-reclamant şi al intimaţilor-reclamanţi precizează că este strict viziunea clientului său, el trebuind să împărtăşească părerea acestuia, urmând ca instanţa de judecată să dispună sesizarea Curţii Constituţionale cu excepţia de neconstituţionalitate detaliată în motivele de recurs. Referitor la recursul formulat de recurentul-pârât, solicită respingerea acestuia, fiind vădit neîntemeiat şi răuvoitor din punctul său de vedere. Menţionează că este de datoria oricărui ordonator de credite, că este el terţiar, aşa cum este IPJ </w:t>
      </w:r>
      <w:r w:rsidR="0034506E">
        <w:t xml:space="preserve">                </w:t>
      </w:r>
      <w:r>
        <w:t>, să facă o proiecţie a bugetului pe anul în curs, ţinând cont de cheltuielile bugetare previzibile şi de normele legale aplicabile în speţă. Urmează ca instanţa de recurs să observe că era de datoria recurentului-pârât să solicite o eventuală rectificare bugetară pentru a se putea prinde în bugetul instituţiei şi acele sporuri care erau prevăzute de normele legale. Acele sporuri pe care recurentul-pârât consideră că nu era dator să le plătească, erau prevăzute de lege, cu atât mai mult avea obligaţia legală de a le plăti fără a fi nevoie să intervină o hotărâre judecătorească.</w:t>
      </w:r>
    </w:p>
    <w:p w:rsidR="008E447B" w14:paraId="1914BAAB" w14:textId="77777777">
      <w:pPr>
        <w:ind w:firstLine="567"/>
        <w:jc w:val="both"/>
      </w:pPr>
      <w:r>
        <w:t xml:space="preserve">Cu privire la recursul formulat de recurentul-reclamant, arată că îl susţine în totalitate pentru motivele pentru care acesta le-a detaliat în cadrul cererii de recurs, mai mult decât atât, consideră că ar trebui ca instanţa de recurs să verifice dacă într-adevăr instanţa de fond a verificat şi aplicat succesiunea legilor în timp, pentru că, apreciază că există o perioadă între 11.10.2013 şi 1 iulie 2014 în care atât instanţa de fond cât şi expertul care a efectuat o expertiză în cauză ar fi trebuit să respecte prevederile art. 16 din OG 38/2003 şi să aplice un spor de 100%, şi nu de 75%. Acesta ar fi încă un motiv de nelegalitate a hotărârii fondului. </w:t>
      </w:r>
      <w:r>
        <w:t>Pentru toate aceste motive, solicită admiterea recursului aşa cum a fost formulat şi respingerea recursului formulat de recurentul-pârât. Cu cheltuieli de judecată pe cale separată.</w:t>
      </w:r>
    </w:p>
    <w:p w:rsidR="008E447B" w14:paraId="4B49E9CB" w14:textId="77777777">
      <w:pPr>
        <w:ind w:firstLine="567"/>
        <w:jc w:val="both"/>
      </w:pPr>
      <w:r>
        <w:t>Curtea reţine cauza în pronunţare.</w:t>
      </w:r>
    </w:p>
    <w:p w:rsidR="008E447B" w14:paraId="6D9AE902" w14:textId="77777777">
      <w:pPr>
        <w:ind w:firstLine="567"/>
        <w:jc w:val="both"/>
      </w:pPr>
    </w:p>
    <w:p w:rsidR="008E447B" w14:paraId="6AE9F0E1" w14:textId="77777777">
      <w:pPr>
        <w:ind w:firstLine="567"/>
        <w:jc w:val="center"/>
        <w:rPr>
          <w:rStyle w:val="Fontdeparagrafimplicit"/>
          <w:b/>
        </w:rPr>
      </w:pPr>
      <w:r>
        <w:rPr>
          <w:rStyle w:val="Fontdeparagrafimplicit"/>
          <w:b/>
        </w:rPr>
        <w:t>CURTEA,</w:t>
      </w:r>
    </w:p>
    <w:p w:rsidR="008E447B" w14:paraId="2BCACB05" w14:textId="77777777">
      <w:pPr>
        <w:ind w:firstLine="567"/>
        <w:jc w:val="center"/>
        <w:rPr>
          <w:rStyle w:val="Fontdeparagrafimplicit"/>
          <w:b/>
        </w:rPr>
      </w:pPr>
    </w:p>
    <w:p w:rsidR="008E447B" w14:paraId="1DDB4C38" w14:textId="77777777">
      <w:pPr>
        <w:pStyle w:val="Listparagraf"/>
        <w:numPr>
          <w:ilvl w:val="0"/>
          <w:numId w:val="1"/>
        </w:numPr>
        <w:ind w:left="0" w:firstLine="567"/>
        <w:contextualSpacing/>
        <w:jc w:val="both"/>
        <w:rPr>
          <w:rStyle w:val="Fontdeparagrafimplicit"/>
          <w:b/>
          <w:lang w:val="ro-RO"/>
        </w:rPr>
      </w:pPr>
      <w:r>
        <w:rPr>
          <w:rStyle w:val="Fontdeparagrafimplicit"/>
          <w:b/>
          <w:lang w:val="ro-RO"/>
        </w:rPr>
        <w:tab/>
      </w:r>
      <w:r>
        <w:rPr>
          <w:rStyle w:val="Fontdeparagrafimplicit"/>
          <w:lang w:val="ro-RO"/>
        </w:rPr>
        <w:t xml:space="preserve"> </w:t>
      </w:r>
      <w:r>
        <w:rPr>
          <w:rStyle w:val="Fontdeparagrafimplicit"/>
          <w:b/>
          <w:lang w:val="ro-RO"/>
        </w:rPr>
        <w:t>Circumstanţele cauzei</w:t>
      </w:r>
    </w:p>
    <w:p w:rsidR="008E447B" w14:paraId="0107CC2D" w14:textId="77777777">
      <w:pPr>
        <w:numPr>
          <w:ilvl w:val="1"/>
          <w:numId w:val="1"/>
        </w:numPr>
        <w:spacing w:after="200" w:line="276" w:lineRule="auto"/>
        <w:ind w:left="0" w:firstLine="567"/>
        <w:contextualSpacing/>
        <w:jc w:val="both"/>
        <w:rPr>
          <w:rStyle w:val="Fontdeparagrafimplicit"/>
          <w:u w:val="single"/>
        </w:rPr>
      </w:pPr>
      <w:r>
        <w:rPr>
          <w:rStyle w:val="Fontdeparagrafimplicit"/>
          <w:u w:val="single"/>
        </w:rPr>
        <w:t>Acţiunea formulată</w:t>
      </w:r>
    </w:p>
    <w:p w:rsidR="008E447B" w14:paraId="233086EF" w14:textId="77777777">
      <w:pPr>
        <w:ind w:firstLine="567"/>
        <w:jc w:val="both"/>
        <w:rPr>
          <w:rStyle w:val="Fontdeparagrafimplicit"/>
        </w:rPr>
      </w:pPr>
    </w:p>
    <w:p w:rsidR="008E447B" w14:paraId="17B5353A" w14:textId="5E457D3E">
      <w:pPr>
        <w:ind w:firstLine="567"/>
        <w:jc w:val="both"/>
      </w:pPr>
      <w:r>
        <w:t xml:space="preserve">Prin cererea înregistrată la Tribunalul </w:t>
      </w:r>
      <w:r w:rsidR="0034506E">
        <w:t xml:space="preserve">                </w:t>
      </w:r>
      <w:r>
        <w:t xml:space="preserve"> – Secţia </w:t>
      </w:r>
      <w:r w:rsidR="0034506E">
        <w:t xml:space="preserve"> </w:t>
      </w:r>
      <w:r>
        <w:t xml:space="preserve"> la data de </w:t>
      </w:r>
      <w:r w:rsidR="0034506E">
        <w:t xml:space="preserve"> </w:t>
      </w:r>
      <w:r>
        <w:t xml:space="preserve">.2016, sub nr. </w:t>
      </w:r>
      <w:r w:rsidR="0034506E">
        <w:t xml:space="preserve">1 </w:t>
      </w:r>
      <w:r>
        <w:t xml:space="preserve">, reclamanții </w:t>
      </w:r>
      <w:r w:rsidR="0034506E">
        <w:t xml:space="preserve">2 </w:t>
      </w:r>
      <w:r>
        <w:t xml:space="preserve">, </w:t>
      </w:r>
      <w:r w:rsidR="0034506E">
        <w:t xml:space="preserve">4 </w:t>
      </w:r>
      <w:r>
        <w:t xml:space="preserve">, </w:t>
      </w:r>
      <w:r w:rsidR="0034506E">
        <w:t xml:space="preserve">5 </w:t>
      </w:r>
      <w:r>
        <w:t xml:space="preserve">, </w:t>
      </w:r>
      <w:r w:rsidR="0034506E">
        <w:t xml:space="preserve">6 </w:t>
      </w:r>
      <w:r>
        <w:t xml:space="preserve">, </w:t>
      </w:r>
      <w:r w:rsidR="0034506E">
        <w:t xml:space="preserve">7 </w:t>
      </w:r>
      <w:r>
        <w:t xml:space="preserve">, </w:t>
      </w:r>
      <w:r w:rsidR="0034506E">
        <w:t xml:space="preserve">8 </w:t>
      </w:r>
      <w:r>
        <w:t xml:space="preserve"> au chemat în judecată pârâtul  IPJ </w:t>
      </w:r>
      <w:r w:rsidR="0034506E">
        <w:t xml:space="preserve">                </w:t>
      </w:r>
      <w:r>
        <w:t xml:space="preserve"> și chemații în garanție MINISTERUL AFACERILOR INTERNE cod fiscal nr.</w:t>
      </w:r>
      <w:r w:rsidR="0034506E">
        <w:t xml:space="preserve"> </w:t>
      </w:r>
      <w:r>
        <w:t xml:space="preserve"> cu sediul în </w:t>
      </w:r>
      <w:r w:rsidR="0034506E">
        <w:t xml:space="preserve">                  </w:t>
      </w:r>
      <w:r>
        <w:t xml:space="preserve">, </w:t>
      </w:r>
      <w:r w:rsidR="0034506E">
        <w:t xml:space="preserve"> </w:t>
      </w:r>
      <w:r>
        <w:t xml:space="preserve"> și MINISTERUL FINANȚELOR PUBLICE cod fiscal </w:t>
      </w:r>
      <w:r w:rsidR="0034506E">
        <w:t xml:space="preserve"> </w:t>
      </w:r>
      <w:r>
        <w:t xml:space="preserve"> cu sediul în </w:t>
      </w:r>
      <w:r w:rsidR="0034506E">
        <w:t xml:space="preserve">                  </w:t>
      </w:r>
      <w:r>
        <w:t xml:space="preserve">, str. </w:t>
      </w:r>
      <w:r w:rsidR="0034506E">
        <w:t xml:space="preserve">  </w:t>
      </w:r>
      <w:r>
        <w:t xml:space="preserve"> solicitând: </w:t>
      </w:r>
    </w:p>
    <w:p w:rsidR="008E447B" w14:paraId="1DC7AC1B" w14:textId="77777777">
      <w:pPr>
        <w:ind w:firstLine="567"/>
        <w:jc w:val="both"/>
      </w:pPr>
      <w:r>
        <w:t>1.</w:t>
      </w:r>
      <w:r>
        <w:tab/>
        <w:t xml:space="preserve">Obligarea paratului la plata sumelor cuvenite si neachitate ce reprezintă valoarea financiara neimpozabila a orelor lucrate în zilele de repaus săptămânal, precum si in celelalte zile care conform legii sunt declarate libere, ca urmare a nealocării acestora, pana la data rămânerii definitive a hotărârii, sume actualizate cu indicele de inflaţie de la data scadentei pana la data efectuării plaţii efective astfel: </w:t>
      </w:r>
    </w:p>
    <w:p w:rsidR="008E447B" w14:paraId="10224238" w14:textId="1A851502">
      <w:pPr>
        <w:ind w:firstLine="567"/>
        <w:jc w:val="both"/>
      </w:pPr>
      <w:r>
        <w:t>-</w:t>
      </w:r>
      <w:r>
        <w:tab/>
        <w:t xml:space="preserve">Pentru reclamantul </w:t>
      </w:r>
      <w:r w:rsidR="0034506E">
        <w:t xml:space="preserve">2 </w:t>
      </w:r>
      <w:r>
        <w:t xml:space="preserve"> începând cu data de 01.03.2007 pana in 01.01.2015</w:t>
      </w:r>
    </w:p>
    <w:p w:rsidR="008E447B" w14:paraId="0D53153B" w14:textId="3B5685E9">
      <w:pPr>
        <w:ind w:firstLine="567"/>
        <w:jc w:val="both"/>
      </w:pPr>
      <w:r>
        <w:t>-</w:t>
      </w:r>
      <w:r>
        <w:tab/>
        <w:t xml:space="preserve">Pentru reclamantul </w:t>
      </w:r>
      <w:r w:rsidR="0034506E">
        <w:t xml:space="preserve">4 </w:t>
      </w:r>
      <w:r>
        <w:t xml:space="preserve"> începând cu data de 01 05 2013 pana în 01.01.2015</w:t>
      </w:r>
    </w:p>
    <w:p w:rsidR="008E447B" w14:paraId="47624114" w14:textId="2BACC872">
      <w:pPr>
        <w:ind w:firstLine="567"/>
        <w:jc w:val="both"/>
      </w:pPr>
      <w:r>
        <w:t>-</w:t>
      </w:r>
      <w:r>
        <w:tab/>
        <w:t xml:space="preserve">pentru reclamantul </w:t>
      </w:r>
      <w:r w:rsidR="0034506E">
        <w:t xml:space="preserve">5 </w:t>
      </w:r>
      <w:r>
        <w:t xml:space="preserve"> începând cu data de 01.02 2013 pana în 01.01.2015</w:t>
      </w:r>
    </w:p>
    <w:p w:rsidR="008E447B" w14:paraId="1F6766C9" w14:textId="4A423A57">
      <w:pPr>
        <w:ind w:firstLine="567"/>
        <w:jc w:val="both"/>
      </w:pPr>
      <w:r>
        <w:t>-</w:t>
      </w:r>
      <w:r>
        <w:tab/>
        <w:t xml:space="preserve">Pentru reclamantul </w:t>
      </w:r>
      <w:r w:rsidR="0034506E">
        <w:t xml:space="preserve">6 </w:t>
      </w:r>
      <w:r>
        <w:t xml:space="preserve"> începând cu data de 01.04.2009 pană în 01.01.2015</w:t>
      </w:r>
    </w:p>
    <w:p w:rsidR="008E447B" w14:paraId="5CDEE5F7" w14:textId="68CC6652">
      <w:pPr>
        <w:ind w:firstLine="567"/>
        <w:jc w:val="both"/>
      </w:pPr>
      <w:r>
        <w:t>-</w:t>
      </w:r>
      <w:r>
        <w:tab/>
        <w:t xml:space="preserve">Pentru reclamantul </w:t>
      </w:r>
      <w:r w:rsidR="0034506E">
        <w:t xml:space="preserve">7 </w:t>
      </w:r>
      <w:r>
        <w:t xml:space="preserve"> începând cu data de 01.04.2007 până în 01.01.2015</w:t>
      </w:r>
    </w:p>
    <w:p w:rsidR="008E447B" w14:paraId="6E29105E" w14:textId="3F76B78D">
      <w:pPr>
        <w:ind w:firstLine="567"/>
        <w:jc w:val="both"/>
      </w:pPr>
      <w:r>
        <w:t>-</w:t>
      </w:r>
      <w:r>
        <w:tab/>
        <w:t xml:space="preserve"> Pentru reclamantul </w:t>
      </w:r>
      <w:r w:rsidR="0034506E">
        <w:t xml:space="preserve">8 </w:t>
      </w:r>
      <w:r>
        <w:t xml:space="preserve"> începând cu 01.07.2013 până în 01.01.2015, estimând că fiecare reclamant are peste 500 de ore de sâmbătă, duminica si sărbători legale anual.</w:t>
      </w:r>
    </w:p>
    <w:p w:rsidR="008E447B" w14:paraId="3865C59C" w14:textId="77777777">
      <w:pPr>
        <w:ind w:firstLine="567"/>
        <w:jc w:val="both"/>
      </w:pPr>
      <w:r>
        <w:t>2. Obligarea chematului în garanţie la virarea către pârâţi a tuturor sumelor ce se vor plaţi reclamanţilor in prezenta acţiune.</w:t>
      </w:r>
    </w:p>
    <w:p w:rsidR="008E447B" w14:paraId="335AB509" w14:textId="77777777">
      <w:pPr>
        <w:numPr>
          <w:ilvl w:val="1"/>
          <w:numId w:val="1"/>
        </w:numPr>
        <w:spacing w:after="200" w:line="276" w:lineRule="auto"/>
        <w:ind w:left="0" w:firstLine="567"/>
        <w:contextualSpacing/>
        <w:jc w:val="both"/>
      </w:pPr>
      <w:r>
        <w:t>Sentinţa civilă pronunţată în cauză</w:t>
      </w:r>
    </w:p>
    <w:p w:rsidR="008E447B" w14:paraId="39DFD90F" w14:textId="59D3DD55">
      <w:pPr>
        <w:ind w:firstLine="567"/>
        <w:jc w:val="both"/>
      </w:pPr>
      <w:r>
        <w:t xml:space="preserve">Prin sentinţa civilă nr. </w:t>
      </w:r>
      <w:r w:rsidR="0034506E">
        <w:t xml:space="preserve">3/2018 </w:t>
      </w:r>
      <w:r>
        <w:t xml:space="preserve">, Tribunalul </w:t>
      </w:r>
      <w:r w:rsidR="0034506E">
        <w:t xml:space="preserve">                </w:t>
      </w:r>
      <w:r>
        <w:t xml:space="preserve"> – Secţia </w:t>
      </w:r>
      <w:r w:rsidR="0034506E">
        <w:t xml:space="preserve">   </w:t>
      </w:r>
      <w:r>
        <w:t xml:space="preserve"> a respins ca inadmisibilă cererea de chemare în garanţie a Ministerului Afacerilor Interne şi pe cea a Ministerul Finanţelor Publice MINISTERUL AFACERILOR INTERNE formulată de reclamanţii </w:t>
      </w:r>
      <w:r w:rsidR="0034506E">
        <w:t xml:space="preserve">2 </w:t>
      </w:r>
      <w:r>
        <w:t xml:space="preserve">, </w:t>
      </w:r>
      <w:r w:rsidR="0034506E">
        <w:t xml:space="preserve">4 </w:t>
      </w:r>
      <w:r>
        <w:t xml:space="preserve">,  </w:t>
      </w:r>
      <w:r w:rsidR="0034506E">
        <w:t xml:space="preserve">5 </w:t>
      </w:r>
      <w:r>
        <w:t xml:space="preserve">,  </w:t>
      </w:r>
      <w:r w:rsidR="0034506E">
        <w:t xml:space="preserve">6 </w:t>
      </w:r>
      <w:r>
        <w:t xml:space="preserve">,  </w:t>
      </w:r>
      <w:r w:rsidR="0034506E">
        <w:t xml:space="preserve">7 </w:t>
      </w:r>
      <w:r>
        <w:t xml:space="preserve">,  </w:t>
      </w:r>
      <w:r w:rsidR="0034506E">
        <w:t xml:space="preserve">8 </w:t>
      </w:r>
      <w:r>
        <w:t xml:space="preserve">; a admis în parte, cererea reclamanţilor, împotriva pârâtului INSPECTORATUL DE POLIŢIE AL JUDEŢULUI </w:t>
      </w:r>
      <w:r w:rsidR="0034506E">
        <w:t xml:space="preserve">                </w:t>
      </w:r>
      <w:r>
        <w:t xml:space="preserve">; a obligat pârâtul INSPECTORATUL DE POLIŢIE AL JUDEŢULUI </w:t>
      </w:r>
      <w:r w:rsidR="0034506E">
        <w:t xml:space="preserve">                </w:t>
      </w:r>
      <w:r>
        <w:t xml:space="preserve"> să plătească reclamanţilor contravaloarea (sume nete) orelor lucrate suplimentar în zilele de repaus săptămânal, în cele de sărbători legale şi în alte zile, după cum urmează:</w:t>
      </w:r>
    </w:p>
    <w:p w:rsidR="008E447B" w14:paraId="5B96F687" w14:textId="48EF3EAB">
      <w:pPr>
        <w:ind w:firstLine="567"/>
        <w:jc w:val="both"/>
      </w:pPr>
      <w:r>
        <w:t>-</w:t>
      </w:r>
      <w:r>
        <w:tab/>
        <w:t xml:space="preserve">2.256 lei reclamantului </w:t>
      </w:r>
      <w:r w:rsidR="0034506E">
        <w:t xml:space="preserve">2 </w:t>
      </w:r>
    </w:p>
    <w:p w:rsidR="008E447B" w14:paraId="497C9054" w14:textId="18645F69">
      <w:pPr>
        <w:ind w:firstLine="567"/>
        <w:jc w:val="both"/>
      </w:pPr>
      <w:r>
        <w:t>-</w:t>
      </w:r>
      <w:r>
        <w:tab/>
        <w:t xml:space="preserve">2155 lei reclamantului </w:t>
      </w:r>
      <w:r w:rsidR="0034506E">
        <w:t xml:space="preserve">4 </w:t>
      </w:r>
    </w:p>
    <w:p w:rsidR="008E447B" w14:paraId="4AB9C6F3" w14:textId="3A852632">
      <w:pPr>
        <w:ind w:firstLine="567"/>
        <w:jc w:val="both"/>
      </w:pPr>
      <w:r>
        <w:t>-</w:t>
      </w:r>
      <w:r>
        <w:tab/>
        <w:t xml:space="preserve">2679 lei reclamantului </w:t>
      </w:r>
      <w:r w:rsidR="0034506E">
        <w:t xml:space="preserve">5 </w:t>
      </w:r>
    </w:p>
    <w:p w:rsidR="008E447B" w14:paraId="54122959" w14:textId="57F74364">
      <w:pPr>
        <w:ind w:firstLine="567"/>
        <w:jc w:val="both"/>
      </w:pPr>
      <w:r>
        <w:t>-</w:t>
      </w:r>
      <w:r>
        <w:tab/>
        <w:t xml:space="preserve">1943 lei reclamantului </w:t>
      </w:r>
      <w:r w:rsidR="0034506E">
        <w:t xml:space="preserve">6 </w:t>
      </w:r>
    </w:p>
    <w:p w:rsidR="008E447B" w14:paraId="57C929B3" w14:textId="625C714B">
      <w:pPr>
        <w:ind w:firstLine="567"/>
        <w:jc w:val="both"/>
      </w:pPr>
      <w:r>
        <w:t>-</w:t>
      </w:r>
      <w:r>
        <w:tab/>
        <w:t xml:space="preserve">1903 lei reclamantului </w:t>
      </w:r>
      <w:r w:rsidR="0034506E">
        <w:t xml:space="preserve">7 </w:t>
      </w:r>
    </w:p>
    <w:p w:rsidR="008E447B" w14:paraId="5B51A738" w14:textId="505A6643">
      <w:pPr>
        <w:ind w:firstLine="567"/>
        <w:jc w:val="both"/>
      </w:pPr>
      <w:r>
        <w:t>-</w:t>
      </w:r>
      <w:r>
        <w:tab/>
        <w:t xml:space="preserve">528 lei  reclamantului </w:t>
      </w:r>
      <w:r w:rsidR="0034506E">
        <w:t xml:space="preserve">8 </w:t>
      </w:r>
      <w:r>
        <w:t>.</w:t>
      </w:r>
    </w:p>
    <w:p w:rsidR="008E447B" w14:paraId="6688FE76" w14:textId="3AAFC60F">
      <w:pPr>
        <w:ind w:firstLine="567"/>
        <w:jc w:val="both"/>
      </w:pPr>
      <w:r>
        <w:t xml:space="preserve">De asemenea, tribunalul a obligat pârâtul INSPECTORATUL DE POLIŢIE AL JUDEŢULUI </w:t>
      </w:r>
      <w:r w:rsidR="0034506E">
        <w:t xml:space="preserve">                </w:t>
      </w:r>
      <w:r>
        <w:t xml:space="preserve"> să plătească fiecărui reclamant suma de 300 lei, parte din onorariul expertului judiciar şi a respins ca prescrise pretenţiile reclamanţilor împotriva pârâtului  INSPECTORATUL DE POLIŢIE AL JUDEŢULUI </w:t>
      </w:r>
      <w:r w:rsidR="0034506E">
        <w:t xml:space="preserve">                </w:t>
      </w:r>
      <w:r>
        <w:t>, pentru perioada anterioară datei de 11.10.2013.</w:t>
      </w:r>
    </w:p>
    <w:p w:rsidR="008E447B" w14:paraId="3096DD05" w14:textId="77777777">
      <w:pPr>
        <w:ind w:firstLine="567"/>
        <w:jc w:val="both"/>
      </w:pPr>
    </w:p>
    <w:p w:rsidR="008E447B" w14:paraId="26A9CEBA" w14:textId="77777777">
      <w:pPr>
        <w:numPr>
          <w:ilvl w:val="0"/>
          <w:numId w:val="1"/>
        </w:numPr>
        <w:spacing w:after="200" w:line="276" w:lineRule="auto"/>
        <w:ind w:left="0" w:firstLine="567"/>
        <w:contextualSpacing/>
        <w:jc w:val="both"/>
        <w:rPr>
          <w:rStyle w:val="Fontdeparagrafimplicit"/>
          <w:b/>
        </w:rPr>
      </w:pPr>
      <w:r>
        <w:rPr>
          <w:rStyle w:val="Fontdeparagrafimplicit"/>
          <w:b/>
        </w:rPr>
        <w:t>Calea de atac formulată</w:t>
      </w:r>
    </w:p>
    <w:p w:rsidR="008E447B" w14:paraId="5B6C7B1A" w14:textId="5235AF44">
      <w:pPr>
        <w:ind w:firstLine="567"/>
        <w:jc w:val="both"/>
      </w:pPr>
      <w:r>
        <w:t xml:space="preserve">Împotriva acestei sentinţe au declarat recurs atât pârâtul INSPECTORATUL DE POLIŢIE AL JUDEŢULUI </w:t>
      </w:r>
      <w:r w:rsidR="0034506E">
        <w:t xml:space="preserve">                </w:t>
      </w:r>
      <w:r>
        <w:t xml:space="preserve">, cât şi reclamantul </w:t>
      </w:r>
      <w:r w:rsidR="0034506E">
        <w:t xml:space="preserve">2 </w:t>
      </w:r>
      <w:r>
        <w:t>.</w:t>
      </w:r>
    </w:p>
    <w:p w:rsidR="008E447B" w14:paraId="6BBB83DD" w14:textId="77777777">
      <w:pPr>
        <w:ind w:firstLine="567"/>
        <w:jc w:val="both"/>
      </w:pPr>
      <w:r>
        <w:t xml:space="preserve">În motivarea cererii de recurs, a arătat recurentul-reclamant că apreciază hotărârea recurată nelegala si casabila in baza art. 488 pct. 8 CPC, întrucât soluţia se întemeiază eronat </w:t>
      </w:r>
      <w:r>
        <w:t>pe preţul unei "ore de munca" a recurentului-reclamant, aşa cum a fost greşit stabilit, de către expertul judiciar, prin raportare la OG 38 din 2003.</w:t>
      </w:r>
    </w:p>
    <w:p w:rsidR="008E447B" w14:paraId="13BE92F3" w14:textId="77777777">
      <w:pPr>
        <w:ind w:firstLine="567"/>
        <w:jc w:val="both"/>
      </w:pPr>
      <w:r>
        <w:t>Salariul lunar de funcţie al recurentului-reclamant, in perioada de referinţa, s-a calculat prin înmulţirea coeficientului de ierarhizare al funcţiei sale de politie, cu valoarea de referinţa de 197, 33 lei.</w:t>
      </w:r>
    </w:p>
    <w:p w:rsidR="008E447B" w14:paraId="111829DB" w14:textId="77777777">
      <w:pPr>
        <w:ind w:firstLine="567"/>
        <w:jc w:val="both"/>
      </w:pPr>
      <w:r>
        <w:t>"Preţul unei ore de munca" s-a calculat de expert prin împărţirea salariului recurentului-reclamant de funcţie, la numărul de ore normale de munca din luna respectiva.</w:t>
      </w:r>
    </w:p>
    <w:p w:rsidR="008E447B" w14:paraId="670A6529" w14:textId="77777777">
      <w:pPr>
        <w:ind w:firstLine="567"/>
        <w:jc w:val="both"/>
      </w:pPr>
      <w:r>
        <w:t>Atât coeficientul reclamantului de ierarhizare cat si valoarea de referinţa sectoriala de 197,33 lei au izvor in anexa 1 la OG 38/2003, anexa abrogata expres prin Legea 330/2009, cu efect de la 1.01.2010.</w:t>
      </w:r>
    </w:p>
    <w:p w:rsidR="008E447B" w14:paraId="14D7D55A" w14:textId="77777777">
      <w:pPr>
        <w:ind w:firstLine="567"/>
        <w:jc w:val="both"/>
      </w:pPr>
      <w:r>
        <w:t>Apreciază recurentul-reclamant că OG 38/2003 este neconstituţională. O hotărâre judecătoreasca ce se întemeiază pe o norma de drept material care este contrara constituţiei, încalcă principiul supremaţiei constituţiei si deci principiul legalităţii ca principiu de drept material, atrăgând motivul de casare prevăzut de art. 488 pct. 8 CPC.</w:t>
      </w:r>
    </w:p>
    <w:p w:rsidR="008E447B" w14:paraId="3720900C" w14:textId="77777777">
      <w:pPr>
        <w:ind w:firstLine="567"/>
        <w:jc w:val="both"/>
      </w:pPr>
      <w:r>
        <w:t>1 Art.488 pct. 8 CPC : când hotărârea a fost dată cu încălcarea sau aplicarea greşită a normelor de drept material.</w:t>
      </w:r>
    </w:p>
    <w:p w:rsidR="008E447B" w14:paraId="7742F898" w14:textId="77777777">
      <w:pPr>
        <w:ind w:firstLine="567"/>
        <w:jc w:val="both"/>
      </w:pPr>
      <w:r>
        <w:t>In baza dreptului său la un proces echitabil, in baza principiului supremaţiei constituţiei, in baza art.29 alin 1 din Legea 47/1992 privind organizarea si funcţionarea Curţii Constituţionale, a invocat recurentul-reclamant şi a solicitat trimiterea la Curtea Constituţionala, pentru soluţionare, a excepţiei de neconstituţionalitate a OG 38/2003 in integralitatea ei si in special a anexei 1 (abrogate formal de legea 330/2009) la ordonanţa ( anexa care conţine coeficientul de ierarhizare al funcţiei sale si valoarea de referinţa de 197,33 lei, elemente in funcţie de care s-a calculate preţul unei ore de munca a reclamantului de către expertul judiciar) care încalcă prevederile art. 73 alin 3 lit j) din Constituţia din 20032, prevederile art.l15 alin 1) si prevederile art. 154 din Constituţia din 2003.</w:t>
      </w:r>
    </w:p>
    <w:p w:rsidR="008E447B" w14:paraId="5F47D00F" w14:textId="77777777">
      <w:pPr>
        <w:ind w:firstLine="567"/>
        <w:jc w:val="both"/>
      </w:pPr>
      <w:r>
        <w:t>Cu privire la admisibilitatea excepţiei, a arătat recurentul-reclamant că, o verificare a admisibilităţii excepţiei presupune verificarea condiţiei ca norma sa fie "in vigoare" precum si verificarea incidenţei acesteia, in cauza dedusa judecaţii. Din punctul său de vedere, excepţia de neconstituţionalitate a OG 38/2003, in integralitatea ei, si in special a anexei 1 formal abrogate prin legea 330/2009 este admisibila pentru a fi trimisa la Curtea Constituţionala, deoarece:</w:t>
      </w:r>
    </w:p>
    <w:p w:rsidR="008E447B" w14:paraId="6105BE91" w14:textId="77777777">
      <w:pPr>
        <w:ind w:firstLine="567"/>
        <w:jc w:val="both"/>
      </w:pPr>
      <w:r>
        <w:t>1.</w:t>
      </w:r>
      <w:r>
        <w:tab/>
        <w:t>Prin Decizia nr. 766 din 15 iunie 2011, CCR a stabilit că „sintagma «în vigoare» din cuprinsul dispoziţiilor art. 29 alin. (1) Şi ale art. 31 alin. (1) din Legea nr. 47/1992 privind organizarea Si funcţionarea Curţii Constituţionale, republicată, este constituţională în măsura în care se interpretează în sensul că sunt supuse controlului de constituţionalitate Şi legile sau ordonanţele ori dispoziţiile din legi sau din ordonanţe ale căror efecte juridice continuă să se producă şi după ieşirea lor din vigoare".</w:t>
      </w:r>
    </w:p>
    <w:p w:rsidR="008E447B" w14:paraId="346CA8D4" w14:textId="77777777">
      <w:pPr>
        <w:ind w:firstLine="567"/>
        <w:jc w:val="both"/>
      </w:pPr>
      <w:r>
        <w:t>2.</w:t>
      </w:r>
      <w:r>
        <w:tab/>
        <w:t>Salariul de funcţie al reclamantului si preţul unei ore de munca in perioada de referinţa , au fost calculate de expertul judiciar desemnat de instanţa prin înmulţirea a doi factori, "coeficientul de ierarhizare al funcţiei" si "valoarea de referinţa sectoriala", in vigoare de la 31 octombrie 2003</w:t>
      </w:r>
    </w:p>
    <w:p w:rsidR="008E447B" w14:paraId="479592EC" w14:textId="77777777">
      <w:pPr>
        <w:ind w:firstLine="567"/>
        <w:jc w:val="both"/>
      </w:pPr>
      <w:r>
        <w:t>3.</w:t>
      </w:r>
      <w:r>
        <w:tab/>
        <w:t>Valorile coeficienţilor de ierarhizare ai funcţiilor de politie si valoarea de referinţa sectoriala (197,33 lei) care s-au utilizat in perioada 2010-2017, inclusiv după intrarea in vigoare a legii 153/2017, sunt cele menţionate in anexa 1 din OG 38/2003, anexa formal abrogata, dar in realitate ultraactivă după data pretinsei abrogări.</w:t>
      </w:r>
    </w:p>
    <w:p w:rsidR="008E447B" w14:paraId="503253A1" w14:textId="77777777">
      <w:pPr>
        <w:ind w:firstLine="567"/>
        <w:jc w:val="both"/>
      </w:pPr>
      <w:r>
        <w:t>4.</w:t>
      </w:r>
      <w:r>
        <w:tab/>
        <w:t>OG 38/2003 a stat la baza sentinţei recurate.</w:t>
      </w:r>
    </w:p>
    <w:p w:rsidR="008E447B" w14:paraId="35BF36E8" w14:textId="77777777">
      <w:pPr>
        <w:ind w:firstLine="567"/>
        <w:jc w:val="both"/>
      </w:pPr>
      <w:r>
        <w:t>Motive pe fondul excepţiei de neconstituţionalitate a OG 38/2003, in ansamblul ei:</w:t>
      </w:r>
    </w:p>
    <w:p w:rsidR="008E447B" w14:paraId="03AA3FF2" w14:textId="77777777">
      <w:pPr>
        <w:ind w:firstLine="567"/>
        <w:jc w:val="both"/>
      </w:pPr>
      <w:r>
        <w:t>OG 38/2003 aprobata prin Legea 353/2003 încalcă art. 73 alin 3 lit j) din Constituţia din 2003 si este contrara art. 115 alin 1) raportat la art. 73 alin 3 lit j) din Constituţia din 2003.</w:t>
      </w:r>
    </w:p>
    <w:p w:rsidR="008E447B" w14:paraId="3563DC57" w14:textId="77777777">
      <w:pPr>
        <w:ind w:firstLine="567"/>
        <w:jc w:val="both"/>
      </w:pPr>
      <w:r>
        <w:t>Potrivit art. 154 alin 1 din Constituţia din 2003 : "Legile şi toate celelalte acte normative rămân în vigoare, în măsura în care ele nu contravin prezentei Constituţii. " Potrivit art. 73 alin 3 lit j) din Constituţia din 2003: "Prin lege organică se reglementează: (...) j) statutul funcţionarilor publici;</w:t>
      </w:r>
    </w:p>
    <w:p w:rsidR="008E447B" w14:paraId="5308BCA3" w14:textId="77777777">
      <w:pPr>
        <w:ind w:firstLine="567"/>
        <w:jc w:val="both"/>
      </w:pPr>
      <w:r>
        <w:t>Potrivit art. 115 alin 1 din Constituţia din 2003 : (1) Parlamentul poate adopta o lege specială de abilitare a Guvernului pentru a emite ordonanţe în domenii care nu fac obiectul legilor organice.</w:t>
      </w:r>
    </w:p>
    <w:p w:rsidR="008E447B" w14:paraId="11399A8D" w14:textId="77777777">
      <w:pPr>
        <w:ind w:firstLine="567"/>
        <w:jc w:val="both"/>
      </w:pPr>
      <w:r>
        <w:t>Legea 353 din 2003 de aprobare a OG 38/2003 a fost adoptata ca lege ordinara, in baza art. 74 alin 2 si art. 76 alin 2 din vechea Constituţie.</w:t>
      </w:r>
    </w:p>
    <w:p w:rsidR="008E447B" w14:paraId="69EAC4D3" w14:textId="77777777">
      <w:pPr>
        <w:ind w:firstLine="567"/>
        <w:jc w:val="both"/>
      </w:pPr>
      <w:r>
        <w:t>Instituţia delegării legislative este definită de doctrina juridică ca fiind un „transfer al unor atribuţii legislative la autorităţile puterii executive printr-un act de voinţă al Parlamentului ori pe cale constituţională, în situaţii extraordinare" In jurisprudenţa sa, Curtea a subliniat regimul juridic diferenţiat al ordonanţelor si ordonanţelor de urgenta".</w:t>
      </w:r>
    </w:p>
    <w:p w:rsidR="008E447B" w14:paraId="6E8DB5EE" w14:textId="77777777">
      <w:pPr>
        <w:ind w:firstLine="567"/>
        <w:jc w:val="both"/>
      </w:pPr>
      <w:r>
        <w:t xml:space="preserve">In decizia 34 din 1998, instanţa constituţionala a stabilit ca ordonanţa de urgenta nu este o varietate a ordonanţei adoptate in baza unei legi de abilitare, ci o măsura de ordin constituţional ce permite Guvernului sa facă fata unei situaţii extraordinare. </w:t>
      </w:r>
    </w:p>
    <w:p w:rsidR="008E447B" w14:paraId="4D895F26" w14:textId="77777777">
      <w:pPr>
        <w:ind w:firstLine="567"/>
        <w:jc w:val="both"/>
      </w:pPr>
      <w:r>
        <w:t>Ca o prima observaţie importanta, OG 38/2003 si specific, anexa 1, aprobata prin Legea 353/2003 încalcă art. 73 alin 3 lit j) din Constituţia din 2003, întrucât nici Ordonanţa Guvernului 38/2003 si nici legea de aprobare nu au fost norme având caracter de lege "organica".</w:t>
      </w:r>
    </w:p>
    <w:p w:rsidR="008E447B" w14:paraId="2A142007" w14:textId="77777777">
      <w:pPr>
        <w:ind w:firstLine="567"/>
        <w:jc w:val="both"/>
      </w:pPr>
      <w:r>
        <w:t>Prin Decizia nr. 289 din 7 iunie 2005 , Curtea Constituţionala a stabilit că "potrivit art. 73 alin. (3) lit. j) din Constituţie, statutul funcţionarilor publici se stabileşte prin lege organică, iar sistemul de salarizare a acestei categorii de funcţionari ţine de statutul lor". Suplimentar, opinam ca OG 38/2003, prin obiectul specific al reglementarii, respectiv stabilirea funcţiilor de politie precum si salarizarea funcţionarilor publici cu statut special-poliţişti, domeniu rezervat legiuitorului organic, este contrara art.115 alin 1) raportat la art. 73 alin 3 lit j) din Constituţia din 2003.</w:t>
      </w:r>
    </w:p>
    <w:p w:rsidR="008E447B" w14:paraId="611D839C" w14:textId="77777777">
      <w:pPr>
        <w:ind w:firstLine="567"/>
        <w:jc w:val="both"/>
      </w:pPr>
      <w:r>
        <w:t>Tot in decizia CCR nr.289 din 2005, Curtea a statuat că citam: "interdicţia reglementarii în domenii care fac obiectul legilor organice este prevăzuta de alin. (1) al aceluiaşi articol constituţional pentru ordonanţele emise de Guvern în baza unei legi speciale de abilitare adoptate de Parlament."</w:t>
      </w:r>
    </w:p>
    <w:p w:rsidR="008E447B" w14:paraId="444ED40F" w14:textId="77777777">
      <w:pPr>
        <w:ind w:firstLine="567"/>
        <w:jc w:val="both"/>
      </w:pPr>
      <w:r>
        <w:t>Încălcarea art.73 alin 3 lit. j) si a art.115 alin 1 din Constituţie atrage automat, din punctul nostru de vedere, încălcarea prevederilor art. 154 din Constituţia din 2003.</w:t>
      </w:r>
    </w:p>
    <w:p w:rsidR="008E447B" w14:paraId="1F2A1BDE" w14:textId="77777777">
      <w:pPr>
        <w:ind w:firstLine="567"/>
        <w:jc w:val="both"/>
      </w:pPr>
      <w:r>
        <w:t>In vederea admiterii excepţiei de neconstituţionalitate, a solicitat recurentul-reclamant să se aibă în vedere şi următoarele:</w:t>
      </w:r>
    </w:p>
    <w:p w:rsidR="008E447B" w14:paraId="2D7BD403" w14:textId="77777777">
      <w:pPr>
        <w:ind w:firstLine="567"/>
        <w:jc w:val="both"/>
      </w:pPr>
      <w:r>
        <w:t>Este important de menţionat ca aceasta ordonanţa de guvern sta, chiar si in prezent, in anul 2018, la baza sistemului de salarizare al reclamanţilor poliţişti, in condiţiile in care Legile nr.330/2009, nr.284 din 2010 nu s-au aplicat decât parţial, fiind menţinute pana in prezent, valorile coeficienţilor de ierarhizare ai funcţiilor de politie si valoarea de referinţa sectoriala ( 197,33 lei) din anexa formal abrogata de legea 330/2009, din OG 38/2003. Legea 153 din 2017 a preluat la rândul ei, pana la 31 decembrie 2017, salariile poliţiştilor aşa cum sunt determinate pe baza prevederilor abrogate din OG nr. 38/2003.</w:t>
      </w:r>
    </w:p>
    <w:p w:rsidR="008E447B" w14:paraId="0281520F" w14:textId="77777777">
      <w:pPr>
        <w:ind w:firstLine="567"/>
        <w:jc w:val="both"/>
      </w:pPr>
      <w:r>
        <w:t xml:space="preserve">Pentru motivele de mai sus, a solicitat recurentul-reclamant admiterea recursului, casarea sentinţei recurată si rejudecarea in limitele casării. In subsidiar, a solicitat recurentul-reclamant retrimiterea cauzei la instanţa de fond. </w:t>
      </w:r>
    </w:p>
    <w:p w:rsidR="008E447B" w14:paraId="3635AA32" w14:textId="7FA60546">
      <w:pPr>
        <w:ind w:firstLine="567"/>
        <w:jc w:val="both"/>
      </w:pPr>
      <w:r>
        <w:t xml:space="preserve">La data de </w:t>
      </w:r>
      <w:r w:rsidR="0034506E">
        <w:t xml:space="preserve">      </w:t>
      </w:r>
      <w:r>
        <w:t>.</w:t>
      </w:r>
      <w:r w:rsidR="00472552">
        <w:t xml:space="preserve"> </w:t>
      </w:r>
      <w:r>
        <w:t xml:space="preserve">.2018, a formulat cerere de recurs şi pârâtul Inspectoratul de Poliţie al Judeţului </w:t>
      </w:r>
      <w:r w:rsidR="0034506E">
        <w:t xml:space="preserve">                </w:t>
      </w:r>
      <w:r>
        <w:t>, solicitând în temeiul art. 488 alin. (1) pct. 5 şi 8 Cod procedură civilă casarea hotărârii criticate întrucât aceasta a fost dată cu încălcarea şi aplicarea greşită a normelor de drept material.</w:t>
      </w:r>
    </w:p>
    <w:p w:rsidR="008E447B" w14:paraId="43CF021A" w14:textId="77777777">
      <w:pPr>
        <w:ind w:firstLine="567"/>
        <w:jc w:val="both"/>
      </w:pPr>
      <w:r>
        <w:t>Totodată a solicitat recurentul-pârât ca, în baza art. 498 alin. (1) Cod procedură civilă, instanţa să procedeze la rejudecarea procesului în fond, cu consecinţa respingerii acţiunii ca nefondată.</w:t>
      </w:r>
    </w:p>
    <w:p w:rsidR="008E447B" w14:paraId="77908A4A" w14:textId="5A811EFD">
      <w:pPr>
        <w:ind w:firstLine="567"/>
        <w:jc w:val="both"/>
      </w:pPr>
      <w:r>
        <w:t xml:space="preserve">În motivarea cererii de recurs a arătat recurentul-pârât că Sentinţa civilă </w:t>
      </w:r>
      <w:r w:rsidR="0034506E">
        <w:t xml:space="preserve">3/2018 </w:t>
      </w:r>
      <w:r>
        <w:t xml:space="preserve"> a fost dată cu încălcarea şi aplicarea greşită a normelor de drept material, aspect subliniat de următoarele argumente:</w:t>
      </w:r>
    </w:p>
    <w:p w:rsidR="008E447B" w14:paraId="7F1639D5" w14:textId="77777777">
      <w:pPr>
        <w:ind w:firstLine="567"/>
        <w:jc w:val="both"/>
      </w:pPr>
      <w:r>
        <w:t xml:space="preserve">În cursul anului 2014 au apărut două acte normative, respective O.U.G. 37/2014 şi Ordinul M.A.I. 101/2014, care instituiau posibilitatea ca, începând cu 01.07.2014, pentru activitatea desfăşurată de personalul militar, poliţiştii, funcţionarii publici cu statut special din </w:t>
      </w:r>
      <w:r>
        <w:t>sistemul administraţiei penitenciare şi personalul civil din instituţiile publice de apărare, ordine publică şi securitate naţională, în zilele de repaus săptămânal, de sărbători legale şi în celelalte zile în care, în conformitate cu reglementările în vigoare, nu se lucrează, se acordă o majorare de 75% din baza de calcul prevăzută la alin. (4) respective salariu de funcţie la 31.12.2009.</w:t>
      </w:r>
    </w:p>
    <w:p w:rsidR="008E447B" w14:paraId="12B59173" w14:textId="77777777">
      <w:pPr>
        <w:ind w:firstLine="567"/>
        <w:jc w:val="both"/>
      </w:pPr>
      <w:r>
        <w:t>Această majorare a fost prevăzută începând cu 01.07.2014 şi numai în măsura existenţei fondurilor necesare în bugetul ordonatorului principal de credite.</w:t>
      </w:r>
    </w:p>
    <w:p w:rsidR="008E447B" w14:paraId="5A99A000" w14:textId="77777777">
      <w:pPr>
        <w:ind w:firstLine="567"/>
        <w:jc w:val="both"/>
      </w:pPr>
      <w:r>
        <w:t>In acest context, recunoaşterea de către instanţa de fond a existenţei dreptului lai majorare şi dispunerea plăţii acesteia pentru perioada 01.10.2013-01.07.2014 este nelegală, pentru perioada respective actele normative în vigoare neprevăzând această majorare, iar pentru actele normative adoptate ulterior este consacrat principiul neretroactivităţii legii civile.</w:t>
      </w:r>
    </w:p>
    <w:p w:rsidR="008E447B" w14:paraId="529BF4D1" w14:textId="77777777">
      <w:pPr>
        <w:ind w:firstLine="567"/>
        <w:jc w:val="both"/>
      </w:pPr>
      <w:r>
        <w:t>Pe de altă parte, subscrisa, în calitate de ordonator terţiar de credite, trebuie să respecte şi să aplice şi dispoziţiile legale referitoare la încadrarea în creditele bugetare alocate, iar nealocarea acestor credite, pentru majorarea prevăzută de O.U.G.37/2014, începând cu 01.07.2014 a făcut aplicabilă prevederea art. 4, pct. 2 , lit. e din Ordinul MAI 101/2014, respectivele încadrează în cheltuielile cu salariile aprobate prin bugetul ordonatorilor de credite.</w:t>
      </w:r>
    </w:p>
    <w:p w:rsidR="008E447B" w14:paraId="440BE771" w14:textId="556AC598">
      <w:pPr>
        <w:ind w:firstLine="567"/>
        <w:jc w:val="both"/>
      </w:pPr>
      <w:r>
        <w:t xml:space="preserve">Date fiind argumentele mai sus prezentate, a solicitat recurentul-pârât, ca, în temeiul art. 488 alin. (1) pct. 4 şi 8 Cod proc. civ., să se dispună casarea sentinţei civile numărul </w:t>
      </w:r>
      <w:r w:rsidR="0034506E">
        <w:t>3/2018</w:t>
      </w:r>
      <w:r>
        <w:t xml:space="preserve">, pronunţată de Tribunalul </w:t>
      </w:r>
      <w:r w:rsidR="0034506E">
        <w:t xml:space="preserve">                </w:t>
      </w:r>
      <w:r>
        <w:t xml:space="preserve"> în prezenta cauză, întrucât aceasta a fost dată cu încălcarea şi aplicarea greşită a normelor de drept material.</w:t>
      </w:r>
    </w:p>
    <w:p w:rsidR="008E447B" w14:paraId="17BABB03" w14:textId="77777777">
      <w:pPr>
        <w:ind w:firstLine="567"/>
        <w:jc w:val="both"/>
      </w:pPr>
      <w:r>
        <w:t>Totodată a solicitat recurentul-pârât ca, în baza art. 498 alin. (1) Cod procedură civilă, instanţa să procedeze la rejudeearea procesului în fond, cu consecinţa respingerii acţiunii ca nefondată.</w:t>
      </w:r>
    </w:p>
    <w:p w:rsidR="008E447B" w14:paraId="71A51736" w14:textId="77777777">
      <w:pPr>
        <w:ind w:firstLine="567"/>
        <w:jc w:val="both"/>
      </w:pPr>
      <w:r>
        <w:t>In drept, cererea de recurs a fost întemeiată pe dispoziţiile noului Cod de procedură civilă, cele ale Legii contenciosului administrativ numărul 554/ 02.12.2004, şi Legea-cadru nr. 284/ 2010.</w:t>
      </w:r>
    </w:p>
    <w:p w:rsidR="008E447B" w14:paraId="65786A80" w14:textId="77777777">
      <w:pPr>
        <w:ind w:firstLine="567"/>
        <w:jc w:val="both"/>
      </w:pPr>
    </w:p>
    <w:p w:rsidR="008E447B" w14:paraId="579AA251" w14:textId="77777777">
      <w:pPr>
        <w:numPr>
          <w:ilvl w:val="0"/>
          <w:numId w:val="1"/>
        </w:numPr>
        <w:spacing w:after="200" w:line="276" w:lineRule="auto"/>
        <w:ind w:left="0" w:firstLine="567"/>
        <w:contextualSpacing/>
        <w:jc w:val="both"/>
        <w:rPr>
          <w:rStyle w:val="Fontdeparagrafimplicit"/>
          <w:b/>
        </w:rPr>
      </w:pPr>
      <w:r>
        <w:rPr>
          <w:rStyle w:val="Fontdeparagrafimplicit"/>
          <w:b/>
        </w:rPr>
        <w:t>Poziţia procesuală a părţii adverse</w:t>
      </w:r>
    </w:p>
    <w:p w:rsidR="008E447B" w14:paraId="6251D3E4" w14:textId="77777777">
      <w:pPr>
        <w:spacing w:after="200" w:line="276" w:lineRule="auto"/>
        <w:ind w:firstLine="567"/>
        <w:contextualSpacing/>
        <w:jc w:val="both"/>
      </w:pPr>
      <w:r>
        <w:t>Părţile nu au depus întâmpinări în cauză.</w:t>
      </w:r>
    </w:p>
    <w:p w:rsidR="008E447B" w14:paraId="783AC331" w14:textId="77777777">
      <w:pPr>
        <w:spacing w:after="200" w:line="276" w:lineRule="auto"/>
        <w:ind w:firstLine="567"/>
        <w:contextualSpacing/>
        <w:jc w:val="both"/>
        <w:rPr>
          <w:rStyle w:val="Fontdeparagrafimplicit"/>
          <w:b/>
        </w:rPr>
      </w:pPr>
    </w:p>
    <w:p w:rsidR="008E447B" w14:paraId="015F2830" w14:textId="77777777">
      <w:pPr>
        <w:numPr>
          <w:ilvl w:val="0"/>
          <w:numId w:val="1"/>
        </w:numPr>
        <w:spacing w:after="200" w:line="276" w:lineRule="auto"/>
        <w:ind w:left="0" w:firstLine="567"/>
        <w:contextualSpacing/>
        <w:jc w:val="both"/>
        <w:rPr>
          <w:rStyle w:val="Fontdeparagrafimplicit"/>
          <w:b/>
        </w:rPr>
      </w:pPr>
      <w:r>
        <w:rPr>
          <w:rStyle w:val="Fontdeparagrafimplicit"/>
          <w:b/>
        </w:rPr>
        <w:t>Alte aspecte procesuale</w:t>
      </w:r>
    </w:p>
    <w:p w:rsidR="008E447B" w14:paraId="3A9576CE" w14:textId="77777777">
      <w:pPr>
        <w:ind w:firstLine="567"/>
        <w:jc w:val="both"/>
      </w:pPr>
      <w:r>
        <w:t>În soluţionarea căii de atac în privinţa căreia a fost legal învestită, Curtea nu a administrat probe noi.</w:t>
      </w:r>
    </w:p>
    <w:p w:rsidR="008E447B" w14:paraId="12FB8D9D" w14:textId="77777777">
      <w:pPr>
        <w:ind w:firstLine="567"/>
        <w:jc w:val="both"/>
      </w:pPr>
    </w:p>
    <w:p w:rsidR="008E447B" w14:paraId="577477A1" w14:textId="77777777">
      <w:pPr>
        <w:numPr>
          <w:ilvl w:val="0"/>
          <w:numId w:val="1"/>
        </w:numPr>
        <w:spacing w:after="200" w:line="276" w:lineRule="auto"/>
        <w:ind w:left="0" w:firstLine="567"/>
        <w:contextualSpacing/>
        <w:jc w:val="both"/>
        <w:rPr>
          <w:rStyle w:val="Fontdeparagrafimplicit"/>
          <w:b/>
        </w:rPr>
      </w:pPr>
      <w:r>
        <w:rPr>
          <w:rStyle w:val="Fontdeparagrafimplicit"/>
          <w:b/>
        </w:rPr>
        <w:t>Analiza instanţei de recurs</w:t>
      </w:r>
    </w:p>
    <w:p w:rsidR="008E447B" w14:paraId="2A1E5327" w14:textId="77777777">
      <w:pPr>
        <w:pStyle w:val="Corptext"/>
        <w:ind w:firstLine="567"/>
        <w:rPr>
          <w:rStyle w:val="Fontdeparagrafimplicit"/>
          <w:i/>
        </w:rPr>
      </w:pPr>
      <w:r>
        <w:rPr>
          <w:rStyle w:val="Fontdeparagrafimplicit"/>
          <w:i/>
        </w:rPr>
        <w:t xml:space="preserve">5.1. Având a analiza caracterul întemeiat al cererii de sesizare a Curţii Constituţionale, Curtea reţine că, potrivit dispoziţiilor art. 29 din Legea nr. 47/1992 republicată: </w:t>
      </w:r>
    </w:p>
    <w:p w:rsidR="008E447B" w14:paraId="6868B5B7" w14:textId="77777777">
      <w:pPr>
        <w:pStyle w:val="Corptext"/>
        <w:ind w:firstLine="567"/>
      </w:pPr>
      <w:r>
        <w:t>„(1) Curtea Constituţională decide asupra excepţiilor ridicate în faţa instanţelor judecătoreşti sau de arbitraj comercial privind neconstituţionalitatea unei legi sau ordonanţe ori a unei dispoziţii dintr-o lege sau dintr-o ordonanţă în vigoare*), care are legătură cu soluţionarea cauzei în orice fază a litigiului şi oricare ar fi obiectul acestuia.</w:t>
      </w:r>
    </w:p>
    <w:p w:rsidR="008E447B" w14:paraId="14101050" w14:textId="77777777">
      <w:pPr>
        <w:pStyle w:val="Corptext"/>
        <w:ind w:firstLine="567"/>
      </w:pPr>
      <w:r>
        <w:t xml:space="preserve">    (2) Excepţia poate fi ridicată la cererea uneia dintre părţi sau, din oficiu, de către instanţa de judecată ori de arbitraj comercial. De asemenea, excepţia poate fi ridicată de procuror în faţa instanţei de judecată, în cauzele la care participă.</w:t>
      </w:r>
    </w:p>
    <w:p w:rsidR="008E447B" w14:paraId="474E96F1" w14:textId="77777777">
      <w:pPr>
        <w:pStyle w:val="Corptext"/>
        <w:ind w:firstLine="567"/>
      </w:pPr>
      <w:r>
        <w:t xml:space="preserve">    (3) Nu pot face obiectul excepţiei prevederile constatate ca fiind neconstituţionale printr-o decizie anterioară a Curţii Constituţionale.</w:t>
      </w:r>
    </w:p>
    <w:p w:rsidR="008E447B" w14:paraId="2D017923" w14:textId="77777777">
      <w:pPr>
        <w:pStyle w:val="Corptext"/>
        <w:ind w:firstLine="567"/>
      </w:pPr>
      <w:r>
        <w:t xml:space="preserve">    (4) Sesizarea Curţii Constituţionale se dispune de către instanţa în faţa căreia s-a ridicat excepţia de neconstituţionalitate, printr-o încheiere care va cuprinde punctele de vedere ale părţilor, opinia instanţei asupra excepţiei, şi va fi însoţită de dovezile depuse de părţi. Dacă excepţia a fost ridicată din oficiu, încheierea trebuie motivată, cuprinzând şi susţinerile părţilor, precum şi dovezile necesare. Odată cu încheierea de sesizare, instanţa de judecată va </w:t>
      </w:r>
      <w:r>
        <w:t>trimite Curţii Constituţionale şi numele părţilor din proces cuprinzând datele necesare pentru îndeplinirea procedurii de citare a acestora.</w:t>
      </w:r>
    </w:p>
    <w:p w:rsidR="008E447B" w14:paraId="2C910889" w14:textId="77777777">
      <w:pPr>
        <w:pStyle w:val="Corptext"/>
        <w:ind w:firstLine="567"/>
      </w:pPr>
      <w:r>
        <w:t xml:space="preserve">    (5) Dacă excepţia este inadmisibilă, fiind contrară prevederilor alin. (1), (2) sau (3), instanţa respinge printr-o încheiere motivată cererea de sesizare a Curţii Constituţionale. Încheierea poate fi atacată numai cu recurs la instanţa imediat superioară, în termen de 48 de ore de la pronunţare. Recursul se judecă în termen de 3 zile.”</w:t>
      </w:r>
    </w:p>
    <w:p w:rsidR="008E447B" w14:paraId="53013AEC" w14:textId="77777777">
      <w:pPr>
        <w:pStyle w:val="Corptext"/>
        <w:ind w:firstLine="567"/>
      </w:pPr>
      <w:r>
        <w:t xml:space="preserve">Interpretând aceste dispoziţii legale, Curtea reţine că, pentru ca excepţia de neconstituţionalitate să fie admisibilă şi să poată fi sesizată Curtea Constituţională cu soluţionarea ei, este necesar a fi îndeplinite cumulativ următoarele condiţii: </w:t>
      </w:r>
    </w:p>
    <w:p w:rsidR="008E447B" w14:paraId="713E50B0" w14:textId="77777777">
      <w:pPr>
        <w:pStyle w:val="Corptext"/>
        <w:ind w:firstLine="567"/>
      </w:pPr>
      <w:r>
        <w:t xml:space="preserve">1) excepţia de neconstituţionalitate să fie ridicată în faţa instanţelor judecătoreşti sau de arbitraj comercial; </w:t>
      </w:r>
    </w:p>
    <w:p w:rsidR="008E447B" w14:paraId="7EAA71C9" w14:textId="77777777">
      <w:pPr>
        <w:pStyle w:val="Corptext"/>
        <w:ind w:firstLine="567"/>
      </w:pPr>
      <w:r>
        <w:t xml:space="preserve">2) excepţia de neconstituţionalitate să aibă ca obiect legi sau ordonanţe ori dispoziţii dintr-o lege sau ordonanţă în vigoare; </w:t>
      </w:r>
    </w:p>
    <w:p w:rsidR="008E447B" w14:paraId="6BDC23FA" w14:textId="77777777">
      <w:pPr>
        <w:pStyle w:val="Corptext"/>
        <w:ind w:firstLine="567"/>
      </w:pPr>
      <w:r>
        <w:t xml:space="preserve">3) legea sau ordonanţa ori dispoziţiile dintr-o lege sau ordonanţă să aibă legătură cu soluţionarea cauzei în orice fază a litigiului şi oricare ar fi obiectul acestuia; </w:t>
      </w:r>
    </w:p>
    <w:p w:rsidR="008E447B" w14:paraId="775D26AD" w14:textId="77777777">
      <w:pPr>
        <w:pStyle w:val="Corptext"/>
        <w:ind w:firstLine="567"/>
      </w:pPr>
      <w:r>
        <w:t>4) excepţia de neconstituţionalitate să nu aibă ca obiect prevederi constatate ca fiind neconstituţionale printr-o decizie anterioară a Curţii Constituţionale.</w:t>
      </w:r>
    </w:p>
    <w:p w:rsidR="008E447B" w14:paraId="4BA1BA9A" w14:textId="1EDC9D95">
      <w:pPr>
        <w:pStyle w:val="Corptext"/>
        <w:ind w:firstLine="567"/>
      </w:pPr>
      <w:r>
        <w:t xml:space="preserve">În cauză, recurentul-reclamant </w:t>
      </w:r>
      <w:r w:rsidR="0034506E">
        <w:t xml:space="preserve">2 </w:t>
      </w:r>
      <w:r>
        <w:t xml:space="preserve"> a susţinut neconstituţionalitatea OG nr. 38/2003 în ansamblul său, pe motiv că acesta ar fi fost adoptată cu încălcarea art. 73 alin. (3) lit. j) din Constituţie şi art. 115 alin. (1), mai precis pe motiv că ar fi fost adoptată într-un domeniu care face obiectul exclusiv al legilor organice.</w:t>
      </w:r>
    </w:p>
    <w:p w:rsidR="008E447B" w14:paraId="16807440" w14:textId="77777777">
      <w:pPr>
        <w:pStyle w:val="Corptext"/>
        <w:ind w:firstLine="567"/>
      </w:pPr>
      <w:r>
        <w:t>Or, Curtea constată că nu s-a dovedit incidenţa pe care aceste dispoziţii o au în cauză şi în ce măsură admiterea excepţiei de neconstituţionalitate ar atrage o soluţie diferită pe fondul cauzei.</w:t>
      </w:r>
    </w:p>
    <w:p w:rsidR="008E447B" w14:paraId="58F8679B" w14:textId="77777777">
      <w:pPr>
        <w:pStyle w:val="Corptext"/>
        <w:ind w:firstLine="567"/>
      </w:pPr>
      <w:r>
        <w:t>În astfel de condiţii, dat fiind caracterul inadmisibil al excepţiei de neconstituţionalitate, se respinge ca neîntemeiată cererea de sesizare a Curţii Constituţionale cu o excepţie de neconstituţionalitate fără relevanţă pentru cauză.</w:t>
      </w:r>
    </w:p>
    <w:p w:rsidR="008E447B" w14:paraId="4CAB9387" w14:textId="77777777">
      <w:pPr>
        <w:pStyle w:val="Corptext"/>
        <w:ind w:firstLine="567"/>
      </w:pPr>
    </w:p>
    <w:p w:rsidR="008E447B" w14:paraId="6D47834C" w14:textId="77777777">
      <w:pPr>
        <w:pStyle w:val="Corptext"/>
        <w:ind w:firstLine="567"/>
        <w:rPr>
          <w:rStyle w:val="Fontdeparagrafimplicit"/>
        </w:rPr>
      </w:pPr>
      <w:r>
        <w:t xml:space="preserve"> </w:t>
      </w:r>
      <w:r>
        <w:rPr>
          <w:rStyle w:val="Fontdeparagrafimplicit"/>
          <w:i/>
        </w:rPr>
        <w:t>5.2. Analiza asupra recursurilor formulate</w:t>
      </w:r>
    </w:p>
    <w:p w:rsidR="008E447B" w14:paraId="6B84F1F8" w14:textId="77777777">
      <w:pPr>
        <w:pStyle w:val="Corptext"/>
        <w:ind w:firstLine="567"/>
        <w:rPr>
          <w:rStyle w:val="Fontdeparagrafimplicit"/>
        </w:rPr>
      </w:pPr>
    </w:p>
    <w:p w:rsidR="008E447B" w14:paraId="66439E91" w14:textId="6A3B42A1">
      <w:pPr>
        <w:pStyle w:val="Corptext"/>
        <w:ind w:firstLine="567"/>
      </w:pPr>
      <w:r>
        <w:t xml:space="preserve">În cauză, a formulat recurs atât pârâtul INSPECTORATUL DE POLIŢIE AL JUDEŢULUI </w:t>
      </w:r>
      <w:r w:rsidR="0034506E">
        <w:t xml:space="preserve">                </w:t>
      </w:r>
      <w:r>
        <w:t xml:space="preserve">, cât şi reclamantul </w:t>
      </w:r>
      <w:r w:rsidR="0034506E">
        <w:t xml:space="preserve">2 </w:t>
      </w:r>
      <w:r>
        <w:t>, ambele întemeiate pe dispoziţiile art. 488 alin. (1) pct. 8 din Codul de procedură civilă.</w:t>
      </w:r>
    </w:p>
    <w:p w:rsidR="008E447B" w14:paraId="4B271B09" w14:textId="77777777">
      <w:pPr>
        <w:pStyle w:val="Corptext"/>
        <w:ind w:firstLine="567"/>
      </w:pPr>
      <w:r>
        <w:t>Având a analiza în continuare motivul de casare prevăzut de art. 488 alin. (1) pct. 8 din Codul de procedură civilă, astfel cum rezultă din criticile expuse de pârât, Curtea constată că acesta este întemeiat, sentinţa recurată fiind dată cu aplicarea greşită a normelor de drept material incidente în speţă.</w:t>
      </w:r>
    </w:p>
    <w:p w:rsidR="008E447B" w14:paraId="3644F380" w14:textId="77777777">
      <w:pPr>
        <w:pStyle w:val="Corptext"/>
        <w:ind w:firstLine="567"/>
      </w:pPr>
      <w:r>
        <w:t xml:space="preserve">Prin acţiunea dedusă judecăţii, s-a solicitat obligarea autorităţii publice intimate la plata majorării de 75% din salariul de bază pentru munca prestată în zilele de repaus săptămânal, in cadrul schimbului normal de lucru, începând cu data intrării în vigoare a OUG nr. 37 /2014 pentru modificarea şi completarea art. 13 din Ordonanţa de urgenţă a Guvernului nr. 103 /2013 privind salarizarea personalului plătit din fonduri publice în anul 2014, precum şi alte măsuri în domeniul cheltuielilor publice.  </w:t>
      </w:r>
    </w:p>
    <w:p w:rsidR="008E447B" w14:paraId="0E3E3711" w14:textId="77777777">
      <w:pPr>
        <w:pStyle w:val="Corptext"/>
        <w:ind w:firstLine="567"/>
      </w:pPr>
      <w:r>
        <w:t xml:space="preserve">Din analiza art.  I pct. 2 alin. 5 al  OUG nr. 37 /2014, rezultă că art. 13 din Ordonanţa de urgenţă a Guvernului nr. 103 /2013 privind salarizarea personalului plătit din fonduri publice în anul 2014, precum şi alte măsuri în domeniul cheltuielilor publice, publicată în Monitorul Oficial al României, Partea I, nr. 703 din 15 noiembrie 2013, aprobată cu completări prin Legea nr. 28/2014, cu modificările şi completările ulterioare, se modifică şi se completează după cum urmează: </w:t>
      </w:r>
    </w:p>
    <w:p w:rsidR="008E447B" w14:paraId="03D3382F" w14:textId="77777777">
      <w:pPr>
        <w:pStyle w:val="Corptext"/>
        <w:ind w:firstLine="567"/>
      </w:pPr>
      <w:r>
        <w:t xml:space="preserve">„5)Prin excepţie de la prevederile art. 9 alin. (1), pentru activitatea desfăşurată de personalul militar, poliţiştii, funcţionarii publici cu statut special din sistemul administraţiei penitenciare şi personalul civil din instituţiile publice de apărare, ordine publică şi securitate naţională, în zilele de repaus săptămânal, de sărbători legale şi în celelalte zile în care, în </w:t>
      </w:r>
      <w:r>
        <w:t>conformitate cu reglementările în vigoare, nu se lucrează, se acordă o majorare de 75% din baza de calcul prevăzută la alin. (4).</w:t>
      </w:r>
    </w:p>
    <w:p w:rsidR="008E447B" w14:paraId="591F0E9B" w14:textId="77777777">
      <w:pPr>
        <w:pStyle w:val="Corptext"/>
        <w:ind w:firstLine="567"/>
      </w:pPr>
      <w:r>
        <w:t>(6) Dreptul prevăzut la alin. (5) se stabileşte proporţional cu timpul efectiv lucrat în zilele respective şi se determină pe baza raportului dintre baza de calcul şi durata normală a timpului de lucru.</w:t>
      </w:r>
    </w:p>
    <w:p w:rsidR="008E447B" w14:paraId="17803E9B" w14:textId="77777777">
      <w:pPr>
        <w:pStyle w:val="Corptext"/>
        <w:ind w:firstLine="567"/>
      </w:pPr>
      <w:r>
        <w:t>(7 Dispoziţiile alin. (5) şi (6) nu se aplică personalului participant la misiunile şi operaţiile prevăzute la art. 2 alin. (1) din Legea nr. 121/2011 privind participarea forţelor armate la misiuni şi operaţii în afara teritoriului statului român, personalului trimis în misiune permanentă în străinătate, personalului detaşat în condiţiile Legii nr. 105/2012 privind detaşarea experţilor naţionali la instituţiile şi organismele Uniunii Europene, precum şi poliţiştilor aflaţi în situaţii similare.</w:t>
      </w:r>
    </w:p>
    <w:p w:rsidR="008E447B" w14:paraId="2DEE822C" w14:textId="77777777">
      <w:pPr>
        <w:pStyle w:val="Corptext"/>
        <w:ind w:firstLine="567"/>
      </w:pPr>
      <w:r>
        <w:t>(8) Condiţiile de acordare a dreptului prevăzut la alin. (5) şi (6) se stabilesc prin ordin al conducătorilor instituţiilor publice de apărare, ordine publică şi securitate naţională."</w:t>
      </w:r>
    </w:p>
    <w:p w:rsidR="008E447B" w14:paraId="32049EDD" w14:textId="77777777">
      <w:pPr>
        <w:pStyle w:val="Corptext"/>
        <w:ind w:firstLine="567"/>
      </w:pPr>
      <w:r>
        <w:t>În acest sens, a fost emis Ordinul MAI nr. 101 /2014 privind condiţiile de stabilire a majorării salariale pentru personalul Ministerului Afacerilor Interne care desfăşoară activităţi în zilele de repaus săptămânal, de sărbători legale şi în celelalte zile în care, în conformitate cu reglementările în vigoare, nu se lucrează, precum şi activităţile pentru care se acordă acest drept, care prevede, la art. 3 şi art. 4 :</w:t>
      </w:r>
    </w:p>
    <w:p w:rsidR="008E447B" w14:paraId="764F45B2" w14:textId="77777777">
      <w:pPr>
        <w:pStyle w:val="Corptext"/>
        <w:ind w:firstLine="567"/>
      </w:pPr>
      <w:r>
        <w:t>„ART. 3</w:t>
      </w:r>
    </w:p>
    <w:p w:rsidR="008E447B" w14:paraId="5A31AD75" w14:textId="77777777">
      <w:pPr>
        <w:pStyle w:val="Corptext"/>
        <w:ind w:firstLine="567"/>
      </w:pPr>
      <w:r>
        <w:t>(1) Personalul M.A.I. care desfăşoară activităţi în zilele de repaus săptămânal, de sărbători legale şi în celelalte zile în care, în conformitate cu reglementările în vigoare, nu se lucrează beneficiază de o majorare de 75% din solda lunară/salariul de bază prevăzută/prevăzut de legislaţia în vigoare la data de 31 decembrie 2009, denumită în continuare majorare, dacă timpul astfel lucrat nu se poate compensa cu timp liber corespunzător, în condiţiile Ordonanţei de urgenţă a Guvernului nr. 103/2013, aprobată cu completări prin Legea nr. 28/2014, cu modificările şi completările ulterioare.</w:t>
      </w:r>
    </w:p>
    <w:p w:rsidR="008E447B" w14:paraId="3ED83BA5" w14:textId="77777777">
      <w:pPr>
        <w:pStyle w:val="Corptext"/>
        <w:ind w:firstLine="567"/>
      </w:pPr>
      <w:r>
        <w:t>(2) Compensarea cu timp liber corespunzător se efectuează prin acordarea aceluiaşi număr de ore libere cu numărul de ore lucrate, astfel:</w:t>
      </w:r>
    </w:p>
    <w:p w:rsidR="008E447B" w14:paraId="0874F021" w14:textId="77777777">
      <w:pPr>
        <w:pStyle w:val="Corptext"/>
        <w:ind w:firstLine="567"/>
      </w:pPr>
      <w:r>
        <w:t>a) în condiţiile art. 122 şi 137 din Legea nr. 53/2003 - Codul muncii, republicată, cu modificările şi completările ulterioare, pentru activitatea desfăşurată în zilele de repaus săptămânal; sau</w:t>
      </w:r>
    </w:p>
    <w:p w:rsidR="008E447B" w14:paraId="092CC489" w14:textId="77777777">
      <w:pPr>
        <w:pStyle w:val="Corptext"/>
        <w:ind w:firstLine="567"/>
      </w:pPr>
      <w:r>
        <w:t>b) în condiţiile art. 142 alin. (1) din Legea nr. 53/2003, republicată, cu modificările şi completările ulterioare, pentru activitatea desfăşurată în zilele de sărbători legale şi în celelalte zile în care, în conformitate cu reglementările în vigoare, nu se lucrează.</w:t>
      </w:r>
    </w:p>
    <w:p w:rsidR="008E447B" w14:paraId="157C6522" w14:textId="77777777">
      <w:pPr>
        <w:pStyle w:val="Corptext"/>
        <w:ind w:firstLine="567"/>
      </w:pPr>
      <w:r>
        <w:t>(3) Majorarea se stabileşte proporţional cu timpul efectiv lucrat în zilele respective, prin raportarea soldei lunare/salariului de bază prevăzute/prevăzut de legislaţia în vigoare la data de 31 decembrie 2009 la durata programului normal de lucru din luna în care s-au desfăşurat activităţile.</w:t>
      </w:r>
    </w:p>
    <w:p w:rsidR="008E447B" w14:paraId="60408704" w14:textId="77777777">
      <w:pPr>
        <w:pStyle w:val="Corptext"/>
        <w:ind w:firstLine="567"/>
      </w:pPr>
      <w:r>
        <w:t>(4) Dacă activitatea desfăşurată în zilele de repaus săptămânal, de sărbători legale şi în celelalte zile în care, în conformitate cu reglementările în vigoare, nu se lucrează nu a putut fi compensată cu timp liber corespunzător, în condiţiile alin. (2), majorarea se plăteşte prin adăugarea sumei rezultate potrivit alin. (3), după caz:</w:t>
      </w:r>
    </w:p>
    <w:p w:rsidR="008E447B" w14:paraId="2688911A" w14:textId="77777777">
      <w:pPr>
        <w:pStyle w:val="Corptext"/>
        <w:ind w:firstLine="567"/>
      </w:pPr>
      <w:r>
        <w:t>a) la drepturile salariale cuvenite în luna în care se efectuează plata, pentru activitatea care se desfăşoară în ture sau schimburi;</w:t>
      </w:r>
    </w:p>
    <w:p w:rsidR="008E447B" w14:paraId="60335475" w14:textId="77777777">
      <w:pPr>
        <w:pStyle w:val="Corptext"/>
        <w:ind w:firstLine="567"/>
      </w:pPr>
      <w:r>
        <w:t>b) la drepturile salariale cuvenite în luna în care se efectuează plata şi la drepturile salariale corespunzătoare activităţii desfăşurate în zilele respective peste durata normală a timpului de muncă, indiferent de modul de organizare a programului de lucru.</w:t>
      </w:r>
    </w:p>
    <w:p w:rsidR="008E447B" w14:paraId="2C3BE752" w14:textId="77777777">
      <w:pPr>
        <w:pStyle w:val="Corptext"/>
        <w:ind w:firstLine="567"/>
      </w:pPr>
      <w:r>
        <w:t>ART. 4</w:t>
      </w:r>
    </w:p>
    <w:p w:rsidR="008E447B" w14:paraId="1125EDF6" w14:textId="77777777">
      <w:pPr>
        <w:pStyle w:val="Corptext"/>
        <w:ind w:firstLine="567"/>
      </w:pPr>
      <w:r>
        <w:t>(1) Stabilirea personalului M.A.I. care poate beneficia de majorare se face prin ordin/dispoziţie de personal întocmit/întocmită de structura de resurse umane cu nominalizarea întregului personal din cadrul unităţii.”</w:t>
      </w:r>
    </w:p>
    <w:p w:rsidR="008E447B" w14:paraId="7726C08B" w14:textId="77777777">
      <w:pPr>
        <w:pStyle w:val="Corptext"/>
        <w:ind w:firstLine="567"/>
      </w:pPr>
      <w:r>
        <w:t xml:space="preserve">Avându-se în vedere şi dispoziţiile art. 122, 137 şi 142 din Codul muncii, precum şi dispoziţiile art. 39 din Legea nr.  360 /2002, rezultă că serviciul poliţienesc are specificitate în raport cu un alt serviciu prestat de orice alt funcţionar public, respectiv are continuitate, </w:t>
      </w:r>
      <w:r>
        <w:t xml:space="preserve">caracter permanent. Zilele de repaus săptămânal se acordă, poliţiştilor, de regulă sâmbăta şi duminica, ceea ce înseamnă că nu este obligatorie acordarea acestor zile tuturor poliţiştilor numai sâmbăta şi duminica, astfel că zilele de compensare cu timp liber se pot acorda şi în timpul săptămânii. </w:t>
      </w:r>
    </w:p>
    <w:p w:rsidR="008E447B" w14:paraId="24B58DF5" w14:textId="77777777">
      <w:pPr>
        <w:pStyle w:val="Corptext"/>
        <w:ind w:firstLine="567"/>
      </w:pPr>
    </w:p>
    <w:p w:rsidR="008E447B" w14:paraId="6413B469" w14:textId="77777777">
      <w:pPr>
        <w:pStyle w:val="Corptext"/>
        <w:ind w:firstLine="567"/>
      </w:pPr>
      <w:r>
        <w:t xml:space="preserve">În această ordine de idei, Curtea subliniază că intimaţilor li se aplică normele speciale cuprinse în Legea nr. 360/2002 privind Statutul poliţistului, modificată şi completată, în alte legi/acte normative cu putere de lege cu caracter special, inclusiv OUG nr. 37/2014, precum şi în reglementări de drept administrativ, domeniile reglementate de aceste acte normative nefiind supuse, în principiu, normelor de drept al muncii, care se pot aplica doar în completare (atunci când normele speciale nu reglementează exhaustiv domeniul) şi numai în măsura în care nu contravin legislaţiei specifice funcţiei publice. </w:t>
      </w:r>
    </w:p>
    <w:p w:rsidR="008E447B" w14:paraId="62FD1A20" w14:textId="77777777">
      <w:pPr>
        <w:pStyle w:val="Corptext"/>
        <w:ind w:firstLine="567"/>
      </w:pPr>
      <w:r>
        <w:t xml:space="preserve">Astfel, conform art. 137 alin. 1 şi 2 din Codul muncii, repausul săptămânal se acordă în două zile consecutive, de regulă sâmbăta şi duminica, iar, în cazul în care repausul în zilele de sâmbătă şi duminică ar prejudicia interesul public sau desfăşurarea normală a activităţii, repausul săptămânal poate fi acordat şi în alte zile stabilite prin contractul colectiv de muncă aplicabil sau prin regulamentul intern. De asemenea, art. 141 din Codul muncii prevede că dispoziţiile art. 139, conform cărora nu se lucrează în zilele de sărbători legale, nu se aplică în locurile de muncă în care activitatea nu poate fi întreruptă datorită caracterului procesului de producţie sau specificului activităţii. </w:t>
      </w:r>
    </w:p>
    <w:p w:rsidR="008E447B" w14:paraId="22E032BD" w14:textId="77777777">
      <w:pPr>
        <w:pStyle w:val="Corptext"/>
        <w:ind w:firstLine="567"/>
      </w:pPr>
      <w:r>
        <w:t>Aceste aspecte au fost analizate prin decizia nr. 422/24.10.2013 a Curţii Constituţionale, în considerentele căreia s-a reţinut că, potrivit art. 17 alin. 2 din Directiva 2003/88/CE a Parlamentului European şi a Consiliului din 4 noiembrie 2003 privind anumite aspecte ale organizării timpului de lucru, pot fi admise derogări de la perioadele obligatorii de repaus, derogări ce pot fi adoptate prin acte cu putere de lege şi acte administrative sau prin convenţii colective sau acorduri încheiate între partenerii sociali, cu condiţia ca lucrătorii în cauză să beneficieze de perioade de repaus echivalente compensatorii sau dacă, în cazuri excepţionale în care nu este posibil, din motive obiective, să se acorde asemenea perioade de repaus echivalente compensatorii, lucrătorii să beneficieze de protecţie adecvată. O astfel de derogare se poate face, potrivit alin. 3 lit. b) al aceluiaşi articol, în cazul activităţilor de securitate şi supraveghere care necesită prezenţa permanentă în scopul de a proteja bunuri şi persoane, în special gardieni, paznici sau firme de pază şi securitate.</w:t>
      </w:r>
    </w:p>
    <w:p w:rsidR="008E447B" w14:paraId="0E0752D5" w14:textId="77777777">
      <w:pPr>
        <w:pStyle w:val="Corptext"/>
        <w:ind w:firstLine="567"/>
      </w:pPr>
      <w:r>
        <w:t xml:space="preserve">În speţă, nu sunt aplicabile dispoziţiile Codului muncii privind regula în materie de repaus şi timp normal de lucru, ci cele speciale privind situaţiile de excepţie, în condiţiile în care există reglementări speciale, derogatorii, privind persoanele care exercită funcţii publice. </w:t>
      </w:r>
    </w:p>
    <w:p w:rsidR="008E447B" w14:paraId="4A016482" w14:textId="77777777">
      <w:pPr>
        <w:pStyle w:val="Corptext"/>
        <w:ind w:firstLine="567"/>
      </w:pPr>
      <w:r>
        <w:t xml:space="preserve">Astfel, în cauză se aplică prioritar dispoziţiile Legii nr. 360/2002 privind Statutul poliţistului, care prevăd, la art. 39, următoarele: „(1) Durata programului de lucru al poliţistului este de 8 ore pe zi şi 5 zile pe săptămână, stabilită astfel încât să se asigure continuitatea serviciului poliţienesc şi refacerea capacităţii de muncă, în condiţiile prevăzute de lege. (2) Programul de lucru, formele de organizare a acestuia şi acordarea repausului săptămânal se stabilesc prin ordin al ministrului administraţiei şi internelor, după consultarea Corpului Naţional al Poliţiştilor. (3) Dacă interesele serviciului o impun, acordarea zilelor de odihnă săptămânale ce se cuvin poliţistului poate fi amânată, în mod excepţional, cel mult de două ori într-o lună.” De asemenea, potrivit art. 44 din acelaşi act normativ, „(1) Serviciul poliţienesc are caracter permanent şi obligatoriu. (2) Poliţistul este obligat să se prezinte la programul de lucru stabilit, precum şi în afara acestuia, în situaţii temeinic justificate, pentru îndeplinirea atribuţiilor de serviciu, cu compensarea timpului lucrat, potrivit legii”. </w:t>
      </w:r>
    </w:p>
    <w:p w:rsidR="008E447B" w14:paraId="3279B2BC" w14:textId="77777777">
      <w:pPr>
        <w:pStyle w:val="Corptext"/>
        <w:ind w:firstLine="567"/>
      </w:pPr>
      <w:r>
        <w:t xml:space="preserve">Totodată, prin art. 2 alin. 1 din OMAI nr. 577/2008 s-a prevăzut că durata programului de lucru al poliţistului este, de regulă, 8 ore pe zi şi 40 de ore pe săptămână, cu un repaus săptămânal de 2 zile, de regulă sâmbăta şi duminica. Totodată, potrivit art. 14 alin. 1 şi 2 din acelaşi ordin, caracterul permanent şi obligatoriu al serviciului poliţienesc obligă poliţistul ca pentru îndeplinirea atribuţiilor de serviciu să se prezinte la programul de lucru stabilit, precum şi în afara acestuia, în situaţii temeinic justificate, programul de lucru fiind stabilit astfel încât </w:t>
      </w:r>
      <w:r>
        <w:t xml:space="preserve">să se asigure continuitatea serviciului poliţienesc şi refacerea capacităţii de muncă, în condiţiile prevăzute de lege. </w:t>
      </w:r>
    </w:p>
    <w:p w:rsidR="008E447B" w14:paraId="01CA922B" w14:textId="77777777">
      <w:pPr>
        <w:pStyle w:val="Corptext"/>
        <w:ind w:firstLine="567"/>
      </w:pPr>
      <w:r>
        <w:t xml:space="preserve">Curtea constată că art. 9 din OUG nr. 103/2013 prevede: " (1) În anul 2014, munca suplimentară efectuată peste durata normală a timpului de lucru de către personalul din sectorul bugetar încadrat în funcţii de execuţie sau de conducere, precum şi munca prestată în zilele de repaus săptămânal, de sărbători legale şi în celelalte zile în care, în conformitate cu reglementările în vigoare, nu se lucrează, în cadrul schimbului normal de lucru, se vor compensa numai cu timp liber corespunzător.” </w:t>
      </w:r>
    </w:p>
    <w:p w:rsidR="008E447B" w14:paraId="5356341E" w14:textId="77777777">
      <w:pPr>
        <w:pStyle w:val="Corptext"/>
        <w:ind w:firstLine="567"/>
      </w:pPr>
      <w:r>
        <w:t>Curtea aminteşte că eliminarea posibilităţii de a beneficia de spor în această situaţie a fost examinată de către Curtea Constituţională, care prin deciziile nr. 422/24.10.2013 şi nr. 445/16.09.2014, a statuat că dispoziţiile respective sunt constituţionale.</w:t>
      </w:r>
    </w:p>
    <w:p w:rsidR="008E447B" w14:paraId="2D1A3B18" w14:textId="77777777">
      <w:pPr>
        <w:pStyle w:val="Corptext"/>
        <w:ind w:firstLine="567"/>
      </w:pPr>
      <w:r>
        <w:t xml:space="preserve">De asemenea, Curtea constată că acest text de lege a fost completat prin art. I alin. 5 din OUG nr. 37/2014, care prevede următoarele: "prin excepţie de la prevederile art. 9 alin. 1, în situaţia în care activitatea desfăşurată de personalul militar, poliţiştii, funcţionarii publici cu statut special din sistemul administraţiei penitenciare şi personalul civil din instituţiile publice de apărare, ordine publică şi securitate naţională, în zilele de repaus săptămânal, de sărbători legale şi în celelalte zile în care, în conformitate cu reglementările în vigoare, nu se lucrează, nu se poate compensa cu timp liber corespunzător, se acordă o majorare de 75% din baza de calcul prevăzută la alin. 4". </w:t>
      </w:r>
    </w:p>
    <w:p w:rsidR="008E447B" w14:paraId="6259CA2E" w14:textId="77777777">
      <w:pPr>
        <w:pStyle w:val="Corptext"/>
        <w:ind w:firstLine="567"/>
      </w:pPr>
      <w:r>
        <w:t>În conformitate cu dispoziţiile art. 13 alin. 8 din OUG nr. 103/2013, "condiţiile de stabilire a dreptului prevăzut la alin. 5 şi 6, precum şi activităţile pentru care se acordă acest drept se stabilesc prin ordin al conducătorilor instituţiilor publice de apărare, ordine publică şi securitate naţională".</w:t>
      </w:r>
    </w:p>
    <w:p w:rsidR="008E447B" w14:paraId="29AE24F9" w14:textId="77777777">
      <w:pPr>
        <w:pStyle w:val="Corptext"/>
        <w:ind w:firstLine="567"/>
      </w:pPr>
      <w:r>
        <w:t>Astfel, dispoziţiile art. 3 alin. 1 şi 2 din O.M.A.I. nr. 101/2014 au următorul conţinut: "(1) Personalul M.A.I. care desfăşoară activităţi în zilele de repaus săptămânal, de sărbători legale şi în celelalte zile în care, în conformitate cu reglementările în vigoare, nu se lucrează beneficiază de o majorare de 75% din solda lunară/salariul de bază prevăzută/prevăzut de legislaţia în vigoare la data de 31 decembrie 2009, denumită în continuare majorare, dacă timpul astfel lucrat nu se poate compensa cu timp liber corespunzător, în condiţiile OUG nr. 103/2013, aprobată cu completări prin Legea nr. 28/2014. (2) Compensarea cu timp liber corespunzător se efectuează prin acordarea aceluiaşi număr de ore libere cu numărul de ore lucrate, astfel: a) în condiţiile art. 122 şi 137 din Legea nr. 53/2003, pentru activitatea desfăşurată în zilele de repaus săptămânal; sau b) în condiţiile art. 142 alin. 1 din Legea nr. 53/2003, pentru activitatea desfăşurată în zilele de sărbători legale şi în celelalte zile în care, în conformitate cu reglementările în vigoare, nu se lucrează".</w:t>
      </w:r>
    </w:p>
    <w:p w:rsidR="008E447B" w14:paraId="18CD2B44" w14:textId="77777777">
      <w:pPr>
        <w:pStyle w:val="Corptext"/>
        <w:ind w:firstLine="567"/>
      </w:pPr>
      <w:r>
        <w:t>Din prevederile art. 13 alin. 5 ale OUG nr. 103/2013, varianta în vigoare la 19.06.2014, rezultă că majorarea de 75% se acordă poliţiştilor numai dacă activitatea desfăşurată în zilele de repaus săptămânal nu a putut fi compensată cu timp liber corespunzător. De altfel, însuşi O.M.A.I. nr. 101/2014, la art. 3 alin. 1, conţine aceeaşi ipoteză cu cea menţionată în art. 13 alin. 5 din OUG nr. 103/2013, respectiv acordarea majorării de 75% numai în situaţia în care activitatea desfăşurată în zilele de repaus săptămânal nu a putut fi compensată cu timp liber corespunzător.</w:t>
      </w:r>
    </w:p>
    <w:p w:rsidR="008E447B" w14:paraId="12019C22" w14:textId="1A1ABBE0">
      <w:pPr>
        <w:pStyle w:val="Corptext"/>
        <w:ind w:firstLine="567"/>
      </w:pPr>
      <w:r>
        <w:t xml:space="preserve">În consecinţă, în temeiul art. 20 din Legea nr. 554/2004 privind contenciosul administrativ, raportat la art. 496 din Codul de procedură civilă, recursul formulat de recurentul-pârât Inspectoratul de Poliţie al Judeţului </w:t>
      </w:r>
      <w:r w:rsidR="0034506E">
        <w:t xml:space="preserve">                </w:t>
      </w:r>
      <w:r>
        <w:t xml:space="preserve"> este fondat şi se va admite pentru aceste motive, se va casa în parte sentinţa atacată şi, în rejudecare se va respinge ca neîntemeiată acţiunea în ceea ce priveşte pretenţiile ulterioare datei de 11.10.2013, meținându-se celelalte dispoziţii ale sentinţei. </w:t>
      </w:r>
    </w:p>
    <w:p w:rsidR="008E447B" w14:paraId="62CF8251" w14:textId="60430E5E">
      <w:pPr>
        <w:pStyle w:val="Corptext"/>
        <w:ind w:firstLine="567"/>
      </w:pPr>
      <w:r>
        <w:t xml:space="preserve">În raport de o atare soluţie, recursul formulat de recurentul-reclamant </w:t>
      </w:r>
      <w:r w:rsidR="0034506E">
        <w:t xml:space="preserve">2 </w:t>
      </w:r>
      <w:r>
        <w:t xml:space="preserve"> este nefondat, întrucât priveşte exclusiv aplicarea normelor de drept material privind stabilirea salariului de funcţie al acestuia şi preţul unei ore de muncă pentru perioada de referinţă. Or, din moment ce s-a stabilit caracterul neîntemeiat al acţiunii formulate, cuantumul drepturilor salariale invocate nu mai prezintă relevanţă.</w:t>
      </w:r>
    </w:p>
    <w:p w:rsidR="008E447B" w14:paraId="4DC73F95" w14:textId="77777777">
      <w:pPr>
        <w:ind w:firstLine="567"/>
        <w:jc w:val="both"/>
      </w:pPr>
    </w:p>
    <w:p w:rsidR="008E447B" w14:paraId="6FDF0F04" w14:textId="77777777">
      <w:pPr>
        <w:ind w:firstLine="567"/>
        <w:jc w:val="center"/>
        <w:rPr>
          <w:rStyle w:val="Fontdeparagrafimplicit"/>
          <w:b/>
        </w:rPr>
      </w:pPr>
      <w:r>
        <w:rPr>
          <w:rStyle w:val="Fontdeparagrafimplicit"/>
          <w:b/>
        </w:rPr>
        <w:t>PENTRU ACESTE MOTIVE</w:t>
      </w:r>
    </w:p>
    <w:p w:rsidR="008E447B" w14:paraId="5B500F20" w14:textId="77777777">
      <w:pPr>
        <w:ind w:firstLine="567"/>
        <w:jc w:val="center"/>
        <w:rPr>
          <w:rStyle w:val="Fontdeparagrafimplicit"/>
          <w:b/>
        </w:rPr>
      </w:pPr>
      <w:r>
        <w:rPr>
          <w:rStyle w:val="Fontdeparagrafimplicit"/>
          <w:b/>
        </w:rPr>
        <w:t>ÎN NUMELE LEGII</w:t>
      </w:r>
    </w:p>
    <w:p w:rsidR="008E447B" w14:paraId="29613670" w14:textId="77777777">
      <w:pPr>
        <w:ind w:firstLine="567"/>
        <w:jc w:val="center"/>
        <w:rPr>
          <w:rStyle w:val="Fontdeparagrafimplicit"/>
          <w:b/>
        </w:rPr>
      </w:pPr>
      <w:r>
        <w:rPr>
          <w:rStyle w:val="Fontdeparagrafimplicit"/>
          <w:b/>
        </w:rPr>
        <w:t>DECIDE:</w:t>
      </w:r>
    </w:p>
    <w:p w:rsidR="008E447B" w14:paraId="11722B2D" w14:textId="77777777">
      <w:pPr>
        <w:ind w:firstLine="567"/>
        <w:jc w:val="both"/>
        <w:rPr>
          <w:rStyle w:val="Fontdeparagrafimplicit"/>
        </w:rPr>
      </w:pPr>
    </w:p>
    <w:p w:rsidR="008E447B" w14:paraId="63EF1192" w14:textId="77777777">
      <w:pPr>
        <w:pStyle w:val="Corptext"/>
        <w:ind w:firstLine="567"/>
      </w:pPr>
      <w:r>
        <w:t xml:space="preserve">Respinge ca neîntemeiată cererea de sesizare a Curţii Constituţionale cu soluţionarea excepţiei de neconstituţionalitate a OG 38/2003. </w:t>
      </w:r>
    </w:p>
    <w:p w:rsidR="008E447B" w14:paraId="6581FF07" w14:textId="69F5A4FB">
      <w:pPr>
        <w:pStyle w:val="Corptext"/>
        <w:ind w:firstLine="567"/>
      </w:pPr>
      <w:r>
        <w:t xml:space="preserve">Respinge ca nefondat recursul formulat de recurentul-reclamant </w:t>
      </w:r>
      <w:r w:rsidR="0034506E">
        <w:t xml:space="preserve">2 </w:t>
      </w:r>
      <w:r>
        <w:t xml:space="preserve">, cu domiciliul în </w:t>
      </w:r>
      <w:r w:rsidR="0034506E">
        <w:t xml:space="preserve">  </w:t>
      </w:r>
      <w:r>
        <w:t xml:space="preserve">, str. </w:t>
      </w:r>
      <w:r w:rsidR="0034506E">
        <w:t xml:space="preserve">      </w:t>
      </w:r>
      <w:r>
        <w:t xml:space="preserve">, judeţ </w:t>
      </w:r>
      <w:r w:rsidR="0034506E">
        <w:t xml:space="preserve">                </w:t>
      </w:r>
      <w:r>
        <w:t xml:space="preserve">, împotriva sentinţei civile nr. </w:t>
      </w:r>
      <w:r w:rsidR="0034506E">
        <w:t xml:space="preserve">3/2018 </w:t>
      </w:r>
      <w:r>
        <w:t xml:space="preserve"> pronunţate de Tribunalul </w:t>
      </w:r>
      <w:r w:rsidR="0034506E">
        <w:t xml:space="preserve">                </w:t>
      </w:r>
      <w:r>
        <w:t xml:space="preserve"> – Secţia </w:t>
      </w:r>
      <w:r w:rsidR="0034506E">
        <w:t xml:space="preserve"> </w:t>
      </w:r>
      <w:r>
        <w:t xml:space="preserve"> în dosarul  nr. </w:t>
      </w:r>
      <w:r w:rsidR="0034506E">
        <w:t xml:space="preserve">1 </w:t>
      </w:r>
      <w:r>
        <w:t xml:space="preserve">, în contradictoriu cu recurentul-pârât INSPECTORATUL DE POLIŢIE AL JUDEŢULUI </w:t>
      </w:r>
      <w:r w:rsidR="0034506E">
        <w:t xml:space="preserve">                </w:t>
      </w:r>
      <w:r>
        <w:t xml:space="preserve">, cu sediul în </w:t>
      </w:r>
      <w:r w:rsidR="0034506E">
        <w:t xml:space="preserve"> </w:t>
      </w:r>
      <w:r>
        <w:t xml:space="preserve">, Bd. </w:t>
      </w:r>
      <w:r w:rsidR="0034506E">
        <w:t xml:space="preserve"> </w:t>
      </w:r>
      <w:r>
        <w:t xml:space="preserve">, judeţ </w:t>
      </w:r>
      <w:r w:rsidR="0034506E">
        <w:t xml:space="preserve">                </w:t>
      </w:r>
      <w:r>
        <w:t xml:space="preserve">, şi intimaţii-reclamanţi </w:t>
      </w:r>
      <w:r w:rsidR="0034506E">
        <w:t xml:space="preserve">4 </w:t>
      </w:r>
      <w:r>
        <w:t xml:space="preserve">, cu domiciliul în </w:t>
      </w:r>
      <w:r w:rsidR="0034506E">
        <w:t xml:space="preserve"> </w:t>
      </w:r>
      <w:r>
        <w:t xml:space="preserve">, str. </w:t>
      </w:r>
      <w:r w:rsidR="0034506E">
        <w:t xml:space="preserve"> </w:t>
      </w:r>
      <w:r>
        <w:t xml:space="preserve">, judeţ </w:t>
      </w:r>
      <w:r w:rsidR="0034506E">
        <w:t xml:space="preserve">                </w:t>
      </w:r>
      <w:r>
        <w:t xml:space="preserve">, </w:t>
      </w:r>
      <w:r w:rsidR="0034506E">
        <w:t xml:space="preserve">5 </w:t>
      </w:r>
      <w:r>
        <w:t xml:space="preserve">, cu domiciliul în </w:t>
      </w:r>
      <w:r w:rsidR="0034506E">
        <w:t xml:space="preserve">               </w:t>
      </w:r>
      <w:r>
        <w:t xml:space="preserve">, str. </w:t>
      </w:r>
      <w:r w:rsidR="0034506E">
        <w:t xml:space="preserve"> </w:t>
      </w:r>
      <w:r>
        <w:t xml:space="preserve">, judeţ </w:t>
      </w:r>
      <w:r w:rsidR="0034506E">
        <w:t xml:space="preserve">                </w:t>
      </w:r>
      <w:r>
        <w:t xml:space="preserve">, </w:t>
      </w:r>
      <w:r w:rsidR="0034506E">
        <w:t xml:space="preserve">6 </w:t>
      </w:r>
      <w:r>
        <w:t xml:space="preserve">, cu domiciliul în </w:t>
      </w:r>
      <w:r w:rsidR="0034506E">
        <w:t xml:space="preserve">               </w:t>
      </w:r>
      <w:r>
        <w:t xml:space="preserve">, str. </w:t>
      </w:r>
      <w:r w:rsidR="0034506E">
        <w:t xml:space="preserve"> </w:t>
      </w:r>
      <w:r>
        <w:t xml:space="preserve">, judeţ </w:t>
      </w:r>
      <w:r w:rsidR="0034506E">
        <w:t xml:space="preserve">                </w:t>
      </w:r>
      <w:r>
        <w:t xml:space="preserve">, </w:t>
      </w:r>
      <w:r w:rsidR="0034506E">
        <w:t xml:space="preserve">7 </w:t>
      </w:r>
      <w:r>
        <w:t xml:space="preserve">, cu domiciliul în </w:t>
      </w:r>
      <w:r w:rsidR="0034506E">
        <w:t xml:space="preserve"> </w:t>
      </w:r>
      <w:r>
        <w:t xml:space="preserve">, str. </w:t>
      </w:r>
      <w:r w:rsidR="0034506E">
        <w:t xml:space="preserve"> </w:t>
      </w:r>
      <w:r>
        <w:t xml:space="preserve">, judeţ </w:t>
      </w:r>
      <w:r w:rsidR="0034506E">
        <w:t xml:space="preserve">                </w:t>
      </w:r>
      <w:r>
        <w:t xml:space="preserve">, şi </w:t>
      </w:r>
      <w:r w:rsidR="0034506E">
        <w:t xml:space="preserve">8 </w:t>
      </w:r>
      <w:r>
        <w:t xml:space="preserve">, cu domiciliul în </w:t>
      </w:r>
      <w:r w:rsidR="0034506E">
        <w:t xml:space="preserve">               </w:t>
      </w:r>
      <w:r>
        <w:t xml:space="preserve">, Bd. </w:t>
      </w:r>
      <w:r w:rsidR="0034506E">
        <w:t xml:space="preserve"> </w:t>
      </w:r>
      <w:r>
        <w:t xml:space="preserve">, judeţ </w:t>
      </w:r>
      <w:r w:rsidR="0034506E">
        <w:t xml:space="preserve">                </w:t>
      </w:r>
      <w:r>
        <w:t xml:space="preserve">. </w:t>
      </w:r>
    </w:p>
    <w:p w:rsidR="008E447B" w14:paraId="4721AC73" w14:textId="77777777">
      <w:pPr>
        <w:pStyle w:val="Corptext"/>
        <w:ind w:firstLine="567"/>
      </w:pPr>
      <w:r>
        <w:t xml:space="preserve">Admite recursul formulat de recurentul-pârât. </w:t>
      </w:r>
    </w:p>
    <w:p w:rsidR="008E447B" w14:paraId="71E189BF" w14:textId="77777777">
      <w:pPr>
        <w:pStyle w:val="Corptext"/>
        <w:ind w:firstLine="567"/>
      </w:pPr>
      <w:r>
        <w:t xml:space="preserve">Casează în parte sentinţa atacată şi, în rejudecare: </w:t>
      </w:r>
    </w:p>
    <w:p w:rsidR="008E447B" w14:paraId="746E59A6" w14:textId="77777777">
      <w:pPr>
        <w:pStyle w:val="Corptext"/>
        <w:ind w:firstLine="567"/>
      </w:pPr>
      <w:r>
        <w:t xml:space="preserve">Respinge ca neîntemeiată acţiunea în ceea ce priveşte pretenţiile ulterioare datei de 11.10.2013. </w:t>
      </w:r>
    </w:p>
    <w:p w:rsidR="008E447B" w14:paraId="4872197C" w14:textId="77777777">
      <w:pPr>
        <w:pStyle w:val="Corptext"/>
        <w:ind w:firstLine="567"/>
      </w:pPr>
      <w:r>
        <w:t xml:space="preserve">Menţine celelalte dispoziţii ale sentinţei. </w:t>
      </w:r>
    </w:p>
    <w:p w:rsidR="008E447B" w14:paraId="5C487E57" w14:textId="77777777">
      <w:pPr>
        <w:pStyle w:val="Corptext"/>
        <w:ind w:firstLine="567"/>
      </w:pPr>
      <w:r>
        <w:t xml:space="preserve">Cu recurs în termen de 48 de ore de la pronunţare pentru soluţia privind sesizarea Curţii Constituţionale a României. </w:t>
      </w:r>
    </w:p>
    <w:p w:rsidR="008E447B" w14:paraId="6423B6B4" w14:textId="77777777">
      <w:pPr>
        <w:pStyle w:val="Corptext"/>
        <w:ind w:firstLine="567"/>
      </w:pPr>
      <w:r>
        <w:t xml:space="preserve">Definitivă în rest. </w:t>
      </w:r>
    </w:p>
    <w:p w:rsidR="008E447B" w14:paraId="49251532" w14:textId="231E0D0E">
      <w:pPr>
        <w:pStyle w:val="Corptext"/>
        <w:ind w:firstLine="567"/>
      </w:pPr>
      <w:r>
        <w:t xml:space="preserve">Pronunţată în şedinţă publică, azi, </w:t>
      </w:r>
      <w:r w:rsidR="0034506E">
        <w:t xml:space="preserve">       </w:t>
      </w:r>
      <w:r>
        <w:t>.</w:t>
      </w:r>
    </w:p>
    <w:p w:rsidR="008E447B" w14:paraId="2EAAF808" w14:textId="77777777">
      <w:pPr>
        <w:pStyle w:val="Corptext"/>
        <w:ind w:firstLine="567"/>
      </w:pPr>
    </w:p>
    <w:p w:rsidR="008E447B" w14:paraId="6FFA0EB7" w14:textId="77777777">
      <w:pPr>
        <w:pStyle w:val="Corptext"/>
        <w:rPr>
          <w:rStyle w:val="Fontdeparagrafimplicit"/>
        </w:rPr>
      </w:pPr>
      <w:r>
        <w:rPr>
          <w:rStyle w:val="Fontdeparagrafimplicit"/>
          <w:b/>
        </w:rPr>
        <w:t xml:space="preserve">   PREŞEDINTE,</w:t>
      </w:r>
      <w:r>
        <w:rPr>
          <w:rStyle w:val="Fontdeparagrafimplicit"/>
          <w:b/>
        </w:rPr>
        <w:tab/>
        <w:t xml:space="preserve">                           JUDECĂTOR,</w:t>
      </w:r>
      <w:r>
        <w:rPr>
          <w:rStyle w:val="Fontdeparagrafimplicit"/>
          <w:b/>
        </w:rPr>
        <w:tab/>
      </w:r>
      <w:r>
        <w:rPr>
          <w:rStyle w:val="Fontdeparagrafimplicit"/>
          <w:b/>
        </w:rPr>
        <w:tab/>
        <w:t xml:space="preserve">                JUDECĂTOR, </w:t>
      </w:r>
    </w:p>
    <w:p w:rsidR="008E447B" w14:paraId="67136B14" w14:textId="11F91C36">
      <w:pPr>
        <w:ind w:left="-426"/>
        <w:rPr>
          <w:rStyle w:val="Fontdeparagrafimplicit"/>
          <w:b/>
        </w:rPr>
      </w:pPr>
      <w:r>
        <w:rPr>
          <w:rStyle w:val="Fontdeparagrafimplicit"/>
          <w:b/>
        </w:rPr>
        <w:t xml:space="preserve">A0008                                                                     </w:t>
      </w:r>
    </w:p>
    <w:p w:rsidR="008E447B" w14:paraId="6EFFCDFB" w14:textId="77777777">
      <w:pPr>
        <w:ind w:firstLine="567"/>
        <w:jc w:val="center"/>
        <w:rPr>
          <w:rStyle w:val="Fontdeparagrafimplicit"/>
          <w:b/>
        </w:rPr>
      </w:pPr>
      <w:r>
        <w:rPr>
          <w:rStyle w:val="Fontdeparagrafimplicit"/>
          <w:b/>
        </w:rPr>
        <w:tab/>
      </w:r>
      <w:r>
        <w:rPr>
          <w:rStyle w:val="Fontdeparagrafimplicit"/>
          <w:b/>
        </w:rPr>
        <w:tab/>
      </w:r>
    </w:p>
    <w:p w:rsidR="008E447B" w14:paraId="668E0FB7" w14:textId="77777777">
      <w:pPr>
        <w:ind w:firstLine="567"/>
        <w:rPr>
          <w:rStyle w:val="Fontdeparagrafimplicit"/>
        </w:rPr>
      </w:pPr>
    </w:p>
    <w:p w:rsidR="008E447B" w14:paraId="72FDD14B" w14:textId="77777777">
      <w:pPr>
        <w:ind w:firstLine="567"/>
        <w:jc w:val="both"/>
        <w:rPr>
          <w:rStyle w:val="Fontdeparagrafimplicit"/>
          <w:b/>
        </w:rPr>
      </w:pPr>
      <w:r>
        <w:rPr>
          <w:rStyle w:val="Fontdeparagrafimplicit"/>
          <w:b/>
        </w:rPr>
        <w:t xml:space="preserve">                                                                                         GREFIER,</w:t>
      </w:r>
    </w:p>
    <w:p w:rsidR="008E447B" w14:paraId="0E532714" w14:textId="4CF16D25">
      <w:pPr>
        <w:ind w:firstLine="567"/>
        <w:rPr>
          <w:rStyle w:val="Fontdeparagrafimplicit"/>
          <w:b/>
        </w:rPr>
      </w:pPr>
      <w:r>
        <w:rPr>
          <w:rStyle w:val="Fontdeparagrafimplicit"/>
          <w:b/>
        </w:rPr>
        <w:t xml:space="preserve">                                                                                  </w:t>
      </w:r>
      <w:r w:rsidR="0034506E">
        <w:rPr>
          <w:rStyle w:val="Fontdeparagrafimplicit"/>
          <w:b/>
        </w:rPr>
        <w:t xml:space="preserve">                </w:t>
      </w:r>
    </w:p>
    <w:p w:rsidR="008E447B" w14:paraId="270EF56C" w14:textId="77777777">
      <w:pPr>
        <w:ind w:firstLine="567"/>
        <w:rPr>
          <w:rStyle w:val="Fontdeparagrafimplicit"/>
          <w:b/>
        </w:rPr>
      </w:pPr>
    </w:p>
    <w:p w:rsidR="008E447B" w14:paraId="03E9EAD5" w14:textId="77777777">
      <w:pPr>
        <w:ind w:firstLine="567"/>
        <w:rPr>
          <w:rStyle w:val="Fontdeparagrafimplicit"/>
          <w:b/>
        </w:rPr>
      </w:pPr>
    </w:p>
    <w:p w:rsidR="008E447B" w14:paraId="3FE2A281" w14:textId="77777777">
      <w:pPr>
        <w:ind w:firstLine="567"/>
        <w:rPr>
          <w:rStyle w:val="Fontdeparagrafimplicit"/>
          <w:b/>
        </w:rPr>
      </w:pPr>
    </w:p>
    <w:p w:rsidR="008E447B" w14:paraId="74810062" w14:textId="7DE9A3F5">
      <w:pPr>
        <w:ind w:firstLine="567"/>
        <w:jc w:val="both"/>
        <w:rPr>
          <w:rStyle w:val="Fontdeparagrafimplicit"/>
          <w:sz w:val="20"/>
        </w:rPr>
      </w:pPr>
      <w:r>
        <w:rPr>
          <w:rStyle w:val="Fontdeparagrafimplicit"/>
          <w:sz w:val="20"/>
        </w:rPr>
        <w:t xml:space="preserve">Red./Tehnored. </w:t>
      </w:r>
      <w:r w:rsidR="005C5AB5">
        <w:rPr>
          <w:rStyle w:val="Fontdeparagrafimplicit"/>
          <w:b/>
          <w:sz w:val="20"/>
        </w:rPr>
        <w:t>A0008</w:t>
      </w:r>
      <w:r>
        <w:rPr>
          <w:rStyle w:val="Fontdeparagrafimplicit"/>
          <w:b/>
          <w:sz w:val="20"/>
        </w:rPr>
        <w:t>/</w:t>
      </w:r>
      <w:r>
        <w:rPr>
          <w:rStyle w:val="Fontdeparagrafimplicit"/>
          <w:sz w:val="20"/>
        </w:rPr>
        <w:t>9 ex.</w:t>
      </w:r>
    </w:p>
    <w:p w:rsidR="008E447B" w14:paraId="13F8A16C" w14:textId="53E27B54">
      <w:pPr>
        <w:ind w:firstLine="567"/>
        <w:jc w:val="both"/>
        <w:rPr>
          <w:rStyle w:val="Fontdeparagrafimplicit"/>
          <w:sz w:val="16"/>
        </w:rPr>
      </w:pPr>
      <w:r>
        <w:rPr>
          <w:rStyle w:val="Fontdeparagrafimplicit"/>
          <w:sz w:val="16"/>
        </w:rPr>
        <w:t xml:space="preserve">Sentinţa civilă nr. </w:t>
      </w:r>
      <w:r w:rsidR="0034506E">
        <w:rPr>
          <w:rStyle w:val="Fontdeparagrafimplicit"/>
          <w:sz w:val="16"/>
        </w:rPr>
        <w:t xml:space="preserve">3/2018 </w:t>
      </w:r>
      <w:r>
        <w:rPr>
          <w:rStyle w:val="Fontdeparagrafimplicit"/>
          <w:sz w:val="16"/>
        </w:rPr>
        <w:t xml:space="preserve"> pronunţate de Tribunalul </w:t>
      </w:r>
      <w:r w:rsidR="0034506E">
        <w:rPr>
          <w:rStyle w:val="Fontdeparagrafimplicit"/>
          <w:sz w:val="16"/>
        </w:rPr>
        <w:t xml:space="preserve">                </w:t>
      </w:r>
      <w:r>
        <w:rPr>
          <w:rStyle w:val="Fontdeparagrafimplicit"/>
          <w:sz w:val="16"/>
        </w:rPr>
        <w:t xml:space="preserve"> – Secţia </w:t>
      </w:r>
      <w:r w:rsidR="005C5AB5">
        <w:rPr>
          <w:rStyle w:val="Fontdeparagrafimplicit"/>
          <w:sz w:val="16"/>
        </w:rPr>
        <w:t xml:space="preserve"> </w:t>
      </w:r>
      <w:r>
        <w:rPr>
          <w:rStyle w:val="Fontdeparagrafimplicit"/>
          <w:sz w:val="16"/>
        </w:rPr>
        <w:t xml:space="preserve"> în dosarul  nr. </w:t>
      </w:r>
      <w:r w:rsidR="0034506E">
        <w:rPr>
          <w:rStyle w:val="Fontdeparagrafimplicit"/>
          <w:sz w:val="16"/>
        </w:rPr>
        <w:t xml:space="preserve">1 </w:t>
      </w:r>
      <w:r>
        <w:rPr>
          <w:rStyle w:val="Fontdeparagrafimplicit"/>
          <w:sz w:val="16"/>
        </w:rPr>
        <w:t>.</w:t>
      </w:r>
    </w:p>
    <w:p w:rsidR="008E447B" w14:paraId="44555C6A" w14:textId="113210E1">
      <w:pPr>
        <w:ind w:firstLine="567"/>
        <w:jc w:val="both"/>
        <w:rPr>
          <w:rStyle w:val="Fontdeparagrafimplicit"/>
          <w:b/>
          <w:color w:val="000000"/>
          <w:sz w:val="20"/>
        </w:rPr>
      </w:pPr>
      <w:r>
        <w:rPr>
          <w:rStyle w:val="Fontdeparagrafimplicit"/>
          <w:sz w:val="20"/>
        </w:rPr>
        <w:t xml:space="preserve">Judecător fond: </w:t>
      </w:r>
      <w:r w:rsidR="005C5AB5">
        <w:rPr>
          <w:rStyle w:val="Fontdeparagrafimplicit"/>
          <w:sz w:val="20"/>
        </w:rPr>
        <w:t xml:space="preserve"> </w:t>
      </w:r>
    </w:p>
    <w:p w:rsidR="008E447B" w14:paraId="19C7207B" w14:textId="77777777">
      <w:pPr>
        <w:ind w:firstLine="567"/>
        <w:rPr>
          <w:rStyle w:val="Fontdeparagrafimplicit"/>
          <w:b/>
        </w:rPr>
      </w:pPr>
    </w:p>
    <w:p w:rsidR="008E447B" w14:paraId="0735DD96" w14:textId="77777777">
      <w:pPr>
        <w:rPr>
          <w:rStyle w:val="Fontdeparagrafimplicit"/>
          <w:rFonts w:ascii="Garamond" w:hAnsi="Garamond"/>
        </w:rPr>
      </w:pPr>
    </w:p>
    <w:sectPr>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69A65FFC"/>
    <w:multiLevelType w:val="multilevel"/>
    <w:tmpl w:val="A658294A"/>
    <w:lvl w:ilvl="0">
      <w:start w:val="1"/>
      <w:numFmt w:val="decimal"/>
      <w:lvlText w:val="%1."/>
      <w:lvlJc w:val="left"/>
      <w:pPr>
        <w:ind w:left="786" w:hanging="360"/>
      </w:pPr>
    </w:lvl>
    <w:lvl w:ilvl="1">
      <w:start w:val="1"/>
      <w:numFmt w:val="decimal"/>
      <w:isLgl/>
      <w:lvlText w:val="%1.%2."/>
      <w:lvlJc w:val="left"/>
      <w:pPr>
        <w:ind w:left="1146" w:hanging="360"/>
      </w:pPr>
    </w:lvl>
    <w:lvl w:ilvl="2">
      <w:start w:val="1"/>
      <w:numFmt w:val="decimal"/>
      <w:isLgl/>
      <w:lvlText w:val="%1.%2.%3."/>
      <w:lvlJc w:val="left"/>
      <w:pPr>
        <w:ind w:left="1866" w:hanging="720"/>
      </w:pPr>
    </w:lvl>
    <w:lvl w:ilvl="3">
      <w:start w:val="1"/>
      <w:numFmt w:val="decimal"/>
      <w:isLgl/>
      <w:lvlText w:val="%1.%2.%3.%4."/>
      <w:lvlJc w:val="left"/>
      <w:pPr>
        <w:ind w:left="2226" w:hanging="720"/>
      </w:pPr>
    </w:lvl>
    <w:lvl w:ilvl="4">
      <w:start w:val="1"/>
      <w:numFmt w:val="decimal"/>
      <w:isLgl/>
      <w:lvlText w:val="%1.%2.%3.%4.%5."/>
      <w:lvlJc w:val="left"/>
      <w:pPr>
        <w:ind w:left="2946" w:hanging="1080"/>
      </w:pPr>
    </w:lvl>
    <w:lvl w:ilvl="5">
      <w:start w:val="1"/>
      <w:numFmt w:val="decimal"/>
      <w:isLgl/>
      <w:lvlText w:val="%1.%2.%3.%4.%5.%6."/>
      <w:lvlJc w:val="left"/>
      <w:pPr>
        <w:ind w:left="3306" w:hanging="1080"/>
      </w:pPr>
    </w:lvl>
    <w:lvl w:ilvl="6">
      <w:start w:val="1"/>
      <w:numFmt w:val="decimal"/>
      <w:isLgl/>
      <w:lvlText w:val="%1.%2.%3.%4.%5.%6.%7."/>
      <w:lvlJc w:val="left"/>
      <w:pPr>
        <w:ind w:left="4026" w:hanging="1440"/>
      </w:pPr>
    </w:lvl>
    <w:lvl w:ilvl="7">
      <w:start w:val="1"/>
      <w:numFmt w:val="decimal"/>
      <w:isLgl/>
      <w:lvlText w:val="%1.%2.%3.%4.%5.%6.%7.%8."/>
      <w:lvlJc w:val="left"/>
      <w:pPr>
        <w:ind w:left="4386" w:hanging="1440"/>
      </w:pPr>
    </w:lvl>
    <w:lvl w:ilvl="8">
      <w:start w:val="1"/>
      <w:numFmt w:val="decimal"/>
      <w:isLgl/>
      <w:lvlText w:val="%1.%2.%3.%4.%5.%6.%7.%8.%9."/>
      <w:lvlJc w:val="left"/>
      <w:pPr>
        <w:ind w:left="5106" w:hanging="1800"/>
      </w:pPr>
    </w:lvl>
  </w:abstractNum>
  <w:num w:numId="1" w16cid:durableId="987177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47B"/>
    <w:rsid w:val="001A326C"/>
    <w:rsid w:val="0034506E"/>
    <w:rsid w:val="00472552"/>
    <w:rsid w:val="005C5AB5"/>
    <w:rsid w:val="008E447B"/>
    <w:rsid w:val="00A355AC"/>
  </w:rsids>
  <w:docVars>
    <w:docVar w:name="url" w:val="http://10.1.48.53:80/ecris_cdms/document_upload.aspx?id_document=200000003099626&amp;id_departament=5&amp;id_sesiune=2928763&amp;id_user=856&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4FEA3A39"/>
  <w15:docId w15:val="{A0BFF0E8-1ABF-4FB4-B963-14752516D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Corptext">
    <w:name w:val="Corp text"/>
    <w:basedOn w:val="Normal"/>
    <w:link w:val="CorptextCaracter"/>
    <w:pPr>
      <w:jc w:val="both"/>
    </w:pPr>
  </w:style>
  <w:style w:type="paragraph" w:customStyle="1" w:styleId="Listparagraf">
    <w:name w:val="Listă paragraf"/>
    <w:basedOn w:val="Normal"/>
    <w:qFormat/>
    <w:pPr>
      <w:ind w:left="708"/>
    </w:pPr>
    <w:rPr>
      <w:lang w:val="en-US"/>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CorptextCaracter">
    <w:name w:val="Corp text Caracter"/>
    <w:link w:val="Corptex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12</ap:TotalTime>
  <ap:Pages>10</ap:Pages>
  <ap:Words>5701</ap:Words>
  <ap:Characters>32500</ap:Characters>
  <ap:Application>Microsoft Office Word</ap:Application>
  <ap:DocSecurity>0</ap:DocSecurity>
  <ap:Lines>270</ap:Lines>
  <ap:Paragraphs>76</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38125</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