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10</w:t>
      </w:r>
    </w:p>
    <w:p>
      <w:pPr>
        <w:pStyle w:val="Normal"/>
        <w:rPr>
          <w:b/>
        </w:rPr>
      </w:pPr>
      <w:r>
        <w:rPr>
          <w:rStyle w:val="Fontdeparagrafimplicit"/>
          <w:b/>
        </w:rPr>
        <w:t>Dosar nr. D1</w:t>
      </w:r>
    </w:p>
    <w:p>
      <w:pPr>
        <w:pStyle w:val="Normal"/>
        <w:jc w:val="center"/>
        <w:rPr>
          <w:b/>
        </w:rPr>
      </w:pPr>
      <w:r>
        <w:rPr>
          <w:rStyle w:val="Fontdeparagrafimplicit"/>
          <w:b/>
        </w:rPr>
        <w:t>R O M Â N I A</w:t>
      </w:r>
    </w:p>
    <w:p>
      <w:pPr>
        <w:pStyle w:val="Normal"/>
        <w:jc w:val="center"/>
        <w:rPr>
          <w:b/>
        </w:rPr>
      </w:pPr>
      <w:r>
        <w:rPr>
          <w:b/>
        </w:rPr>
      </w:r>
    </w:p>
    <w:p>
      <w:pPr>
        <w:pStyle w:val="Normal"/>
        <w:jc w:val="center"/>
        <w:rPr>
          <w:b/>
        </w:rPr>
      </w:pPr>
      <w:r>
        <w:rPr>
          <w:rStyle w:val="Fontdeparagrafimplicit"/>
          <w:b/>
        </w:rPr>
        <w:t>CURTEA DE APEL ...</w:t>
      </w:r>
    </w:p>
    <w:p>
      <w:pPr>
        <w:pStyle w:val="Normal"/>
        <w:jc w:val="center"/>
        <w:rPr>
          <w:b/>
          <w:lang w:val="en-US"/>
        </w:rPr>
      </w:pPr>
      <w:r>
        <w:rPr>
          <w:rStyle w:val="Fontdeparagrafimplicit"/>
          <w:b/>
        </w:rPr>
        <w:t>SECŢIA ....</w:t>
      </w:r>
    </w:p>
    <w:p>
      <w:pPr>
        <w:pStyle w:val="Normal"/>
        <w:rPr>
          <w:b/>
        </w:rPr>
      </w:pPr>
      <w:r>
        <w:rPr>
          <w:b/>
        </w:rPr>
      </w:r>
    </w:p>
    <w:p>
      <w:pPr>
        <w:pStyle w:val="Normal"/>
        <w:jc w:val="center"/>
        <w:rPr>
          <w:b/>
        </w:rPr>
      </w:pPr>
      <w:bookmarkStart w:name="tip_incheiere" w:id="0"/>
      <w:r>
        <w:rPr>
          <w:rStyle w:val="Fontdeparagrafimplicit"/>
          <w:b/>
        </w:rPr>
        <w:t>DECIZIE</w:t>
      </w:r>
      <w:bookmarkEnd w:id="0"/>
      <w:r>
        <w:rPr>
          <w:rStyle w:val="Fontdeparagrafimplicit"/>
          <w:b/>
        </w:rPr>
        <w:t xml:space="preserve"> Nr. ....</w:t>
      </w:r>
    </w:p>
    <w:p>
      <w:pPr>
        <w:pStyle w:val="Normal"/>
        <w:jc w:val="center"/>
        <w:rPr>
          <w:b/>
        </w:rPr>
      </w:pPr>
      <w:r>
        <w:rPr>
          <w:rStyle w:val="Fontdeparagrafimplicit"/>
          <w:b/>
        </w:rPr>
        <w:t>Şedinţa </w:t>
      </w:r>
      <w:bookmarkStart w:name="tip_sedinta" w:id="1"/>
      <w:r>
        <w:rPr>
          <w:rStyle w:val="Fontdeparagrafimplicit"/>
          <w:b/>
        </w:rPr>
        <w:t>publică</w:t>
      </w:r>
      <w:bookmarkEnd w:id="1"/>
      <w:r>
        <w:rPr>
          <w:rStyle w:val="Fontdeparagrafimplicit"/>
          <w:b/>
        </w:rPr>
        <w:t xml:space="preserve"> de la ... </w:t>
      </w:r>
    </w:p>
    <w:p>
      <w:pPr>
        <w:pStyle w:val="Normal"/>
        <w:jc w:val="center"/>
        <w:rPr>
          <w:b/>
        </w:rPr>
      </w:pPr>
      <w:r>
        <w:rPr>
          <w:rStyle w:val="Fontdeparagrafimplicit"/>
          <w:b/>
        </w:rPr>
        <w:t>Completul compus din:</w:t>
      </w:r>
    </w:p>
    <w:p>
      <w:pPr>
        <w:pStyle w:val="Normal"/>
        <w:jc w:val="center"/>
        <w:rPr>
          <w:b/>
        </w:rPr>
      </w:pPr>
      <w:r>
        <w:rPr>
          <w:rStyle w:val="Fontdeparagrafimplicit"/>
          <w:b/>
        </w:rPr>
        <w:t>PREŞEDINTE A0006</w:t>
      </w:r>
    </w:p>
    <w:p>
      <w:pPr>
        <w:pStyle w:val="Normal"/>
        <w:jc w:val="center"/>
        <w:rPr>
          <w:b/>
        </w:rPr>
      </w:pPr>
      <w:r>
        <w:rPr>
          <w:rStyle w:val="Fontdeparagrafimplicit"/>
          <w:b/>
        </w:rPr>
        <w:t>Judecător ... ...</w:t>
      </w:r>
    </w:p>
    <w:p>
      <w:pPr>
        <w:pStyle w:val="Normal"/>
        <w:jc w:val="center"/>
        <w:rPr>
          <w:b/>
        </w:rPr>
      </w:pPr>
      <w:r>
        <w:rPr>
          <w:rStyle w:val="Fontdeparagrafimplicit"/>
          <w:b/>
        </w:rPr>
        <w:t>Judecător ...</w:t>
      </w:r>
    </w:p>
    <w:p>
      <w:pPr>
        <w:pStyle w:val="Normal"/>
        <w:jc w:val="center"/>
        <w:rPr>
          <w:b/>
        </w:rPr>
      </w:pPr>
      <w:r>
        <w:rPr>
          <w:rStyle w:val="Fontdeparagrafimplicit"/>
          <w:b/>
        </w:rPr>
        <w:t>Grefier ...</w:t>
      </w:r>
    </w:p>
    <w:p>
      <w:pPr>
        <w:pStyle w:val="Normal"/>
        <w:jc w:val="center"/>
        <w:rPr>
          <w:rStyle w:val="Fontdeparagrafimplicit"/>
        </w:rPr>
      </w:pPr>
      <w:r>
        <w:rPr/>
      </w:r>
    </w:p>
    <w:p>
      <w:pPr>
        <w:pStyle w:val="Normal"/>
        <w:ind w:firstLine="708"/>
        <w:jc w:val="both"/>
        <w:rPr/>
      </w:pPr>
      <w:r>
        <w:rPr/>
        <w:t>Pe rol se află soluţionarea cererii de revizuire formulate de revizuentul</w:t>
      </w:r>
      <w:r>
        <w:rPr>
          <w:rStyle w:val="Fontdeparagrafimplicit"/>
          <w:b/>
        </w:rPr>
        <w:t xml:space="preserve"> R1</w:t>
      </w:r>
      <w:r>
        <w:rPr/>
        <w:t xml:space="preserve">,  împotriva deciziei nr. DC1 din data de ..., pronunţată de Curtea de Apel ... – Secţia ..., în dosarul nr. D2, în contradictoriu cu intimatul </w:t>
      </w:r>
      <w:r>
        <w:rPr>
          <w:rStyle w:val="Fontdeparagrafimplicit"/>
          <w:b/>
        </w:rPr>
        <w:t>INSPECTORATUL JUDEŢEAN DE POLIŢIE ...-BIROUL ARME, EXPLOZIVI ŞI SUBSTANŢE PERICULOASE</w:t>
      </w:r>
      <w:r>
        <w:rPr/>
        <w:t xml:space="preserve">, având ca obiect </w:t>
      </w:r>
      <w:r>
        <w:rPr>
          <w:rStyle w:val="Fontdeparagrafimplicit"/>
          <w:i/>
        </w:rPr>
        <w:t>anulare act administrativ</w:t>
      </w:r>
      <w:r>
        <w:rPr/>
        <w:t>.</w:t>
      </w:r>
    </w:p>
    <w:p>
      <w:pPr>
        <w:pStyle w:val="Normal"/>
        <w:ind w:firstLine="709"/>
        <w:jc w:val="both"/>
        <w:rPr/>
      </w:pPr>
      <w:r>
        <w:rPr/>
        <w:t>Dezbaterile pe fondul cauzei au avut loc în şedinţa publică din data de ..., fiind consemnate în încheierea de şedinţă din acea dată, care face parte integrantă din prezenta, Curtea amânând pronunţarea pentru data de ..., când, în aceeași compunere, a hotărât următoarele:</w:t>
      </w:r>
    </w:p>
    <w:p>
      <w:pPr>
        <w:pStyle w:val="Normal"/>
        <w:rPr/>
      </w:pPr>
      <w:r>
        <w:rPr/>
      </w:r>
    </w:p>
    <w:p>
      <w:pPr>
        <w:pStyle w:val="Normal"/>
        <w:jc w:val="center"/>
        <w:rPr>
          <w:b/>
        </w:rPr>
      </w:pPr>
      <w:r>
        <w:rPr>
          <w:rStyle w:val="Fontdeparagrafimplicit"/>
          <w:b/>
        </w:rPr>
        <w:t>CURTEA</w:t>
      </w:r>
    </w:p>
    <w:p>
      <w:pPr>
        <w:pStyle w:val="Normal"/>
        <w:jc w:val="center"/>
        <w:rPr>
          <w:b/>
        </w:rPr>
      </w:pPr>
      <w:r>
        <w:rPr>
          <w:b/>
        </w:rPr>
      </w:r>
    </w:p>
    <w:p>
      <w:pPr>
        <w:pStyle w:val="Normal"/>
        <w:ind w:firstLine="709"/>
        <w:rPr>
          <w:b/>
        </w:rPr>
      </w:pPr>
      <w:r>
        <w:rPr>
          <w:rStyle w:val="Fontdeparagrafimplicit"/>
          <w:b/>
        </w:rPr>
        <w:t>Asupra cererii de revizuire de față:</w:t>
      </w:r>
    </w:p>
    <w:p>
      <w:pPr>
        <w:pStyle w:val="Normal"/>
        <w:ind w:firstLine="709"/>
        <w:rPr/>
      </w:pPr>
      <w:r>
        <w:rPr>
          <w:rStyle w:val="Fontdeparagrafimplicit"/>
          <w:b/>
          <w:i/>
        </w:rPr>
        <w:t>Prin Decizia nr. DC1 din data de ..., pronunţată de Curtea de Apel ... – Secţia ...., în dosarul nr. D2</w:t>
      </w:r>
      <w:r>
        <w:rPr/>
        <w:t xml:space="preserve">, s-a respins cererea de suspendare. </w:t>
      </w:r>
    </w:p>
    <w:p>
      <w:pPr>
        <w:pStyle w:val="Normal"/>
        <w:ind w:firstLine="708"/>
        <w:jc w:val="both"/>
        <w:rPr/>
      </w:pPr>
      <w:r>
        <w:rPr/>
        <w:t xml:space="preserve">S-a respins recursul formulat de recurentul-reclamant R1,  împotriva sentinței nr.SC1 din data de ..., pronunțată de Tribunalul ... în dosarul nr. D2, în contradictoriu cu intimatul-pârât INSPECTORATUL JUDEŢEAN DE POLIŢIE ... – BIROU ARME, EXPLOZIVI și SUBSTANŢE PERICULOASE, având ca obiect „ANULARE ACT ADMINISTRATIV”. </w:t>
      </w:r>
    </w:p>
    <w:p>
      <w:pPr>
        <w:pStyle w:val="Normal"/>
        <w:ind w:firstLine="709"/>
        <w:jc w:val="both"/>
        <w:rPr/>
      </w:pPr>
      <w:r>
        <w:rPr>
          <w:rStyle w:val="Fontdeparagrafimplicit"/>
          <w:b/>
          <w:i/>
        </w:rPr>
        <w:t xml:space="preserve">Împotriva acestei decizii, revizuentul </w:t>
      </w:r>
      <w:r>
        <w:rPr>
          <w:rStyle w:val="Fontdeparagrafimplicit"/>
          <w:b/>
        </w:rPr>
        <w:t>R1</w:t>
      </w:r>
      <w:r>
        <w:rPr>
          <w:rStyle w:val="Fontdeparagrafimplicit"/>
          <w:b/>
          <w:i/>
        </w:rPr>
        <w:t xml:space="preserve"> a formulat cerere de revizuire</w:t>
      </w:r>
      <w:r>
        <w:rPr/>
        <w:t>,</w:t>
      </w:r>
      <w:r>
        <w:rPr>
          <w:rStyle w:val="Fontdeparagrafimplicit"/>
          <w:b/>
          <w:i/>
        </w:rPr>
        <w:t xml:space="preserve"> </w:t>
      </w:r>
      <w:r>
        <w:rPr/>
        <w:t>solicitând admiterea acesteia și, rejudecând fondul cauzei, modificarea în tot a deciziei nr. DC1/... pronunțată de Curtea de Apel .... în dosarul nr. D2, în sensul admiterii acțiunii formulate.</w:t>
      </w:r>
    </w:p>
    <w:p>
      <w:pPr>
        <w:pStyle w:val="Bodytext21"/>
        <w:spacing w:line="259" w:lineRule="auto"/>
        <w:jc w:val="both"/>
        <w:rPr>
          <w:sz w:val="24"/>
        </w:rPr>
      </w:pPr>
      <w:r>
        <w:rPr>
          <w:rStyle w:val="Fontdeparagrafimplicit"/>
          <w:color w:val="000000"/>
          <w:sz w:val="24"/>
        </w:rPr>
        <w:t>Cererea de revizuire a fost întemeiată pe dispozițiile art. 509 alin. l pct. 11  C. pr. civ. și urm. C. pr. civ.: ,,Revizuirea unei hotărâri pronunțat asupra fondului sau care evocă fondul poate fi cerută dacă: ... 11.după ce hotărârea a devenit definitivă, Curtea Constituțională s-a pronunțat asupra excepției invocate în acea cauza, declarând neconstituțională prevederea care a făcut obiectul acelei excepții”.</w:t>
      </w:r>
    </w:p>
    <w:p>
      <w:pPr>
        <w:pStyle w:val="Bodytext21"/>
        <w:spacing w:line="259" w:lineRule="auto"/>
        <w:jc w:val="both"/>
        <w:rPr>
          <w:sz w:val="24"/>
        </w:rPr>
      </w:pPr>
      <w:r>
        <w:rPr>
          <w:rStyle w:val="Fontdeparagrafimplicit"/>
          <w:color w:val="000000"/>
          <w:sz w:val="24"/>
        </w:rPr>
        <w:t>În motivare, a arătat că în dosarul nr. D2 al Tribunalului ...- Secția ..., a formulat acțiune prin care a solicitat anularea adreselor nr. ...1 ....7 din 07.10.2020, respectiv nr. ...3 ...0 din 25.02.2021, ambele emise de intimatul I.P.J ....</w:t>
      </w:r>
    </w:p>
    <w:p>
      <w:pPr>
        <w:pStyle w:val="Bodytext21"/>
        <w:spacing w:line="259" w:lineRule="auto"/>
        <w:jc w:val="both"/>
        <w:rPr>
          <w:sz w:val="24"/>
        </w:rPr>
      </w:pPr>
      <w:r>
        <w:rPr>
          <w:rStyle w:val="Fontdeparagrafimplicit"/>
          <w:color w:val="000000"/>
          <w:sz w:val="24"/>
        </w:rPr>
        <w:t>Inițial, acțiunea a fost respinsă de instanța de contencios administrativ a Tribunalului ..., prin sentința nr.SC1/...din ... , împotriva căreia am formulat calea de atac, formându-se dosarul pe rolul Curții de Apel ..., cu același nr. unic de dosar D2.</w:t>
      </w:r>
    </w:p>
    <w:p>
      <w:pPr>
        <w:pStyle w:val="Bodytext21"/>
        <w:spacing w:line="259" w:lineRule="auto"/>
        <w:jc w:val="both"/>
        <w:rPr>
          <w:sz w:val="24"/>
        </w:rPr>
      </w:pPr>
      <w:r>
        <w:rPr>
          <w:rStyle w:val="Fontdeparagrafimplicit"/>
          <w:color w:val="0D0D0D" w:themeColor="dark1" w:themeTint="f2"/>
          <w:sz w:val="24"/>
        </w:rPr>
        <w:t xml:space="preserve">La data de 22.09.2021, în dosarul Curții de Apel ...., i-a fost admisă cererea prin care a invocat excepția de neconstituționalitate a dispoziţiilor art. 14 alin. l lit. d și art. 70 alin. l lit. c </w:t>
      </w:r>
      <w:r>
        <w:rPr>
          <w:rStyle w:val="Fontdeparagrafimplicit"/>
          <w:color w:val="000000"/>
          <w:sz w:val="24"/>
        </w:rPr>
        <w:t>din Legea nr. 295/2004, raportat la art. 21 alin. 2, art. 23 alin. 11, art. 24, art. 41 alin. l din Constituția României și, prin încheiere, a fost sesizată Curtea Constituțională a României, formându-se dosarul nr. D3.</w:t>
      </w:r>
    </w:p>
    <w:p>
      <w:pPr>
        <w:pStyle w:val="Bodytext21"/>
        <w:spacing w:line="259" w:lineRule="auto"/>
        <w:jc w:val="both"/>
        <w:rPr>
          <w:sz w:val="24"/>
        </w:rPr>
      </w:pPr>
      <w:r>
        <w:rPr>
          <w:rStyle w:val="Fontdeparagrafimplicit"/>
          <w:color w:val="000000"/>
          <w:sz w:val="24"/>
        </w:rPr>
        <w:t>Deși a solicitat suspendarea judecării cauzei odată cu sesizarea Curții Constituționale a României, instanța de recurs a continuat judecarea căii de atac în dosarul nr. D2, pronunțând decizia definitivă nr. DC1/... din ..., prin care Curtea de Apel ....- Secția .... a respins recursul.</w:t>
      </w:r>
    </w:p>
    <w:p>
      <w:pPr>
        <w:pStyle w:val="Bodytext21"/>
        <w:jc w:val="both"/>
        <w:rPr>
          <w:sz w:val="24"/>
        </w:rPr>
      </w:pPr>
      <w:r>
        <w:rPr>
          <w:rStyle w:val="Fontdeparagrafimplicit"/>
          <w:sz w:val="24"/>
        </w:rPr>
        <w:t xml:space="preserve">Prin decizia nr. ... din ..., publicată în M.O nr. ...., Curtea Constituțională a României a admis  excepția de neconstituționalitate ridicată de B1 în Dosarul nr. .... al Tribunalului .... - Secția ...., de B2 în Dosarul nr. ... al Tribunalului ... - Secția ..., de R1 în Dosarul nr. D2 al Curții de Apel ... - Secția ..., de B3 în dosarul nr. ... al Tribunalului ...- Secția ..., de B4 în Dosarul nr. ... al Tribunalului ... - Secția ...., de ... şi de B5 în dosarul nr. ... al Tribunalului ... - Secția ..., de ... și constată că dispozițiile art. 14 alin. (l) lit. d) și ale art. 57 alin. (4) lit. b) din Legea nr.295/2004 privind regimul armelor și al munițiilor sunt neconstituționale. </w:t>
      </w:r>
    </w:p>
    <w:p>
      <w:pPr>
        <w:pStyle w:val="Bodytext21"/>
        <w:jc w:val="both"/>
        <w:rPr>
          <w:sz w:val="24"/>
        </w:rPr>
      </w:pPr>
      <w:r>
        <w:rPr>
          <w:rStyle w:val="Fontdeparagrafimplicit"/>
          <w:color w:val="000000"/>
          <w:sz w:val="24"/>
        </w:rPr>
        <w:t>În paragraful 64 a reținut „în ceea ce privește prevederile art. 44 alin. l lit. a și art.70 alin. l lit. c din Legea nr. 295/2004, Curtea observă că acestea reprezintă norme de trimitere la cele ale art.14 alin. l lit. d din același act normativ, în condițiile admiterii excepției de neconstituționalitate a acestora din urmă, criticile astfel formulate rămân fără obiect’’, soluția fiind astfel de respingere, ca fiind rămasă fără obiect.</w:t>
      </w:r>
    </w:p>
    <w:p>
      <w:pPr>
        <w:pStyle w:val="Bodytext21"/>
        <w:jc w:val="both"/>
        <w:rPr>
          <w:sz w:val="24"/>
        </w:rPr>
      </w:pPr>
      <w:r>
        <w:rPr>
          <w:rStyle w:val="Fontdeparagrafimplicit"/>
          <w:color w:val="000000"/>
          <w:sz w:val="24"/>
        </w:rPr>
        <w:t>Motivul de revizuire prevăzut de art. 509 alin. 1 pct. 11 C. proc. civ. poate fi invocat atunci când după ce hotărârea a devenit definitivă, Curtea Constituțională s-a pronunțat asupra excepției invocate în acea cauza, declarând neconstituțională prevederea care a făcut obiectul acelei excepții.</w:t>
      </w:r>
    </w:p>
    <w:p>
      <w:pPr>
        <w:pStyle w:val="Bodytext21"/>
        <w:spacing w:line="259" w:lineRule="auto"/>
        <w:jc w:val="both"/>
        <w:rPr>
          <w:sz w:val="24"/>
        </w:rPr>
      </w:pPr>
      <w:r>
        <w:rPr>
          <w:rStyle w:val="Fontdeparagrafimplicit"/>
          <w:color w:val="000000"/>
          <w:sz w:val="24"/>
        </w:rPr>
        <w:t>Or, în cauză, a solicitat instanței de contencios administrativ anularea a doua acte administrative emise în temeiul dispozițiilor ce au fost declarate neconstituționale prin decizia nr. ... de către C.C.R., iar argumentele instanțelor de contencios administrativ avute în vedere la soluțiile de respingere a acțiunii și a căii de atac a recursului, au avut în vedere exact aceste temeiuri juridice, care ulterior au fost declarate neconstituționale.</w:t>
      </w:r>
    </w:p>
    <w:p>
      <w:pPr>
        <w:pStyle w:val="Bodytext21"/>
        <w:spacing w:line="259" w:lineRule="auto"/>
        <w:jc w:val="both"/>
        <w:rPr>
          <w:sz w:val="24"/>
        </w:rPr>
      </w:pPr>
      <w:r>
        <w:rPr>
          <w:rStyle w:val="Fontdeparagrafimplicit"/>
          <w:color w:val="000000"/>
          <w:sz w:val="24"/>
        </w:rPr>
        <w:t>În această procedură a revizuirii, a învederat că valorifică soluția Curții Constituționale în raport cu argumentele reținute de instanțele de contencios administrativ și nu în raport de materialul probator aflat la dosar, deoarece actele, adeverința nr. ...1 ....7 din 07.10.2020, respectiv adeverința nr. ....3 ...0 din 25.02.2021, emise de intimatul I.P.J ..., a căror anulare a solicitat-o în dosarul nr. D2, nu mai au temei juridic urmare a deciziei Curții Constituționale nr. .....</w:t>
      </w:r>
    </w:p>
    <w:p>
      <w:pPr>
        <w:pStyle w:val="Bodytext21"/>
        <w:ind w:firstLine="700"/>
        <w:jc w:val="both"/>
        <w:rPr>
          <w:sz w:val="24"/>
        </w:rPr>
      </w:pPr>
      <w:r>
        <w:rPr>
          <w:rStyle w:val="Fontdeparagrafimplicit"/>
          <w:color w:val="000000"/>
          <w:sz w:val="24"/>
        </w:rPr>
        <w:t>Astfel, admiterea prezentei cereri de revizuire întemeiată pe dispoz. art. 509 alin. l pct. 11 C. pr. civ, a hotărârii Curții de Apel ....pronunțată în dosarul nr. D2, se impune ca o necesitate a aplicării și respectării drepturilor și garanțiilor procesuale ale reclamantului.</w:t>
      </w:r>
    </w:p>
    <w:p>
      <w:pPr>
        <w:pStyle w:val="Bodytext21"/>
        <w:ind w:firstLine="700"/>
        <w:jc w:val="both"/>
        <w:rPr>
          <w:sz w:val="24"/>
        </w:rPr>
      </w:pPr>
      <w:r>
        <w:rPr>
          <w:rStyle w:val="Fontdeparagrafimplicit"/>
          <w:color w:val="000000"/>
          <w:sz w:val="24"/>
        </w:rPr>
        <w:t>Prevederea legală a fost, așa cum a arătat anterior, determinantă în adoptarea atât a soluției de către Curtea de Apel ... prin decizia nr. DC1/..., cât și de către Tribunalul ..., prin sentința nr. SC1/... din .....</w:t>
      </w:r>
    </w:p>
    <w:p>
      <w:pPr>
        <w:pStyle w:val="Bodytext21"/>
        <w:ind w:firstLine="700"/>
        <w:jc w:val="both"/>
        <w:rPr>
          <w:sz w:val="24"/>
        </w:rPr>
      </w:pPr>
      <w:r>
        <w:rPr>
          <w:rStyle w:val="Fontdeparagrafimplicit"/>
          <w:color w:val="000000"/>
          <w:sz w:val="24"/>
        </w:rPr>
        <w:t>În raport cu data publicării în M.OF. a deciziei Curții Constituționale, a precizat că a respectat termenul de 3 luni, prev. de disp. art. 511 alin. 3 C. pr. civ.</w:t>
      </w:r>
    </w:p>
    <w:p>
      <w:pPr>
        <w:pStyle w:val="Bodytext21"/>
        <w:ind w:firstLine="700"/>
        <w:jc w:val="both"/>
        <w:rPr>
          <w:sz w:val="24"/>
        </w:rPr>
      </w:pPr>
      <w:r>
        <w:rPr>
          <w:rStyle w:val="Fontdeparagrafimplicit"/>
          <w:color w:val="000000"/>
          <w:sz w:val="24"/>
        </w:rPr>
        <w:t>În drept, cererea de revizuire a fost întemeiată pe disp. art. 509 alin. l pct. 11 C. pr. civ. și urm. C. pr. civ. și Decizia nr. .... a Curții Constituționale, publicată în M.O. nr. .....</w:t>
      </w:r>
    </w:p>
    <w:p>
      <w:pPr>
        <w:pStyle w:val="Bodytext21"/>
        <w:ind w:firstLine="700"/>
        <w:jc w:val="both"/>
        <w:rPr>
          <w:color w:val="000000"/>
          <w:sz w:val="24"/>
        </w:rPr>
      </w:pPr>
      <w:r>
        <w:rPr>
          <w:rStyle w:val="Fontdeparagrafimplicit"/>
          <w:color w:val="000000"/>
          <w:sz w:val="24"/>
        </w:rPr>
        <w:t>A atașat Decizia nr. .... a Curții Constituționale, publicată în M.O nr. .... și copie C.I.</w:t>
      </w:r>
    </w:p>
    <w:p>
      <w:pPr>
        <w:pStyle w:val="Bodytext21"/>
        <w:ind w:firstLine="700"/>
        <w:jc w:val="both"/>
        <w:rPr>
          <w:b/>
          <w:i/>
          <w:i/>
          <w:sz w:val="24"/>
        </w:rPr>
      </w:pPr>
      <w:r>
        <w:rPr>
          <w:rStyle w:val="Fontdeparagrafimplicit"/>
          <w:b/>
          <w:i/>
          <w:sz w:val="24"/>
        </w:rPr>
        <w:t>Legal citat, intimatul nu a formulat întâmpinare.</w:t>
      </w:r>
    </w:p>
    <w:p>
      <w:pPr>
        <w:pStyle w:val="Normal"/>
        <w:ind w:firstLine="700"/>
        <w:jc w:val="both"/>
        <w:rPr>
          <w:b/>
          <w:i/>
          <w:i/>
        </w:rPr>
      </w:pPr>
      <w:bookmarkStart w:name="_Hlk156814169" w:id="2"/>
      <w:r>
        <w:rPr>
          <w:rStyle w:val="Fontdeparagrafimplicit"/>
          <w:b/>
          <w:i/>
        </w:rPr>
        <w:t>Examinând cererea de revizuire prin prisma motivelor formulate şi dispoziţiilor legale incidente în cauză, Curtea constată următoarele:</w:t>
      </w:r>
    </w:p>
    <w:p>
      <w:pPr>
        <w:pStyle w:val="Normal"/>
        <w:ind w:left="29" w:right="14" w:firstLine="677"/>
        <w:jc w:val="both"/>
        <w:rPr/>
      </w:pPr>
      <w:r>
        <w:rPr>
          <w:rStyle w:val="rvts2"/>
        </w:rPr>
        <w:t>Revizuirea, fiind o cale extraordinară de atac, dispoziţiile legale care o reglementează sunt de strictă interpretare, aşa încât exercitarea ei nu poate avea loc decât în cazurile şi în condiţiile expres prevăzute de lege.</w:t>
      </w:r>
    </w:p>
    <w:p>
      <w:pPr>
        <w:pStyle w:val="Normal"/>
        <w:ind w:firstLine="700"/>
        <w:jc w:val="both"/>
        <w:rPr>
          <w:b/>
          <w:i/>
          <w:i/>
        </w:rPr>
      </w:pPr>
      <w:r>
        <w:rPr>
          <w:rStyle w:val="rvts8"/>
        </w:rPr>
        <w:t>Potrivit art.509 al.1 pct.  11.</w:t>
      </w:r>
      <w:r>
        <w:rPr>
          <w:rStyle w:val="Bodytext2"/>
          <w:sz w:val="24"/>
        </w:rPr>
        <w:t xml:space="preserve"> </w:t>
      </w:r>
      <w:r>
        <w:rPr>
          <w:rStyle w:val="rvts7"/>
        </w:rPr>
        <w:t>Art. 509</w:t>
      </w:r>
      <w:r>
        <w:rPr>
          <w:rStyle w:val="rvts14"/>
        </w:rPr>
        <w:t>*)</w:t>
      </w:r>
      <w:r>
        <w:rPr>
          <w:rStyle w:val="rvts7"/>
        </w:rPr>
        <w:t> </w:t>
      </w:r>
      <w:r>
        <w:rPr>
          <w:rStyle w:val="rvts8"/>
        </w:rPr>
        <w:t> Revizuirea unei hotărâri pronunţate asupra fondului sau care evocă fondul poate fi cerută dacă: după ce hotărârea a devenit definitivă, Curtea Constituţională s-a pronunţat asupra excepţiei invocate în acea cauză, declarând neconstituţională prevederea care a făcut obiectul acelei excepţii.</w:t>
      </w:r>
    </w:p>
    <w:p>
      <w:pPr>
        <w:pStyle w:val="Bodytext21"/>
        <w:spacing w:line="259" w:lineRule="auto"/>
        <w:jc w:val="both"/>
        <w:rPr>
          <w:sz w:val="24"/>
        </w:rPr>
      </w:pPr>
      <w:r>
        <w:rPr>
          <w:rStyle w:val="Fontdeparagrafimplicit"/>
          <w:color w:val="000000"/>
          <w:sz w:val="24"/>
        </w:rPr>
        <w:t>Obiectul cererii de chemare în judecată a vizat anularea adreselor nr. ...1 ...7 din 07.10.2020, respectiv nr. ...3 ...0 din 25.02.2021, ambele emise de intimatul I.P.J ....</w:t>
      </w:r>
    </w:p>
    <w:p>
      <w:pPr>
        <w:pStyle w:val="Bodytext21"/>
        <w:spacing w:line="259" w:lineRule="auto"/>
        <w:jc w:val="both"/>
        <w:rPr>
          <w:sz w:val="24"/>
        </w:rPr>
      </w:pPr>
      <w:r>
        <w:rPr>
          <w:rStyle w:val="Fontdeparagrafimplicit"/>
          <w:color w:val="000000"/>
          <w:sz w:val="24"/>
        </w:rPr>
        <w:t>Prin sentința nr.SC1/...s-a respins acţiunea.</w:t>
      </w:r>
    </w:p>
    <w:p>
      <w:pPr>
        <w:pStyle w:val="Bodytext21"/>
        <w:spacing w:line="259" w:lineRule="auto"/>
        <w:jc w:val="both"/>
        <w:rPr>
          <w:sz w:val="24"/>
        </w:rPr>
      </w:pPr>
      <w:r>
        <w:rPr>
          <w:rStyle w:val="Fontdeparagrafimplicit"/>
          <w:color w:val="000000"/>
          <w:sz w:val="24"/>
        </w:rPr>
        <w:t>Prin încheierea din  22.09.2021, în dosarul Curții de Apel ..., s-a dispus sesizarea Curţii Constituţionale cu  excepția de neconstituționalitate a dispoziţiilor art. 14 alin. l lit. d și art. 70 alin. l lit. c din Legea nr. 295/2004, raportat la art. 21 alin. 2, art. 23 alin. 11, art. 24, art. 41 alin. l din Constituția României și, prin încheiere, a fost sesizată Curtea Constituțională a României, formându-se dosarul nr. D3.</w:t>
      </w:r>
    </w:p>
    <w:p>
      <w:pPr>
        <w:pStyle w:val="Bodytext21"/>
        <w:spacing w:line="259" w:lineRule="auto"/>
        <w:jc w:val="both"/>
        <w:rPr>
          <w:sz w:val="24"/>
        </w:rPr>
      </w:pPr>
      <w:r>
        <w:rPr>
          <w:rStyle w:val="Fontdeparagrafimplicit"/>
          <w:color w:val="000000"/>
          <w:sz w:val="24"/>
        </w:rPr>
        <w:t>Prin decizia definitivă nr. DC1/... din ..., Curtea de Apel ...  a respins recursul.</w:t>
      </w:r>
    </w:p>
    <w:p>
      <w:pPr>
        <w:pStyle w:val="Bodytext21"/>
        <w:jc w:val="both"/>
        <w:rPr>
          <w:color w:val="000000"/>
          <w:sz w:val="24"/>
        </w:rPr>
      </w:pPr>
      <w:r>
        <w:rPr>
          <w:rStyle w:val="Fontdeparagrafimplicit"/>
          <w:color w:val="000000"/>
          <w:sz w:val="24"/>
        </w:rPr>
        <w:t xml:space="preserve">Prin </w:t>
      </w:r>
      <w:r>
        <w:rPr>
          <w:rStyle w:val="Fontdeparagrafimplicit"/>
          <w:sz w:val="24"/>
        </w:rPr>
        <w:t>decizia nr. .... din ..., publicată în M.O nr. ...., Curtea Constituțională a României a dispus:,, 1. Admite excepția de neconstituționalitate ridicată de .... în Dosarul nr. .... al Tribunalului .... - Secția ..., de B2 în Dosarul nr. ... al Tribunalului .. Secția .. ..., de R1 în Dosarul nr. D2 al Curții de Apel ..- Secția ..., de B3 în dosarul nr. ... al Tribunalului ...- Secția ..., de B4 în Dosarul nr. ... al Tribunalului ... - Secția ..., de ... şi de B5 în dosarul nr. ... al Tribunalului ... - Secția ..., de ... și constată că dispozițiile art. 14 alin. (l) lit. d) și ale art. 57 alin. (4) lit. b) din Legea nr.295/2004 privind regimul armelor și al munițiilor sunt neconstituționale. 2. Respinge, ca neîntemeiată, excepția de neconstituționalitate ridicată de aceiași autori în aceleași dosare ale acelorași instanțe și constată că dispozițiile art. 44 alin. (l) lit. a) și alin.(3) și ale art</w:t>
      </w:r>
      <w:r>
        <w:rPr>
          <w:rStyle w:val="Fontdeparagrafimplicit"/>
          <w:color w:val="000000"/>
          <w:sz w:val="24"/>
        </w:rPr>
        <w:t>. 70 alin.(l) lit. c) din Legea nr. 295/2004 privind regimul armelor și al munițiilor sunt constituționale în raport cu criticile formulate. Definitivă și general obligatorie”.</w:t>
      </w:r>
    </w:p>
    <w:p>
      <w:pPr>
        <w:pStyle w:val="Normal"/>
        <w:ind w:firstLine="709"/>
        <w:jc w:val="both"/>
        <w:rPr>
          <w:shd w:val="clear" w:fill="FFFFFF"/>
        </w:rPr>
      </w:pPr>
      <w:r>
        <w:rPr>
          <w:rStyle w:val="Fontdeparagrafimplicit"/>
          <w:shd w:val="clear" w:fill="FFFFFF"/>
        </w:rPr>
        <w:t xml:space="preserve">Potrivit dispoziţiilor art. 31 alin.1 din Legea nr.47/1992 privind organizarea şi funcționarea Curții Constituționale, decizia prin care se constată neconstituționalitatea unei legi sau ordonanțe ori a unei dispoziții dintr-o lege sau ordonanță  în vigoare este definitivă şi obligatorie. </w:t>
      </w:r>
    </w:p>
    <w:p>
      <w:pPr>
        <w:pStyle w:val="Normal"/>
        <w:ind w:firstLine="709"/>
        <w:jc w:val="both"/>
        <w:rPr>
          <w:shd w:val="clear" w:fill="FFFFFF"/>
        </w:rPr>
      </w:pPr>
      <w:r>
        <w:rPr>
          <w:rStyle w:val="Fontdeparagrafimplicit"/>
          <w:shd w:val="clear" w:fill="FFFFFF"/>
        </w:rPr>
        <w:t>Efectele deciziei Curții Constituționale se răsfrâng, pe de o parte, direct şi nemijlocit chiar în cauza în care a fost invocată excepția de neconstituționalitate, iar pe de altă parte, prin intermediul mecanismelor juridice prevăzute de art. 147 alin.1 şi 4 din Constituție şi art.31 alin.1 şi 3 din Legea nr.47/1992, şi în alte cauze.</w:t>
      </w:r>
    </w:p>
    <w:p>
      <w:pPr>
        <w:pStyle w:val="Normal"/>
        <w:ind w:firstLine="709"/>
        <w:jc w:val="both"/>
        <w:rPr>
          <w:shd w:val="clear" w:fill="FFFFFF"/>
        </w:rPr>
      </w:pPr>
      <w:r>
        <w:rPr>
          <w:rStyle w:val="Fontdeparagrafimplicit"/>
          <w:shd w:val="clear" w:fill="FFFFFF"/>
        </w:rPr>
        <w:t xml:space="preserve">Declararea, prin intermediul excepției de neconstituționalitate, a neconstituționalității unei dispoziții legale conduce la suspendarea de drept şi respectiv la încetarea efectelor sale juridice. </w:t>
      </w:r>
    </w:p>
    <w:p>
      <w:pPr>
        <w:pStyle w:val="Normal"/>
        <w:ind w:firstLine="709"/>
        <w:jc w:val="both"/>
        <w:rPr>
          <w:shd w:val="clear" w:fill="FFFFFF"/>
        </w:rPr>
      </w:pPr>
      <w:r>
        <w:rPr>
          <w:rStyle w:val="Fontdeparagrafimplicit"/>
          <w:shd w:val="clear" w:fill="FFFFFF"/>
        </w:rPr>
        <w:t xml:space="preserve">Legalitatea actelor administrative se examinează prin raportare la actele normative cu forţă juridică superioară, ținând seama de principiul legalității şi de principiul ierarhiei şi forţei juridice a actelor normative consacrate de art. 1 alin. (5) din Constituție şi de art. 4 alin. (3) din Legea nr. 24/2000 privind normele de tehnică legislativă pentru elaborarea actelor normative. </w:t>
      </w:r>
    </w:p>
    <w:p>
      <w:pPr>
        <w:pStyle w:val="Normal"/>
        <w:ind w:firstLine="709"/>
        <w:jc w:val="both"/>
        <w:rPr/>
      </w:pPr>
      <w:r>
        <w:rPr>
          <w:rStyle w:val="rvts4"/>
        </w:rPr>
        <w:t>În ceea ce priveşte dispoziţiile legale care nu mai sunt în vigoare constatate ca fiind neconstituţionale, Curtea Constituţională a reţinut prin </w:t>
      </w:r>
      <w:hyperlink r:id="rId2">
        <w:r>
          <w:rPr>
            <w:rStyle w:val="Hyperlink"/>
          </w:rPr>
          <w:t>Decizia</w:t>
        </w:r>
      </w:hyperlink>
      <w:r>
        <w:rPr>
          <w:rStyle w:val="rvts4"/>
        </w:rPr>
        <w:t> nr. 766 din 15 iunie 2011, publicată în Monitorul Oficial al României, Partea I, nr. 549 din 3 august 2011, că acestea vor fi înlăturate de la aplicare în toate situaţiile juridice în care continuă să-şi producă efectele juridice neconstituţionale, în virtutea principiului</w:t>
      </w:r>
      <w:r>
        <w:rPr>
          <w:rStyle w:val="rvts7"/>
        </w:rPr>
        <w:t> "tempus regit actum". </w:t>
      </w:r>
      <w:r>
        <w:rPr>
          <w:rStyle w:val="rvts4"/>
        </w:rPr>
        <w:t>Deciziile de constatare a neconstituţionalităţii nu trebuie să se aplice numai raporturilor juridice care urmează a se naşte, ci trebuie să profite, în primul rând, autorului excepţiei de neconstituţionalitate lezat în drepturile sale prin norma constatată ca fiind contrară Legii fundamentale. Aceasta cu atât mai mult cu cât excepţia de neconstituţionalitate constituie întotdeauna un mijloc de apărare într-un litigiu în curs de soluţionare care nu pune în discuţie fondul pretenţiei deduse judecăţii (a se vedea, în acest sens, </w:t>
      </w:r>
      <w:hyperlink r:id="rId3">
        <w:r>
          <w:rPr>
            <w:rStyle w:val="Hyperlink"/>
          </w:rPr>
          <w:t>Decizia</w:t>
        </w:r>
      </w:hyperlink>
      <w:r>
        <w:rPr>
          <w:rStyle w:val="rvts4"/>
        </w:rPr>
        <w:t> nr. 5 din 9 ianuarie 2007, publicată în Monitorul Oficial al României, partea I, nr. 74 din 31 ianuarie 2007).</w:t>
      </w:r>
    </w:p>
    <w:p>
      <w:pPr>
        <w:pStyle w:val="Normal"/>
        <w:ind w:firstLine="709"/>
        <w:jc w:val="both"/>
        <w:rPr/>
      </w:pPr>
      <w:r>
        <w:rPr>
          <w:rStyle w:val="rvts4"/>
        </w:rPr>
        <w:t xml:space="preserve"> </w:t>
      </w:r>
      <w:r>
        <w:rPr>
          <w:rStyle w:val="rvts4"/>
        </w:rPr>
        <w:t>În acest sens, legiuitorul a reglementat calea de atac a revizuirii unei hotărâri judecătoreşti definitive pronunţate în cauzele în care a fost ulterior admisă o excepţie de neconstituţionalitate, în scopul acordării mijloacelor de apărare în vederea realizării drepturilor şi intereselor părţilor în faţa justiţiei.</w:t>
      </w:r>
    </w:p>
    <w:p>
      <w:pPr>
        <w:pStyle w:val="Normal"/>
        <w:ind w:firstLine="709"/>
        <w:jc w:val="both"/>
        <w:rPr/>
      </w:pPr>
      <w:r>
        <w:rPr>
          <w:rStyle w:val="rvts4"/>
        </w:rPr>
        <w:t xml:space="preserve"> </w:t>
      </w:r>
      <w:r>
        <w:rPr>
          <w:rStyle w:val="rvts4"/>
        </w:rPr>
        <w:t>Aşadar, deciziile instanţei constituţionale prin care s-a constatat neconstituţionalitatea unui text legal au reprezentat motiv de revizuire odată cu adoptarea </w:t>
      </w:r>
      <w:hyperlink r:id="rId4">
        <w:r>
          <w:rPr>
            <w:rStyle w:val="Hyperlink"/>
          </w:rPr>
          <w:t>Legii nr. 177/2010</w:t>
        </w:r>
      </w:hyperlink>
      <w:r>
        <w:rPr>
          <w:rStyle w:val="rvts4"/>
        </w:rPr>
        <w:t> pentru modificarea şi completarea Legii nr. 47/1992 privind organizarea şi funcţionarea Curţii Constituţionale, a Codului de procedură civilă şi a Codului de procedură penală al României, publicată în Monitorul Oficial al României, Partea I, nr. 672 din 4 octombrie 2010, act normativ prin care s-a eliminat suspendarea judecării cauzei în situaţia invocării excepţiei de neconstituţionalitate şi, în materie civilă, a fost reglementat un nou motiv de revizuire la </w:t>
      </w:r>
      <w:hyperlink r:id="rId5">
        <w:r>
          <w:rPr>
            <w:rStyle w:val="Hyperlink"/>
          </w:rPr>
          <w:t>art. 322</w:t>
        </w:r>
      </w:hyperlink>
      <w:r>
        <w:rPr>
          <w:rStyle w:val="rvts4"/>
        </w:rPr>
        <w:t> pct. 10 din Codul de procedură civilă din 1865.</w:t>
      </w:r>
    </w:p>
    <w:p>
      <w:pPr>
        <w:pStyle w:val="Normal"/>
        <w:ind w:firstLine="709"/>
        <w:jc w:val="both"/>
        <w:rPr/>
      </w:pPr>
      <w:r>
        <w:rPr>
          <w:rStyle w:val="rvts4"/>
        </w:rPr>
        <w:t xml:space="preserve"> </w:t>
      </w:r>
      <w:r>
        <w:rPr>
          <w:rStyle w:val="rvts4"/>
        </w:rPr>
        <w:t>Având în vedere faptul că revizuentul este şi  autorul  excepţiei de neconstituţionalitate din prezenta cauză şi văzând şi jursprudenţa  Curţii Constituţionale, ca o garanţie a apărării drepturilor justiţiabililor, va admite cererea de revizuire şi va s</w:t>
      </w:r>
      <w:r>
        <w:rPr/>
        <w:t>chimba în tot decizia nr. DC1/... a Curţii de Apel .....</w:t>
      </w:r>
    </w:p>
    <w:p>
      <w:pPr>
        <w:pStyle w:val="Frspaiere"/>
        <w:ind w:firstLine="720"/>
        <w:jc w:val="both"/>
        <w:rPr>
          <w:rFonts w:ascii="Times New Roman" w:hAnsi="Times New Roman"/>
          <w:color w:val="000000"/>
          <w:sz w:val="24"/>
          <w:lang w:val="ro-RO"/>
        </w:rPr>
      </w:pPr>
      <w:r>
        <w:rPr>
          <w:rStyle w:val="rvts4"/>
          <w:rFonts w:ascii="Times New Roman" w:hAnsi="Times New Roman"/>
          <w:sz w:val="24"/>
          <w:lang w:val="ro-RO"/>
        </w:rPr>
        <w:t xml:space="preserve">Asupra recursului </w:t>
      </w:r>
      <w:r>
        <w:rPr>
          <w:rStyle w:val="Fontdeparagrafimplicit"/>
          <w:rFonts w:ascii="Times New Roman" w:hAnsi="Times New Roman"/>
          <w:sz w:val="24"/>
          <w:lang w:val="ro-RO"/>
        </w:rPr>
        <w:t>,</w:t>
      </w:r>
      <w:r>
        <w:rPr>
          <w:rStyle w:val="Fontdeparagrafimplicit"/>
          <w:rFonts w:ascii="Times New Roman" w:hAnsi="Times New Roman"/>
          <w:color w:val="000000"/>
          <w:sz w:val="24"/>
          <w:lang w:val="ro-RO"/>
        </w:rPr>
        <w:t xml:space="preserve"> reclamantul critică soluţia primei instanţe, invocând cazul de casare prev.de art 488 alin 1 pct 6 cod  pr civilă, iar circumscris acestui caz de  casare  reiterează  nemulţumirele  privind lipsa motivării refuzului de acordare armament  în dotare  şi implicit  lipsa motivării  sentinţei . </w:t>
      </w:r>
    </w:p>
    <w:p>
      <w:pPr>
        <w:pStyle w:val="Frspaiere"/>
        <w:ind w:firstLine="720"/>
        <w:jc w:val="both"/>
        <w:rPr>
          <w:rFonts w:ascii="Times New Roman" w:hAnsi="Times New Roman"/>
          <w:color w:val="000000"/>
          <w:sz w:val="24"/>
        </w:rPr>
      </w:pPr>
      <w:r>
        <w:rPr>
          <w:rStyle w:val="Fontdeparagrafimplicit"/>
          <w:rFonts w:ascii="Times New Roman" w:hAnsi="Times New Roman"/>
          <w:color w:val="000000"/>
          <w:sz w:val="24"/>
          <w:lang w:val="ro-RO"/>
        </w:rPr>
        <w:t xml:space="preserve"> </w:t>
      </w:r>
      <w:r>
        <w:rPr>
          <w:rStyle w:val="Fontdeparagrafimplicit"/>
          <w:rFonts w:ascii="Times New Roman" w:hAnsi="Times New Roman"/>
          <w:color w:val="000000"/>
          <w:sz w:val="24"/>
        </w:rPr>
        <w:t>În motivarea măsurii refuzului s-a reţinut faptul că  nu mai sunt îndeplinite  condiţiile  art. 70 alin.1  lit c , coroborat cu  art 14 alin. 1 lit.d  din legea nr  295/2004 privind regimul armelor  şi muniţiilor, iar  acesta figurează  ca având calitate de inculpat  în dosarul  penal nr.  D4.</w:t>
      </w:r>
    </w:p>
    <w:p>
      <w:pPr>
        <w:pStyle w:val="Normal"/>
        <w:ind w:firstLine="709"/>
        <w:jc w:val="both"/>
        <w:rPr/>
      </w:pPr>
      <w:r>
        <w:rPr>
          <w:rStyle w:val="rvts4"/>
        </w:rPr>
        <w:t>Cum în cadrul procesului judiciar, excepţia de neconstituţionalitate se înscrie în rândul excepţiilor de procedură prin care se urmăreşte împiedicarea unei judecăţi care s-ar întemeia pe o dispoziţie legală neconstituţională, constatarea neconstituţionalităţii unui text de lege ca urmare a invocării unei excepţii de neconstituţionalitate trebuie să profite autorilor acesteia şi nu poate constitui doar un instrument de drept abstract, întrucât ea vizează în primul rând situaţia concretă a cetăţeanului lezat în drepturile sale prin norma criticată.</w:t>
      </w:r>
    </w:p>
    <w:p>
      <w:pPr>
        <w:pStyle w:val="Normal"/>
        <w:ind w:firstLine="708"/>
        <w:jc w:val="both"/>
        <w:rPr/>
      </w:pPr>
      <w:r>
        <w:rPr>
          <w:rStyle w:val="rvts4"/>
        </w:rPr>
        <w:t>   </w:t>
      </w:r>
      <w:r>
        <w:rPr/>
        <w:t>Prima instanţă a soluţionat cauza fără lămurirea unor aspecte esenţiale legate de condiţiile de exercitare a acţiunii civile, cu nesocotirea dispoziţiilor art. 22 alin. 2 şi art. 32 din Noul Cod de procedură civilă care impun judecătorului să stăruie, prin toate mijloacele legale, pentru a preveni orice greşeală privind aflarea adevărului în cauză, pe baza stabilirii faptelor şi prin aplicarea corectă a legii, în scopul pronunţării unei hotărâri temeinice şi legale.</w:t>
      </w:r>
    </w:p>
    <w:p>
      <w:pPr>
        <w:pStyle w:val="Normal"/>
        <w:ind w:firstLine="708"/>
        <w:jc w:val="both"/>
        <w:rPr/>
      </w:pPr>
      <w:r>
        <w:rPr/>
        <w:t>În aceste condiţii, Curtea constată că, motivul de recurs privind necercetarea fondului cauzei, raportat la susţinerile şi apărările părţilor, este fondat astfel că, în raport de prevederile art. 496 alin.2, art. 498 alin.2 şi art. 488 alin.1 pct.6 şi  8 NCPC, admiţând recursul formulat, va casa sentinţa şi va  trimite cauza spre rejudecare aceleiaşi instanţe.</w:t>
      </w:r>
      <w:r>
        <w:rPr>
          <w:rStyle w:val="rvts8"/>
        </w:rPr>
        <w:t> </w:t>
      </w:r>
    </w:p>
    <w:p>
      <w:pPr>
        <w:pStyle w:val="Normal"/>
        <w:ind w:firstLine="708"/>
        <w:jc w:val="both"/>
        <w:rPr/>
      </w:pPr>
      <w:bookmarkStart w:name="_Hlk156814169" w:id="3"/>
      <w:r>
        <w:rPr/>
        <w:t>In rejudecare, instanţa va analiza actele administrative contestate , în raport de considerentele expuse anterior, va face probatoriile necesare si va interpreta si aplica legislaţia incidentă faţă de pretenţiile concrete ale reclamantului  şi de apărările intimatului.</w:t>
      </w:r>
      <w:bookmarkEnd w:id="3"/>
    </w:p>
    <w:p>
      <w:pPr>
        <w:pStyle w:val="Normal"/>
        <w:rPr>
          <w:b/>
        </w:rPr>
      </w:pPr>
      <w:r>
        <w:rPr>
          <w:b/>
        </w:rPr>
      </w:r>
    </w:p>
    <w:p>
      <w:pPr>
        <w:pStyle w:val="Normal"/>
        <w:jc w:val="center"/>
        <w:rPr>
          <w:b/>
        </w:rPr>
      </w:pPr>
      <w:r>
        <w:rPr>
          <w:rStyle w:val="Fontdeparagrafimplicit"/>
          <w:b/>
        </w:rPr>
        <w:t>PENTRU ACESTE MOTIVE,</w:t>
        <w:br/>
        <w:t>ÎN NUMELE LEGII</w:t>
      </w:r>
    </w:p>
    <w:p>
      <w:pPr>
        <w:pStyle w:val="Normal"/>
        <w:jc w:val="center"/>
        <w:rPr>
          <w:b/>
        </w:rPr>
      </w:pPr>
      <w:r>
        <w:rPr>
          <w:rStyle w:val="Fontdeparagrafimplicit"/>
          <w:b/>
        </w:rPr>
        <w:t>DECIDE</w:t>
      </w:r>
    </w:p>
    <w:p>
      <w:pPr>
        <w:pStyle w:val="Normal"/>
        <w:rPr>
          <w:rStyle w:val="Fontdeparagrafimplicit"/>
        </w:rPr>
      </w:pPr>
      <w:r>
        <w:rPr/>
      </w:r>
    </w:p>
    <w:p>
      <w:pPr>
        <w:pStyle w:val="Normal"/>
        <w:ind w:firstLine="709"/>
        <w:jc w:val="both"/>
        <w:rPr/>
      </w:pPr>
      <w:r>
        <w:rPr/>
        <w:t>Admite cererea de revizuire formulată de revizuentul R1, cu domiciliul în oraş ..., jud. ..., împotriva deciziei nr. DC1 din data de ..., pronunţată de Curtea de Apel ....– Secţia ..., în dosarul nr. D2, în contradictoriu cu intimatul INSPECTORATUL JUDEŢEAN DE POLIŢIE ...-BIROUL ARME, EXPLOZIVI ŞI SUBSTANŢE PERICULOASE, cu sediul în .... jud. ....</w:t>
      </w:r>
    </w:p>
    <w:p>
      <w:pPr>
        <w:pStyle w:val="Normal"/>
        <w:ind w:firstLine="709"/>
        <w:jc w:val="both"/>
        <w:rPr/>
      </w:pPr>
      <w:r>
        <w:rPr/>
        <w:t>Schimbă în tot decizia nr. DC1/... a Curţii de Apel ....</w:t>
      </w:r>
    </w:p>
    <w:p>
      <w:pPr>
        <w:pStyle w:val="Normal"/>
        <w:ind w:firstLine="709"/>
        <w:jc w:val="both"/>
        <w:rPr/>
      </w:pPr>
      <w:r>
        <w:rPr/>
        <w:t>Admite recursul.</w:t>
      </w:r>
    </w:p>
    <w:p>
      <w:pPr>
        <w:pStyle w:val="Normal"/>
        <w:ind w:firstLine="709"/>
        <w:jc w:val="both"/>
        <w:rPr/>
      </w:pPr>
      <w:r>
        <w:rPr/>
        <w:t>Casează în tot sentinţa şi trimite cauza spre rejudecare aceleiaşi instanţe.</w:t>
      </w:r>
    </w:p>
    <w:p>
      <w:pPr>
        <w:pStyle w:val="Normal"/>
        <w:ind w:firstLine="709"/>
        <w:jc w:val="both"/>
        <w:rPr/>
      </w:pPr>
      <w:r>
        <w:rPr/>
        <w:t>Definitivă.</w:t>
      </w:r>
    </w:p>
    <w:p>
      <w:pPr>
        <w:pStyle w:val="Normal"/>
        <w:ind w:firstLine="709"/>
        <w:rPr/>
      </w:pPr>
      <w:r>
        <w:rPr/>
        <w:t>Pronunţată la ...., conf. art. 402 C. pr. civ.</w:t>
      </w:r>
    </w:p>
    <w:p>
      <w:pPr>
        <w:pStyle w:val="Normal"/>
        <w:jc w:val="center"/>
        <w:rPr/>
      </w:pPr>
      <w:r>
        <w:rPr/>
      </w:r>
      <w:bookmarkStart w:name="completul_1" w:id="4"/>
      <w:bookmarkStart w:name="completul_1" w:id="5"/>
      <w:bookmarkEnd w:id="5"/>
    </w:p>
    <w:tbl>
      <w:tblPr>
        <w:tblW w:w="9288" w:type="dxa"/>
        <w:jc w:val="center"/>
        <w:tblInd w:w="0" w:type="dxa"/>
        <w:tblLayout w:type="fixed"/>
        <w:tblCellMar>
          <w:top w:w="284" w:type="dxa"/>
          <w:left w:w="108" w:type="dxa"/>
          <w:bottom w:w="284" w:type="dxa"/>
          <w:right w:w="108" w:type="dxa"/>
        </w:tblCellMar>
      </w:tblPr>
      <w:tblGrid>
        <w:gridCol w:w="3096"/>
        <w:gridCol w:w="3096"/>
        <w:gridCol w:w="3096"/>
      </w:tblGrid>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Preşedinte,</w:t>
            </w:r>
          </w:p>
          <w:p>
            <w:pPr>
              <w:pStyle w:val="Normal"/>
              <w:jc w:val="center"/>
              <w:rPr/>
            </w:pPr>
            <w:r>
              <w:rPr/>
              <w:t>A0006</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Judecător,</w:t>
            </w:r>
          </w:p>
          <w:p>
            <w:pPr>
              <w:pStyle w:val="Normal"/>
              <w:jc w:val="center"/>
              <w:rPr/>
            </w:pPr>
            <w:r>
              <w:rPr/>
              <w:t>... ...</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Judecător,</w:t>
            </w:r>
          </w:p>
          <w:p>
            <w:pPr>
              <w:pStyle w:val="Normal"/>
              <w:jc w:val="center"/>
              <w:rPr/>
            </w:pPr>
            <w:r>
              <w:rPr/>
              <w:t>...</w:t>
            </w:r>
          </w:p>
        </w:tc>
      </w:tr>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Grefier,</w:t>
            </w:r>
          </w:p>
          <w:p>
            <w:pPr>
              <w:pStyle w:val="Normal"/>
              <w:jc w:val="center"/>
              <w:rPr/>
            </w:pPr>
            <w:r>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r>
    </w:tbl>
    <w:p>
      <w:pPr>
        <w:pStyle w:val="Normal"/>
        <w:jc w:val="center"/>
        <w:rPr/>
      </w:pPr>
      <w:r>
        <w:rPr/>
      </w:r>
      <w:bookmarkStart w:name="completul_1" w:id="6"/>
      <w:bookmarkStart w:name="completul_1" w:id="7"/>
      <w:bookmarkEnd w:id="7"/>
    </w:p>
    <w:p>
      <w:pPr>
        <w:pStyle w:val="Normal"/>
        <w:jc w:val="center"/>
        <w:rPr/>
      </w:pPr>
      <w:r>
        <w:rPr/>
      </w:r>
    </w:p>
    <w:p>
      <w:pPr>
        <w:pStyle w:val="Normal"/>
        <w:rPr/>
      </w:pPr>
      <w:r>
        <w:rPr/>
        <w:t>Red. Jud. A0006/...</w:t>
      </w:r>
    </w:p>
    <w:p>
      <w:pPr>
        <w:pStyle w:val="Normal"/>
        <w:rPr/>
      </w:pPr>
      <w:r>
        <w:rPr/>
        <w:t>Tehnored. ..../4 ex.</w:t>
      </w:r>
    </w:p>
    <w:p>
      <w:pPr>
        <w:pStyle w:val="Normal"/>
        <w:rPr/>
      </w:pPr>
      <w:r>
        <w:rPr/>
        <w:t>Jud. recurs ....</w:t>
      </w:r>
    </w:p>
    <w:sectPr>
      <w:footerReference w:type="default" r:id="rId6"/>
      <w:type w:val="nextPage"/>
      <w:pgSz w:w="11906" w:h="16838"/>
      <w:pgMar w:top="1135" w:right="1417" w:bottom="1417" w:left="1417" w:header="0" w:footer="555"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ubsol"/>
      <w:jc w:val="center"/>
      <w:rPr/>
    </w:pPr>
    <w:r>
      <w:rPr/>
      <w:fldChar w:fldCharType="begin"/>
    </w:r>
    <w:r>
      <w:rPr/>
      <w:instrText xml:space="preserve"> PAGE </w:instrText>
    </w:r>
    <w:r>
      <w:rPr/>
      <w:fldChar w:fldCharType="separate"/>
    </w:r>
    <w:r>
      <w:rPr/>
      <w:t>5</w:t>
    </w:r>
    <w:r>
      <w:rPr/>
      <w:fldChar w:fldCharType="end"/>
    </w:r>
  </w:p>
  <w:p>
    <w:pPr>
      <w:pStyle w:val="Subsol"/>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19.48.53/ecris_cdms/document_upload.aspx?id_document=5400000001771574&amp;id_departament=5&amp;id_sesiune=2788899&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en-GB" w:eastAsia="en-GB"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en-GB" w:bidi="ar-SA"/>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Fontdeparagrafimplicit">
    <w:name w:val="Font de paragraf implicit"/>
    <w:qFormat/>
    <w:rPr/>
  </w:style>
  <w:style w:type="character" w:styleId="Bodytext2">
    <w:name w:val="Body text (2)_"/>
    <w:link w:val="Bodytext21"/>
    <w:qFormat/>
    <w:rPr>
      <w:sz w:val="26"/>
    </w:rPr>
  </w:style>
  <w:style w:type="character" w:styleId="AntetCaracter">
    <w:name w:val="Antet Caracter"/>
    <w:link w:val="Antet"/>
    <w:qFormat/>
    <w:rPr/>
  </w:style>
  <w:style w:type="character" w:styleId="SubsolCaracter">
    <w:name w:val="Subsol Caracter"/>
    <w:link w:val="Subsol"/>
    <w:qFormat/>
    <w:rPr/>
  </w:style>
  <w:style w:type="character" w:styleId="rvts2">
    <w:name w:val="rvts2"/>
    <w:qFormat/>
    <w:rPr/>
  </w:style>
  <w:style w:type="character" w:styleId="rvts8">
    <w:name w:val="rvts8"/>
    <w:basedOn w:val="Fontdeparagrafimplicit"/>
    <w:qFormat/>
    <w:rPr/>
  </w:style>
  <w:style w:type="character" w:styleId="rvts19">
    <w:name w:val="rvts19"/>
    <w:basedOn w:val="Fontdeparagrafimplicit"/>
    <w:qFormat/>
    <w:rPr/>
  </w:style>
  <w:style w:type="character" w:styleId="rvts7">
    <w:name w:val="rvts7"/>
    <w:basedOn w:val="Fontdeparagrafimplicit"/>
    <w:qFormat/>
    <w:rPr/>
  </w:style>
  <w:style w:type="character" w:styleId="rvts14">
    <w:name w:val="rvts14"/>
    <w:basedOn w:val="Fontdeparagrafimplicit"/>
    <w:qFormat/>
    <w:rPr/>
  </w:style>
  <w:style w:type="character" w:styleId="rvts10">
    <w:name w:val="rvts10"/>
    <w:basedOn w:val="Fontdeparagrafimplicit"/>
    <w:qFormat/>
    <w:rPr/>
  </w:style>
  <w:style w:type="character" w:styleId="rvts16">
    <w:name w:val="rvts16"/>
    <w:basedOn w:val="Fontdeparagrafimplicit"/>
    <w:qFormat/>
    <w:rPr/>
  </w:style>
  <w:style w:type="character" w:styleId="rvts4">
    <w:name w:val="rvts4"/>
    <w:basedOn w:val="Fontdeparagrafimplicit"/>
    <w:qFormat/>
    <w:rPr/>
  </w:style>
  <w:style w:type="character" w:styleId="rvts1">
    <w:name w:val="rvts1"/>
    <w:basedOn w:val="Fontdeparagrafimplicit"/>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Frspaiere">
    <w:name w:val="Fără spațiere"/>
    <w:qFormat/>
    <w:pPr>
      <w:widowControl/>
      <w:kinsoku w:val="true"/>
      <w:overflowPunct w:val="true"/>
      <w:autoSpaceDE w:val="true"/>
      <w:bidi w:val="0"/>
      <w:spacing w:before="0" w:after="0"/>
      <w:jc w:val="left"/>
    </w:pPr>
    <w:rPr>
      <w:rFonts w:ascii="Calibri" w:hAnsi="Calibri" w:eastAsia="Times New Roman" w:cs="Times New Roman"/>
      <w:color w:val="auto"/>
      <w:kern w:val="0"/>
      <w:sz w:val="22"/>
      <w:szCs w:val="20"/>
      <w:lang w:val="en-US" w:eastAsia="en-GB" w:bidi="ar-SA"/>
    </w:rPr>
  </w:style>
  <w:style w:type="paragraph" w:styleId="Titlu1">
    <w:name w:val="Titlu 1"/>
    <w:basedOn w:val="Normal"/>
    <w:next w:val="Normal"/>
    <w:qFormat/>
    <w:pPr>
      <w:keepNext w:val="true"/>
      <w:numPr>
        <w:ilvl w:val="0"/>
        <w:numId w:val="0"/>
      </w:numPr>
      <w:jc w:val="center"/>
      <w:outlineLvl w:val="0"/>
    </w:pPr>
    <w:rPr>
      <w:b/>
      <w:sz w:val="28"/>
      <w:lang w:val="en-US"/>
    </w:rPr>
  </w:style>
  <w:style w:type="paragraph" w:styleId="NormalWeb">
    <w:name w:val="Normal (Web)"/>
    <w:basedOn w:val="Normal"/>
    <w:qFormat/>
    <w:pPr>
      <w:spacing w:before="280" w:after="280"/>
    </w:pPr>
    <w:rPr/>
  </w:style>
  <w:style w:type="paragraph" w:styleId="Bodytext21">
    <w:name w:val="Body text (2)"/>
    <w:basedOn w:val="Normal"/>
    <w:link w:val="Bodytext2"/>
    <w:qFormat/>
    <w:pPr>
      <w:widowControl w:val="false"/>
      <w:spacing w:lineRule="auto" w:line="261"/>
      <w:ind w:firstLine="740"/>
    </w:pPr>
    <w:rPr>
      <w:sz w:val="26"/>
    </w:rPr>
  </w:style>
  <w:style w:type="paragraph" w:styleId="Antet">
    <w:name w:val="Antet"/>
    <w:basedOn w:val="Normal"/>
    <w:link w:val="AntetCaracter"/>
    <w:qFormat/>
    <w:pPr>
      <w:tabs>
        <w:tab w:val="clear" w:pos="720"/>
        <w:tab w:val="center" w:pos="4536" w:leader="none"/>
        <w:tab w:val="right" w:pos="9072" w:leader="none"/>
      </w:tabs>
    </w:pPr>
    <w:rPr/>
  </w:style>
  <w:style w:type="paragraph" w:styleId="Subsol">
    <w:name w:val="Subsol"/>
    <w:basedOn w:val="Normal"/>
    <w:link w:val="SubsolCaracter"/>
    <w:qFormat/>
    <w:pPr>
      <w:tabs>
        <w:tab w:val="clear" w:pos="720"/>
        <w:tab w:val="center" w:pos="4536" w:leader="none"/>
        <w:tab w:val="right" w:pos="9072" w:leader="none"/>
      </w:tabs>
    </w:pPr>
    <w:rPr/>
  </w:style>
  <w:style w:type="paragraph" w:styleId="rvps1">
    <w:name w:val="rvps1"/>
    <w:basedOn w:val="Normal"/>
    <w:qFormat/>
    <w:pPr>
      <w:spacing w:before="280" w:after="280"/>
    </w:pPr>
    <w:rPr>
      <w:lang w:val="en-US"/>
    </w:rPr>
  </w:style>
  <w:style w:type="paragraph" w:styleId="HeaderandFooter">
    <w:name w:val="Header and Footer"/>
    <w:basedOn w:val="Normal"/>
    <w:qFormat/>
    <w:pPr/>
    <w:rPr/>
  </w:style>
  <w:style w:type="paragraph" w:styleId="Footer">
    <w:name w:val="Footer"/>
    <w:basedOn w:val="HeaderandFooter"/>
    <w:pPr/>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javascript:OpenDocumentView(158759,%202892664);" TargetMode="External"/><Relationship Id="rId3" Type="http://schemas.openxmlformats.org/officeDocument/2006/relationships/hyperlink" Target="javascript:OpenDocumentView(86084,%201618813);" TargetMode="External"/><Relationship Id="rId4" Type="http://schemas.openxmlformats.org/officeDocument/2006/relationships/hyperlink" Target="javascript:OpenDocumentView(143638,%202602481);" TargetMode="External"/><Relationship Id="rId5" Type="http://schemas.openxmlformats.org/officeDocument/2006/relationships/hyperlink" Target="javascript:OpenDocumentView(184828,%203374370);" TargetMode="Externa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31</ap:TotalTime>
  <ap:Application>LibreOffice/24.2.7.2$Linux_X86_64 LibreOffice_project/420$Build-2</ap:Application>
  <ap:AppVersion>15.0000</ap:AppVersion>
  <ap:Pages>4</ap:Pages>
  <ap:Words>2434</ap:Words>
  <ap:Characters>13241</ap:Characters>
  <ap:CharactersWithSpaces>15655</ap:CharactersWithSpaces>
  <ap:Paragraphs>77</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