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5.0 -->
  <w:body>
    <w:p w:rsidR="009866EA">
      <w:pPr>
        <w:jc w:val="center"/>
        <w:rPr>
          <w:rStyle w:val="Fontdeparagrafimplicit"/>
          <w:rFonts w:ascii="Bookman Old Style" w:hAnsi="Bookman Old Style"/>
        </w:rPr>
      </w:pPr>
      <w:r>
        <w:rPr>
          <w:rStyle w:val="Fontdeparagrafimplicit"/>
          <w:rFonts w:ascii="Bookman Old Style" w:hAnsi="Bookman Old Style"/>
        </w:rPr>
        <w:t>R O M Â N I A</w:t>
      </w:r>
    </w:p>
    <w:p w:rsidR="009866EA">
      <w:pPr>
        <w:jc w:val="center"/>
        <w:rPr>
          <w:rStyle w:val="Fontdeparagrafimplicit"/>
          <w:rFonts w:ascii="Bookman Old Style" w:hAnsi="Bookman Old Style"/>
        </w:rPr>
      </w:pPr>
      <w:r>
        <w:rPr>
          <w:rStyle w:val="Fontdeparagrafimplicit"/>
          <w:rFonts w:ascii="Bookman Old Style" w:hAnsi="Bookman Old Style"/>
        </w:rPr>
        <w:t>CURTEA DE APEL .........</w:t>
      </w:r>
    </w:p>
    <w:p w:rsidR="009866EA">
      <w:pPr>
        <w:jc w:val="center"/>
        <w:rPr>
          <w:rStyle w:val="Fontdeparagrafimplicit"/>
          <w:rFonts w:ascii="Bookman Old Style" w:hAnsi="Bookman Old Style"/>
        </w:rPr>
      </w:pPr>
      <w:r>
        <w:rPr>
          <w:rStyle w:val="Fontdeparagrafimplicit"/>
          <w:rFonts w:ascii="Bookman Old Style" w:hAnsi="Bookman Old Style"/>
        </w:rPr>
        <w:t>Secţia .........</w:t>
      </w:r>
    </w:p>
    <w:p w:rsidR="009866EA">
      <w:pPr>
        <w:rPr>
          <w:rStyle w:val="Fontdeparagrafimplicit"/>
          <w:rFonts w:ascii="Bookman Old Style" w:hAnsi="Bookman Old Style"/>
        </w:rPr>
      </w:pPr>
    </w:p>
    <w:p w:rsidR="009866EA">
      <w:pPr>
        <w:rPr>
          <w:rStyle w:val="Fontdeparagrafimplicit"/>
          <w:rFonts w:ascii="Bookman Old Style" w:hAnsi="Bookman Old Style"/>
        </w:rPr>
      </w:pPr>
      <w:r>
        <w:rPr>
          <w:rStyle w:val="Fontdeparagrafimplicit"/>
          <w:rFonts w:ascii="Bookman Old Style" w:hAnsi="Bookman Old Style"/>
        </w:rPr>
        <w:t xml:space="preserve">       Dosar nr. 18 </w:t>
      </w:r>
    </w:p>
    <w:p w:rsidR="009866EA">
      <w:pPr>
        <w:rPr>
          <w:rStyle w:val="Fontdeparagrafimplicit"/>
          <w:rFonts w:ascii="Bookman Old Style" w:hAnsi="Bookman Old Style"/>
        </w:rPr>
      </w:pPr>
    </w:p>
    <w:p w:rsidR="009866EA">
      <w:pPr>
        <w:ind w:left="2832"/>
        <w:rPr>
          <w:rStyle w:val="Fontdeparagrafimplicit"/>
          <w:rFonts w:ascii="Bookman Old Style" w:hAnsi="Bookman Old Style"/>
          <w:b/>
        </w:rPr>
      </w:pPr>
      <w:r>
        <w:rPr>
          <w:rStyle w:val="Fontdeparagrafimplicit"/>
          <w:rFonts w:ascii="Bookman Old Style" w:hAnsi="Bookman Old Style"/>
          <w:b/>
        </w:rPr>
        <w:t xml:space="preserve">DECIZIA CIVILĂ Nr. 18 </w:t>
      </w:r>
    </w:p>
    <w:p w:rsidR="009866EA">
      <w:pPr>
        <w:ind w:left="2832"/>
        <w:rPr>
          <w:rStyle w:val="Fontdeparagrafimplicit"/>
          <w:rFonts w:ascii="Bookman Old Style" w:hAnsi="Bookman Old Style"/>
          <w:b/>
        </w:rPr>
      </w:pPr>
    </w:p>
    <w:p w:rsidR="009866EA">
      <w:pPr>
        <w:jc w:val="center"/>
        <w:rPr>
          <w:rStyle w:val="Fontdeparagrafimplicit"/>
          <w:rFonts w:ascii="Bookman Old Style" w:hAnsi="Bookman Old Style"/>
        </w:rPr>
      </w:pPr>
      <w:r>
        <w:rPr>
          <w:rStyle w:val="Fontdeparagrafimplicit"/>
          <w:rFonts w:ascii="Bookman Old Style" w:hAnsi="Bookman Old Style"/>
        </w:rPr>
        <w:t xml:space="preserve">Şedinţa publică din data de .............. </w:t>
      </w:r>
    </w:p>
    <w:p w:rsidR="009866EA">
      <w:pPr>
        <w:jc w:val="center"/>
        <w:rPr>
          <w:rStyle w:val="Fontdeparagrafimplicit"/>
          <w:rFonts w:ascii="Bookman Old Style" w:hAnsi="Bookman Old Style"/>
        </w:rPr>
      </w:pPr>
      <w:r>
        <w:rPr>
          <w:rStyle w:val="Fontdeparagrafimplicit"/>
          <w:rFonts w:ascii="Bookman Old Style" w:hAnsi="Bookman Old Style"/>
        </w:rPr>
        <w:t>Instanţa constituită din:</w:t>
      </w:r>
    </w:p>
    <w:p w:rsidR="009866EA">
      <w:pPr>
        <w:jc w:val="center"/>
        <w:rPr>
          <w:rStyle w:val="Fontdeparagrafimplicit"/>
          <w:rFonts w:ascii="Bookman Old Style" w:hAnsi="Bookman Old Style"/>
        </w:rPr>
      </w:pPr>
      <w:r>
        <w:rPr>
          <w:rStyle w:val="Fontdeparagrafimplicit"/>
          <w:rFonts w:ascii="Bookman Old Style" w:hAnsi="Bookman Old Style"/>
        </w:rPr>
        <w:t>PREŞEDINTE: A0019</w:t>
      </w:r>
    </w:p>
    <w:p w:rsidR="009866EA">
      <w:pPr>
        <w:jc w:val="center"/>
        <w:rPr>
          <w:rStyle w:val="Fontdeparagrafimplicit"/>
          <w:rFonts w:ascii="Bookman Old Style" w:hAnsi="Bookman Old Style"/>
        </w:rPr>
      </w:pPr>
      <w:r>
        <w:rPr>
          <w:rStyle w:val="Fontdeparagrafimplicit"/>
          <w:rFonts w:ascii="Bookman Old Style" w:hAnsi="Bookman Old Style"/>
        </w:rPr>
        <w:t xml:space="preserve">   JUDECĂTOR: .................... </w:t>
      </w:r>
    </w:p>
    <w:p w:rsidR="009866EA">
      <w:pPr>
        <w:rPr>
          <w:rStyle w:val="Fontdeparagrafimplicit"/>
          <w:rFonts w:ascii="Bookman Old Style" w:hAnsi="Bookman Old Style"/>
        </w:rPr>
      </w:pPr>
      <w:r>
        <w:rPr>
          <w:rStyle w:val="Fontdeparagrafimplicit"/>
          <w:rFonts w:ascii="Bookman Old Style" w:hAnsi="Bookman Old Style"/>
        </w:rPr>
        <w:t xml:space="preserve">                           JUDECĂTOR: .................... </w:t>
      </w:r>
    </w:p>
    <w:p w:rsidR="009866EA">
      <w:pPr>
        <w:rPr>
          <w:rStyle w:val="Fontdeparagrafimplicit"/>
          <w:rFonts w:ascii="Bookman Old Style" w:hAnsi="Bookman Old Style"/>
        </w:rPr>
      </w:pPr>
      <w:r>
        <w:rPr>
          <w:rStyle w:val="Fontdeparagrafimplicit"/>
          <w:rFonts w:ascii="Bookman Old Style" w:hAnsi="Bookman Old Style"/>
        </w:rPr>
        <w:t xml:space="preserve">                           GREFIER      : .................... </w:t>
      </w:r>
    </w:p>
    <w:p w:rsidR="009866EA">
      <w:pPr>
        <w:jc w:val="center"/>
        <w:rPr>
          <w:rStyle w:val="Fontdeparagrafimplicit"/>
          <w:rFonts w:ascii="Bookman Old Style" w:hAnsi="Bookman Old Style"/>
        </w:rPr>
      </w:pPr>
    </w:p>
    <w:p w:rsidR="009866EA">
      <w:pPr>
        <w:ind w:firstLine="708"/>
        <w:jc w:val="both"/>
        <w:rPr>
          <w:rStyle w:val="Fontdeparagrafimplicit"/>
          <w:rFonts w:ascii="Bookman Old Style" w:hAnsi="Bookman Old Style"/>
        </w:rPr>
      </w:pPr>
      <w:r>
        <w:rPr>
          <w:rStyle w:val="Fontdeparagrafimplicit"/>
          <w:rFonts w:ascii="Bookman Old Style" w:hAnsi="Bookman Old Style"/>
        </w:rPr>
        <w:t>S-a luat în examinare recursul declarat de reclamanta recurentă 1</w:t>
      </w:r>
      <w:r>
        <w:rPr>
          <w:rStyle w:val="Fontdeparagrafimplicit"/>
          <w:rFonts w:ascii="Bookman Old Style" w:hAnsi="Bookman Old Style"/>
        </w:rPr>
        <w:t xml:space="preserve"> împotriva sentinţei civile </w:t>
      </w:r>
      <w:r>
        <w:rPr>
          <w:rStyle w:val="Fontdeparagrafimplicit"/>
          <w:rFonts w:ascii="Bookman Old Style" w:hAnsi="Bookman Old Style"/>
        </w:rPr>
        <w:t xml:space="preserve">nr. ........ </w:t>
      </w:r>
      <w:r>
        <w:rPr>
          <w:rStyle w:val="Fontdeparagrafimplicit"/>
          <w:rFonts w:ascii="Bookman Old Style" w:hAnsi="Bookman Old Style"/>
        </w:rPr>
        <w:t xml:space="preserve"> din ............ </w:t>
      </w:r>
      <w:r>
        <w:rPr>
          <w:rStyle w:val="Fontdeparagrafimplicit"/>
          <w:rFonts w:ascii="Bookman Old Style" w:hAnsi="Bookman Old Style"/>
        </w:rPr>
        <w:t>pronunţată de Tribunalul .........</w:t>
      </w:r>
      <w:r>
        <w:rPr>
          <w:rStyle w:val="Fontdeparagrafimplicit"/>
          <w:rFonts w:ascii="Bookman Old Style" w:hAnsi="Bookman Old Style"/>
        </w:rPr>
        <w:t xml:space="preserve"> în dosarul nr. 18 </w:t>
      </w:r>
      <w:r>
        <w:rPr>
          <w:rStyle w:val="Fontdeparagrafimplicit"/>
          <w:rFonts w:ascii="Bookman Old Style" w:hAnsi="Bookman Old Style"/>
        </w:rPr>
        <w:t xml:space="preserve"> privind şi pe pârâta intimată CASA JUDEŢEANĂ DE PENSII .........</w:t>
      </w:r>
      <w:r>
        <w:rPr>
          <w:rStyle w:val="Fontdeparagrafimplicit"/>
          <w:rFonts w:ascii="Bookman Old Style" w:hAnsi="Bookman Old Style"/>
        </w:rPr>
        <w:t>, având ca obiect asigurări sociale – recalculare pensie.</w:t>
      </w:r>
    </w:p>
    <w:p w:rsidR="009866EA">
      <w:pPr>
        <w:ind w:firstLine="708"/>
        <w:jc w:val="both"/>
        <w:rPr>
          <w:rStyle w:val="Fontdeparagrafimplicit"/>
          <w:rFonts w:ascii="Bookman Old Style" w:hAnsi="Bookman Old Style"/>
        </w:rPr>
      </w:pPr>
      <w:r>
        <w:rPr>
          <w:rStyle w:val="Fontdeparagrafimplicit"/>
          <w:rFonts w:ascii="Bookman Old Style" w:hAnsi="Bookman Old Style"/>
        </w:rPr>
        <w:t xml:space="preserve">La apelul nominal făcut în şedinţă publică, la prima şi </w:t>
      </w:r>
      <w:r>
        <w:rPr>
          <w:rStyle w:val="Fontdeparagrafimplicit"/>
          <w:rFonts w:ascii="Bookman Old Style" w:hAnsi="Bookman Old Style"/>
        </w:rPr>
        <w:t>a doua strigare a cauzei, se constată lipsa părţilor de la dezbateri.</w:t>
      </w:r>
    </w:p>
    <w:p w:rsidR="009866EA">
      <w:pPr>
        <w:ind w:firstLine="708"/>
        <w:jc w:val="both"/>
        <w:rPr>
          <w:rStyle w:val="Fontdeparagrafimplicit"/>
          <w:rFonts w:ascii="Bookman Old Style" w:hAnsi="Bookman Old Style"/>
        </w:rPr>
      </w:pPr>
      <w:r>
        <w:rPr>
          <w:rStyle w:val="Fontdeparagrafimplicit"/>
          <w:rFonts w:ascii="Bookman Old Style" w:hAnsi="Bookman Old Style"/>
        </w:rPr>
        <w:t>Procedura de citare este realizată .</w:t>
      </w:r>
    </w:p>
    <w:p w:rsidR="009866EA">
      <w:pPr>
        <w:ind w:firstLine="708"/>
        <w:jc w:val="both"/>
        <w:rPr>
          <w:rStyle w:val="Fontdeparagrafimplicit"/>
          <w:rFonts w:ascii="Bookman Old Style" w:hAnsi="Bookman Old Style"/>
        </w:rPr>
      </w:pPr>
      <w:r>
        <w:rPr>
          <w:rStyle w:val="Fontdeparagrafimplicit"/>
          <w:rFonts w:ascii="Bookman Old Style" w:hAnsi="Bookman Old Style"/>
        </w:rPr>
        <w:t>S-a făcut referatul cauzei după care se constată că s-a răspuns solicitărilor instanţei, prin scriptele depuse la dosar de reclamantă la data de 6 ia</w:t>
      </w:r>
      <w:r>
        <w:rPr>
          <w:rStyle w:val="Fontdeparagrafimplicit"/>
          <w:rFonts w:ascii="Bookman Old Style" w:hAnsi="Bookman Old Style"/>
        </w:rPr>
        <w:t>nuarie 2012.</w:t>
      </w:r>
    </w:p>
    <w:p w:rsidR="009866EA">
      <w:pPr>
        <w:ind w:firstLine="708"/>
        <w:jc w:val="both"/>
        <w:rPr>
          <w:rStyle w:val="Fontdeparagrafimplicit"/>
          <w:rFonts w:ascii="Bookman Old Style" w:hAnsi="Bookman Old Style"/>
        </w:rPr>
      </w:pPr>
      <w:r>
        <w:rPr>
          <w:rStyle w:val="Fontdeparagrafimplicit"/>
          <w:rFonts w:ascii="Bookman Old Style" w:hAnsi="Bookman Old Style"/>
        </w:rPr>
        <w:t>Având în vedere că s-a solicitat judecata cauzei în lipsa părţilor de la dezbateri, Curtea apreciază că prezenta cauză se află în stare de judecată şi o reţine  în pronunţare.</w:t>
      </w:r>
    </w:p>
    <w:p w:rsidR="009866EA">
      <w:pPr>
        <w:jc w:val="center"/>
        <w:rPr>
          <w:rStyle w:val="Fontdeparagrafimplicit"/>
          <w:rFonts w:ascii="Bookman Old Style" w:hAnsi="Bookman Old Style"/>
        </w:rPr>
      </w:pPr>
      <w:r>
        <w:rPr>
          <w:rStyle w:val="Fontdeparagrafimplicit"/>
          <w:rFonts w:ascii="Bookman Old Style" w:hAnsi="Bookman Old Style"/>
        </w:rPr>
        <w:t>C U R T E A</w:t>
      </w:r>
    </w:p>
    <w:p w:rsidR="009866EA">
      <w:pPr>
        <w:rPr>
          <w:rStyle w:val="Fontdeparagrafimplicit"/>
          <w:rFonts w:ascii="Bookman Old Style" w:hAnsi="Bookman Old Style"/>
        </w:rPr>
      </w:pPr>
    </w:p>
    <w:p w:rsidR="009866EA">
      <w:pPr>
        <w:ind w:firstLine="708"/>
        <w:jc w:val="both"/>
        <w:rPr>
          <w:rStyle w:val="Fontdeparagrafimplicit"/>
          <w:rFonts w:ascii="Bookman Old Style" w:hAnsi="Bookman Old Style"/>
        </w:rPr>
      </w:pPr>
      <w:r>
        <w:rPr>
          <w:rStyle w:val="Fontdeparagrafimplicit"/>
          <w:rFonts w:ascii="Bookman Old Style" w:hAnsi="Bookman Old Style"/>
        </w:rPr>
        <w:t xml:space="preserve">Prin sentinţa civilă nr. ........ </w:t>
      </w:r>
      <w:r>
        <w:rPr>
          <w:rStyle w:val="Fontdeparagrafimplicit"/>
          <w:rFonts w:ascii="Bookman Old Style" w:hAnsi="Bookman Old Style"/>
        </w:rPr>
        <w:t xml:space="preserve"> din ............ </w:t>
      </w:r>
      <w:r>
        <w:rPr>
          <w:rStyle w:val="Fontdeparagrafimplicit"/>
          <w:rFonts w:ascii="Bookman Old Style" w:hAnsi="Bookman Old Style"/>
        </w:rPr>
        <w:t>pronunţat</w:t>
      </w:r>
      <w:r>
        <w:rPr>
          <w:rStyle w:val="Fontdeparagrafimplicit"/>
          <w:rFonts w:ascii="Bookman Old Style" w:hAnsi="Bookman Old Style"/>
        </w:rPr>
        <w:t>ă de Tribunalul .........</w:t>
      </w:r>
      <w:r>
        <w:rPr>
          <w:rStyle w:val="Fontdeparagrafimplicit"/>
          <w:rFonts w:ascii="Bookman Old Style" w:hAnsi="Bookman Old Style"/>
        </w:rPr>
        <w:t xml:space="preserve"> în dosarul nr. 18 </w:t>
      </w:r>
      <w:r>
        <w:rPr>
          <w:rStyle w:val="Fontdeparagrafimplicit"/>
          <w:rFonts w:ascii="Bookman Old Style" w:hAnsi="Bookman Old Style"/>
        </w:rPr>
        <w:t xml:space="preserve"> s-a respins acţiunea formulată de reclamanta 1</w:t>
      </w:r>
      <w:r>
        <w:rPr>
          <w:rStyle w:val="Fontdeparagrafimplicit"/>
          <w:rFonts w:ascii="Bookman Old Style" w:hAnsi="Bookman Old Style"/>
        </w:rPr>
        <w:t>, împotriva pârâtei CASA JUDEŢEANĂ DE PENSII .........</w:t>
      </w:r>
      <w:r>
        <w:rPr>
          <w:rStyle w:val="Fontdeparagrafimplicit"/>
          <w:rFonts w:ascii="Bookman Old Style" w:hAnsi="Bookman Old Style"/>
        </w:rPr>
        <w:t xml:space="preserve"> având ca obiect asigurări sociale.</w:t>
      </w:r>
    </w:p>
    <w:p w:rsidR="009866EA">
      <w:pPr>
        <w:ind w:firstLine="708"/>
        <w:jc w:val="both"/>
        <w:rPr>
          <w:rStyle w:val="Fontdeparagrafimplicit"/>
          <w:rFonts w:ascii="Bookman Old Style" w:hAnsi="Bookman Old Style"/>
        </w:rPr>
      </w:pPr>
      <w:r>
        <w:rPr>
          <w:rStyle w:val="Fontdeparagrafimplicit"/>
          <w:rFonts w:ascii="Bookman Old Style" w:hAnsi="Bookman Old Style"/>
        </w:rPr>
        <w:t>Pentru a pronunţa această sentinţă tribunalul a reţinut că din</w:t>
      </w:r>
      <w:r>
        <w:rPr>
          <w:rStyle w:val="Fontdeparagrafimplicit"/>
          <w:rFonts w:ascii="Bookman Old Style" w:hAnsi="Bookman Old Style"/>
        </w:rPr>
        <w:t xml:space="preserve"> Adeverinţa nr. 2</w:t>
      </w:r>
      <w:r>
        <w:rPr>
          <w:rStyle w:val="Fontdeparagrafimplicit"/>
          <w:rFonts w:ascii="Bookman Old Style" w:hAnsi="Bookman Old Style"/>
        </w:rPr>
        <w:t>/17.03.2011 eliberată de SC 3</w:t>
      </w:r>
      <w:r>
        <w:rPr>
          <w:rStyle w:val="Fontdeparagrafimplicit"/>
          <w:rFonts w:ascii="Bookman Old Style" w:hAnsi="Bookman Old Style"/>
        </w:rPr>
        <w:t>, rezultă sumele în baza cărora s-a stabilit contribuţia pentru pensia suplimentară pentru perioada martie 1997-martie 2001.</w:t>
      </w:r>
    </w:p>
    <w:p w:rsidR="009866EA">
      <w:pPr>
        <w:ind w:firstLine="708"/>
        <w:jc w:val="both"/>
        <w:rPr>
          <w:rStyle w:val="Fontdeparagrafimplicit"/>
          <w:rFonts w:ascii="Bookman Old Style" w:hAnsi="Bookman Old Style"/>
        </w:rPr>
      </w:pPr>
      <w:r>
        <w:rPr>
          <w:rStyle w:val="Fontdeparagrafimplicit"/>
          <w:rFonts w:ascii="Bookman Old Style" w:hAnsi="Bookman Old Style"/>
        </w:rPr>
        <w:t xml:space="preserve">Cererea reclamantei este nefondată şi a fost respinsă întrucât </w:t>
      </w:r>
      <w:r>
        <w:rPr>
          <w:rStyle w:val="Fontdeparagrafimplicit"/>
          <w:rFonts w:ascii="Bookman Old Style" w:hAnsi="Bookman Old Style"/>
        </w:rPr>
        <w:t>potrivit prevederilor art. 165 din Legea nr. 263/2010, la determinarea punctajelor lunare pentru perioadele anterior datei de 01.04.2001 se utilizează salariile brute sau nete, după caz, în conformitate cu modul de înscriere a acestora în carnetul de muncă</w:t>
      </w:r>
      <w:r>
        <w:rPr>
          <w:rStyle w:val="Fontdeparagrafimplicit"/>
          <w:rFonts w:ascii="Bookman Old Style" w:hAnsi="Bookman Old Style"/>
        </w:rPr>
        <w:t>, pe lângă aceste salarii se au în vedere şi sporurile cu caracter permanent care au făcut parte din baza de calcul a pensiilor după data de 01.04.1992, înscrise în carnetul de muncă sau dovedite cu adeverinţă eliberate de unităţi conform legislaţiei în vi</w:t>
      </w:r>
      <w:r>
        <w:rPr>
          <w:rStyle w:val="Fontdeparagrafimplicit"/>
          <w:rFonts w:ascii="Bookman Old Style" w:hAnsi="Bookman Old Style"/>
        </w:rPr>
        <w:t>goare şi sporul de vechime. Adeverinţa depusă de către reclamantă nu dovedeşte existenţa vreunui spor cu caracter permanent care să fie apt în condiţiile legii să modifice punctajul anual.</w:t>
      </w:r>
    </w:p>
    <w:p w:rsidR="009866EA">
      <w:pPr>
        <w:ind w:firstLine="708"/>
        <w:jc w:val="both"/>
        <w:rPr>
          <w:rStyle w:val="Fontdeparagrafimplicit"/>
          <w:rFonts w:ascii="Bookman Old Style" w:hAnsi="Bookman Old Style"/>
        </w:rPr>
      </w:pPr>
      <w:r>
        <w:rPr>
          <w:rStyle w:val="Fontdeparagrafimplicit"/>
          <w:rFonts w:ascii="Bookman Old Style" w:hAnsi="Bookman Old Style"/>
        </w:rPr>
        <w:t>Împotriva acestei sentinţe a declarat recurs reclamanta 1</w:t>
      </w:r>
      <w:r>
        <w:rPr>
          <w:rStyle w:val="Fontdeparagrafimplicit"/>
          <w:rFonts w:ascii="Bookman Old Style" w:hAnsi="Bookman Old Style"/>
        </w:rPr>
        <w:t xml:space="preserve"> solicitând admiterea recursului, modificarea sentinţei cu soluţionarea tuturor capetelor cererii de chemare în judecată.</w:t>
      </w:r>
    </w:p>
    <w:p w:rsidR="009866EA">
      <w:pPr>
        <w:ind w:firstLine="708"/>
        <w:jc w:val="both"/>
        <w:rPr>
          <w:rStyle w:val="Fontdeparagrafimplicit"/>
          <w:rFonts w:ascii="Bookman Old Style" w:hAnsi="Bookman Old Style"/>
        </w:rPr>
      </w:pPr>
      <w:r>
        <w:rPr>
          <w:rStyle w:val="Fontdeparagrafimplicit"/>
          <w:rFonts w:ascii="Bookman Old Style" w:hAnsi="Bookman Old Style"/>
        </w:rPr>
        <w:t>În motivare a arătat că instanţa nu a judecat excepţia de neconstituţionalitate a discriminării ale interpretării pârâtului la solu</w:t>
      </w:r>
      <w:r>
        <w:rPr>
          <w:rStyle w:val="Fontdeparagrafimplicit"/>
          <w:rFonts w:ascii="Bookman Old Style" w:hAnsi="Bookman Old Style"/>
        </w:rPr>
        <w:t>ţionarea cererii înaintate de recalcularea pensiei, în prisma OG nr.1550/2004, Legea nr.78/2005, OUG nr.4/2005, art.107 alin.3 din Legea nr.163/2010 şi art.165 din Legea nr.263/2010, după care s-a luat hotărârea la o analiză pripită este în contradicţie cu</w:t>
      </w:r>
      <w:r>
        <w:rPr>
          <w:rStyle w:val="Fontdeparagrafimplicit"/>
          <w:rFonts w:ascii="Bookman Old Style" w:hAnsi="Bookman Old Style"/>
        </w:rPr>
        <w:t xml:space="preserve"> celelalte acte juridice enumerate, chiar cu art.107 din această lege, devine discriminatorie faţă de Constituţie.</w:t>
      </w:r>
    </w:p>
    <w:p w:rsidR="009866EA">
      <w:pPr>
        <w:ind w:firstLine="708"/>
        <w:jc w:val="both"/>
        <w:rPr>
          <w:rStyle w:val="Fontdeparagrafimplicit"/>
          <w:rFonts w:ascii="Bookman Old Style" w:hAnsi="Bookman Old Style"/>
        </w:rPr>
      </w:pPr>
      <w:r>
        <w:rPr>
          <w:rStyle w:val="Fontdeparagrafimplicit"/>
          <w:rFonts w:ascii="Bookman Old Style" w:hAnsi="Bookman Old Style"/>
        </w:rPr>
        <w:t xml:space="preserve">Instanţa a interpretat greşit actul juridic dedus judecăţii, a schimbat înţelesul vădit neîndoielnic al acestuia, neţinând cont de </w:t>
      </w:r>
      <w:r>
        <w:rPr>
          <w:rStyle w:val="Fontdeparagrafimplicit"/>
          <w:rFonts w:ascii="Bookman Old Style" w:hAnsi="Bookman Old Style"/>
        </w:rPr>
        <w:t>prevederile Legii nr.34 din 14 iunie 1993, prin care putea să constate că este vorba de corecţii la cartea de muncă privind salariile după care s-au achitat contribuţiile legale.</w:t>
      </w:r>
    </w:p>
    <w:p w:rsidR="009866EA">
      <w:pPr>
        <w:ind w:firstLine="708"/>
        <w:jc w:val="both"/>
        <w:rPr>
          <w:rStyle w:val="Fontdeparagrafimplicit"/>
          <w:rFonts w:ascii="Bookman Old Style" w:hAnsi="Bookman Old Style"/>
        </w:rPr>
      </w:pPr>
      <w:r>
        <w:rPr>
          <w:rStyle w:val="Fontdeparagrafimplicit"/>
          <w:rFonts w:ascii="Bookman Old Style" w:hAnsi="Bookman Old Style"/>
        </w:rPr>
        <w:t>Pârâta avea obligaţia să facă corecturile necesare la stabilirea corectă a pu</w:t>
      </w:r>
      <w:r>
        <w:rPr>
          <w:rStyle w:val="Fontdeparagrafimplicit"/>
          <w:rFonts w:ascii="Bookman Old Style" w:hAnsi="Bookman Old Style"/>
        </w:rPr>
        <w:t>nctajului de pensie chiar la data pensionării, întrucât a avut în arhiva punctele de pensie lunare, conform statelor de plată.</w:t>
      </w:r>
    </w:p>
    <w:p w:rsidR="009866EA">
      <w:pPr>
        <w:ind w:firstLine="708"/>
        <w:jc w:val="both"/>
        <w:rPr>
          <w:rStyle w:val="Fontdeparagrafimplicit"/>
          <w:rFonts w:ascii="Bookman Old Style" w:hAnsi="Bookman Old Style"/>
          <w:i/>
        </w:rPr>
      </w:pPr>
      <w:r>
        <w:rPr>
          <w:rStyle w:val="Fontdeparagrafimplicit"/>
          <w:rFonts w:ascii="Bookman Old Style" w:hAnsi="Bookman Old Style"/>
          <w:i/>
        </w:rPr>
        <w:t>Analizând recursul formulat, prin prisma motivelor invocate şi a apărărilor formulate, Curtea, deliberând, constată că acesta est</w:t>
      </w:r>
      <w:r>
        <w:rPr>
          <w:rStyle w:val="Fontdeparagrafimplicit"/>
          <w:rFonts w:ascii="Bookman Old Style" w:hAnsi="Bookman Old Style"/>
          <w:i/>
        </w:rPr>
        <w:t>e nefondat, urmând a fi respins pentru considerentele ce se vor arăta în continuare:</w:t>
      </w:r>
    </w:p>
    <w:p w:rsidR="009866EA">
      <w:pPr>
        <w:ind w:firstLine="708"/>
        <w:jc w:val="both"/>
        <w:rPr>
          <w:rStyle w:val="Fontdeparagrafimplicit"/>
          <w:rFonts w:ascii="Bookman Old Style" w:hAnsi="Bookman Old Style"/>
        </w:rPr>
      </w:pPr>
      <w:r>
        <w:rPr>
          <w:rStyle w:val="Fontdeparagrafimplicit"/>
          <w:rFonts w:ascii="Bookman Old Style" w:hAnsi="Bookman Old Style"/>
        </w:rPr>
        <w:t xml:space="preserve">În mod corect recurenta contestatoare  invocată în sprijinul cererii sale prevederile art. 107 alin. 3 din Legea 263/2010, potrivit cărora </w:t>
      </w:r>
      <w:r>
        <w:rPr>
          <w:rStyle w:val="Fontdeparagrafimplicit"/>
          <w:rFonts w:ascii="Courier New" w:hAnsi="Courier New"/>
          <w:sz w:val="22"/>
        </w:rPr>
        <w:t xml:space="preserve"> </w:t>
      </w:r>
      <w:r>
        <w:rPr>
          <w:rStyle w:val="Fontdeparagrafimplicit"/>
          <w:rFonts w:ascii="Bookman Old Style" w:hAnsi="Bookman Old Style"/>
        </w:rPr>
        <w:t xml:space="preserve"> pensia poate fi recalculată pr</w:t>
      </w:r>
      <w:r>
        <w:rPr>
          <w:rStyle w:val="Fontdeparagrafimplicit"/>
          <w:rFonts w:ascii="Bookman Old Style" w:hAnsi="Bookman Old Style"/>
        </w:rPr>
        <w:t>in adăugarea veniturilor şi/sau a stagiilor de cotizare, prevăzute de lege, nevalorificate la stabilirea acesteia.</w:t>
      </w:r>
    </w:p>
    <w:p w:rsidR="009866EA">
      <w:pPr>
        <w:ind w:firstLine="708"/>
        <w:jc w:val="both"/>
        <w:rPr>
          <w:rStyle w:val="Fontdeparagrafimplicit"/>
          <w:rFonts w:ascii="Bookman Old Style" w:hAnsi="Bookman Old Style"/>
        </w:rPr>
      </w:pPr>
      <w:r>
        <w:rPr>
          <w:rStyle w:val="Fontdeparagrafimplicit"/>
          <w:rFonts w:ascii="Bookman Old Style" w:hAnsi="Bookman Old Style"/>
        </w:rPr>
        <w:t>Această normă  trebuie însă coroborată – aşa cum în mod judicios a arătat instanţa de fond -  cu regula impusă de  art. 165 alin. 2 din acela</w:t>
      </w:r>
      <w:r>
        <w:rPr>
          <w:rStyle w:val="Fontdeparagrafimplicit"/>
          <w:rFonts w:ascii="Bookman Old Style" w:hAnsi="Bookman Old Style"/>
        </w:rPr>
        <w:t xml:space="preserve">şi act normativ, şi anume aceea potrivit căreia : „ La determinarea punctajelor lunare, pe lângă salariile prevăzute la alin. (1) se au în vedere </w:t>
      </w:r>
      <w:r>
        <w:rPr>
          <w:rStyle w:val="Fontdeparagrafimplicit"/>
          <w:rFonts w:ascii="Bookman Old Style" w:hAnsi="Bookman Old Style"/>
          <w:u w:val="single"/>
        </w:rPr>
        <w:t>şi sporurile cu caracter permanent</w:t>
      </w:r>
      <w:r>
        <w:rPr>
          <w:rStyle w:val="Fontdeparagrafimplicit"/>
          <w:rFonts w:ascii="Bookman Old Style" w:hAnsi="Bookman Old Style"/>
        </w:rPr>
        <w:t xml:space="preserve"> care, după data de 1 aprilie 1992, au făcut parte din baza de calcul a pens</w:t>
      </w:r>
      <w:r>
        <w:rPr>
          <w:rStyle w:val="Fontdeparagrafimplicit"/>
          <w:rFonts w:ascii="Bookman Old Style" w:hAnsi="Bookman Old Style"/>
        </w:rPr>
        <w:t xml:space="preserve">iilor conform legislaţiei anterioare şi care sunt înscrise în carnetul de muncă sau </w:t>
      </w:r>
      <w:r>
        <w:rPr>
          <w:rStyle w:val="Fontdeparagrafimplicit"/>
          <w:rFonts w:ascii="Bookman Old Style" w:hAnsi="Bookman Old Style"/>
          <w:u w:val="single"/>
        </w:rPr>
        <w:t>sunt dovedite cu adeverinţe eliberate de unităţi</w:t>
      </w:r>
      <w:r>
        <w:rPr>
          <w:rStyle w:val="Fontdeparagrafimplicit"/>
          <w:rFonts w:ascii="Bookman Old Style" w:hAnsi="Bookman Old Style"/>
        </w:rPr>
        <w:t>, conform legislaţiei în vigoare” .</w:t>
      </w:r>
    </w:p>
    <w:p w:rsidR="009866EA">
      <w:pPr>
        <w:ind w:firstLine="708"/>
        <w:jc w:val="both"/>
        <w:rPr>
          <w:rStyle w:val="Fontdeparagrafimplicit"/>
          <w:rFonts w:ascii="Bookman Old Style" w:hAnsi="Bookman Old Style"/>
        </w:rPr>
      </w:pPr>
      <w:r>
        <w:rPr>
          <w:rStyle w:val="Fontdeparagrafimplicit"/>
          <w:rFonts w:ascii="Bookman Old Style" w:hAnsi="Bookman Old Style"/>
        </w:rPr>
        <w:t>Cu alte cuvinte,  este adevărat că pensia poate fi revizuită prin luarea în calcul a alt</w:t>
      </w:r>
      <w:r>
        <w:rPr>
          <w:rStyle w:val="Fontdeparagrafimplicit"/>
          <w:rFonts w:ascii="Bookman Old Style" w:hAnsi="Bookman Old Style"/>
        </w:rPr>
        <w:t>or venituri ce nu au fost avute în vedere la stabilirea iniţială a acestora, cu îndeplinirea a două condiţii: veniturile suplimentare să fie sporuri cu caracter permanent şi acestea să fie înscrise fie în carnetul de muncă, fie în adeverinţe.</w:t>
      </w:r>
    </w:p>
    <w:p w:rsidR="009866EA">
      <w:pPr>
        <w:ind w:firstLine="708"/>
        <w:jc w:val="both"/>
        <w:rPr>
          <w:rStyle w:val="Fontdeparagrafimplicit"/>
          <w:rFonts w:ascii="Bookman Old Style" w:hAnsi="Bookman Old Style"/>
        </w:rPr>
      </w:pPr>
      <w:r>
        <w:rPr>
          <w:rStyle w:val="Fontdeparagrafimplicit"/>
          <w:rFonts w:ascii="Bookman Old Style" w:hAnsi="Bookman Old Style"/>
        </w:rPr>
        <w:t>Nu este neces</w:t>
      </w:r>
      <w:r>
        <w:rPr>
          <w:rStyle w:val="Fontdeparagrafimplicit"/>
          <w:rFonts w:ascii="Bookman Old Style" w:hAnsi="Bookman Old Style"/>
        </w:rPr>
        <w:t>ară aşadar „o corecţie” anterioară a cărţii de muncă, astfel cum greşit a înţeles recurenta, ci este suficient ca aceste venituri să fie evidenţiate în mod distinct ca sporuri într-o adeverinţă emisă de fostul angajator.</w:t>
      </w:r>
    </w:p>
    <w:p w:rsidR="009866EA">
      <w:pPr>
        <w:ind w:firstLine="708"/>
        <w:jc w:val="both"/>
        <w:rPr>
          <w:rStyle w:val="Fontdeparagrafimplicit"/>
          <w:rFonts w:ascii="Bookman Old Style" w:hAnsi="Bookman Old Style"/>
        </w:rPr>
      </w:pPr>
      <w:r>
        <w:rPr>
          <w:rStyle w:val="Fontdeparagrafimplicit"/>
          <w:rFonts w:ascii="Bookman Old Style" w:hAnsi="Bookman Old Style"/>
        </w:rPr>
        <w:t>Recurenta a depus o adeverinţă de v</w:t>
      </w:r>
      <w:r>
        <w:rPr>
          <w:rStyle w:val="Fontdeparagrafimplicit"/>
          <w:rFonts w:ascii="Bookman Old Style" w:hAnsi="Bookman Old Style"/>
        </w:rPr>
        <w:t>enituri, însă aceasta nu corespunde formal cerinţelor legale : cuprinzând doar sume brute, nedefalcate – chiar dacă acestea sunt superioare celor înscrise în cartea de pensii - nu poate fi verificată  nici de către intimata Casa Judeţeană de Pensii .........</w:t>
      </w:r>
      <w:r>
        <w:rPr>
          <w:rStyle w:val="Fontdeparagrafimplicit"/>
          <w:rFonts w:ascii="Bookman Old Style" w:hAnsi="Bookman Old Style"/>
        </w:rPr>
        <w:t>, n</w:t>
      </w:r>
      <w:r>
        <w:rPr>
          <w:rStyle w:val="Fontdeparagrafimplicit"/>
          <w:rFonts w:ascii="Bookman Old Style" w:hAnsi="Bookman Old Style"/>
        </w:rPr>
        <w:t xml:space="preserve">ici de către instanţa de judecată cerinţa imperativă ca </w:t>
      </w:r>
      <w:r>
        <w:rPr>
          <w:rStyle w:val="Fontdeparagrafimplicit"/>
          <w:rFonts w:ascii="Bookman Old Style" w:hAnsi="Bookman Old Style"/>
          <w:u w:val="single"/>
        </w:rPr>
        <w:t>venitul suplimentar să fie în fapt un spor cu caracter permanent,</w:t>
      </w:r>
      <w:r>
        <w:rPr>
          <w:rStyle w:val="Fontdeparagrafimplicit"/>
          <w:rFonts w:ascii="Bookman Old Style" w:hAnsi="Bookman Old Style"/>
        </w:rPr>
        <w:t xml:space="preserve"> şi nu al alt tip de venit.</w:t>
      </w:r>
    </w:p>
    <w:p w:rsidR="009866EA">
      <w:pPr>
        <w:ind w:firstLine="708"/>
        <w:jc w:val="both"/>
        <w:rPr>
          <w:rStyle w:val="Fontdeparagrafimplicit"/>
          <w:rFonts w:ascii="Bookman Old Style" w:hAnsi="Bookman Old Style"/>
        </w:rPr>
      </w:pPr>
      <w:r>
        <w:rPr>
          <w:rStyle w:val="Fontdeparagrafimplicit"/>
          <w:rFonts w:ascii="Bookman Old Style" w:hAnsi="Bookman Old Style"/>
        </w:rPr>
        <w:t xml:space="preserve">Ca atare, nu poate fi vorba de vreo aplicare discriminatorie a legii – regulile fiind aceleaşi pentru toţi </w:t>
      </w:r>
      <w:r>
        <w:rPr>
          <w:rStyle w:val="Fontdeparagrafimplicit"/>
          <w:rFonts w:ascii="Bookman Old Style" w:hAnsi="Bookman Old Style"/>
        </w:rPr>
        <w:t xml:space="preserve">cetăţenii aflaţi în situaţii identice sau similare – ci de o simplă cerinţa de înscriere în adeverinţă în mod distinct a sporurilor ce se doresc a fi luate în calcul la recalcularea pensiei. </w:t>
      </w:r>
    </w:p>
    <w:p w:rsidR="009866EA">
      <w:pPr>
        <w:ind w:firstLine="708"/>
        <w:jc w:val="both"/>
        <w:rPr>
          <w:rStyle w:val="Fontdeparagrafimplicit"/>
          <w:rFonts w:ascii="Bookman Old Style" w:hAnsi="Bookman Old Style"/>
        </w:rPr>
      </w:pPr>
      <w:r>
        <w:rPr>
          <w:rStyle w:val="Fontdeparagrafimplicit"/>
          <w:rFonts w:ascii="Bookman Old Style" w:hAnsi="Bookman Old Style"/>
        </w:rPr>
        <w:t>Or, aşa cum am subliniat, adeverinţa nr. 2</w:t>
      </w:r>
      <w:r>
        <w:rPr>
          <w:rStyle w:val="Fontdeparagrafimplicit"/>
          <w:rFonts w:ascii="Bookman Old Style" w:hAnsi="Bookman Old Style"/>
        </w:rPr>
        <w:t xml:space="preserve">/17.03.2011 </w:t>
      </w:r>
      <w:r>
        <w:rPr>
          <w:rStyle w:val="Fontdeparagrafimplicit"/>
          <w:rFonts w:ascii="Bookman Old Style" w:hAnsi="Bookman Old Style"/>
        </w:rPr>
        <w:t>eliberată de SC 3</w:t>
      </w:r>
      <w:r>
        <w:rPr>
          <w:rStyle w:val="Fontdeparagrafimplicit"/>
          <w:rFonts w:ascii="Bookman Old Style" w:hAnsi="Bookman Old Style"/>
        </w:rPr>
        <w:t xml:space="preserve"> nu identifică aceste sporuri, motiv pentru care în mod corect instanţa de fond a respins cererea reclamantei recurente, neputând fi verificată îndeplinirea condiţiei prevăzute de art. 165 alin. 2 din Legea 263/2010.</w:t>
      </w:r>
    </w:p>
    <w:p w:rsidR="009866EA">
      <w:pPr>
        <w:ind w:firstLine="708"/>
        <w:jc w:val="both"/>
        <w:rPr>
          <w:rStyle w:val="Fontdeparagrafimplicit"/>
          <w:rFonts w:ascii="Bookman Old Style" w:hAnsi="Bookman Old Style"/>
        </w:rPr>
      </w:pPr>
      <w:r>
        <w:rPr>
          <w:rStyle w:val="Fontdeparagrafimplicit"/>
          <w:rFonts w:ascii="Bookman Old Style" w:hAnsi="Bookman Old Style"/>
        </w:rPr>
        <w:t>În</w:t>
      </w:r>
      <w:r>
        <w:rPr>
          <w:rStyle w:val="Fontdeparagrafimplicit"/>
          <w:rFonts w:ascii="Bookman Old Style" w:hAnsi="Bookman Old Style"/>
        </w:rPr>
        <w:t xml:space="preserve"> consecinţă, pentru aceste considerente, în temeiul dispoziţiilor art. 312 alin. 1 cod procedură civilă, Curtea va respinge ca nefondat recursul formulat reclamanta 1</w:t>
      </w:r>
      <w:r>
        <w:rPr>
          <w:rStyle w:val="Fontdeparagrafimplicit"/>
          <w:rFonts w:ascii="Bookman Old Style" w:hAnsi="Bookman Old Style"/>
        </w:rPr>
        <w:t xml:space="preserve"> împotriva sentinţei civile nr. ........ </w:t>
      </w:r>
      <w:r>
        <w:rPr>
          <w:rStyle w:val="Fontdeparagrafimplicit"/>
          <w:rFonts w:ascii="Bookman Old Style" w:hAnsi="Bookman Old Style"/>
        </w:rPr>
        <w:t xml:space="preserve"> din ............ </w:t>
      </w:r>
      <w:r>
        <w:rPr>
          <w:rStyle w:val="Fontdeparagrafimplicit"/>
          <w:rFonts w:ascii="Bookman Old Style" w:hAnsi="Bookman Old Style"/>
        </w:rPr>
        <w:t>a Tribunalului .........</w:t>
      </w:r>
      <w:r>
        <w:rPr>
          <w:rStyle w:val="Fontdeparagrafimplicit"/>
          <w:rFonts w:ascii="Bookman Old Style" w:hAnsi="Bookman Old Style"/>
        </w:rPr>
        <w:t xml:space="preserve"> pronu</w:t>
      </w:r>
      <w:r>
        <w:rPr>
          <w:rStyle w:val="Fontdeparagrafimplicit"/>
          <w:rFonts w:ascii="Bookman Old Style" w:hAnsi="Bookman Old Style"/>
        </w:rPr>
        <w:t xml:space="preserve">nţată în dosar nr. 18 </w:t>
      </w:r>
      <w:r>
        <w:rPr>
          <w:rStyle w:val="Fontdeparagrafimplicit"/>
          <w:rFonts w:ascii="Bookman Old Style" w:hAnsi="Bookman Old Style"/>
        </w:rPr>
        <w:t xml:space="preserve"> pe care o va  menţine.</w:t>
      </w:r>
    </w:p>
    <w:p w:rsidR="009866EA">
      <w:pPr>
        <w:rPr>
          <w:rStyle w:val="Fontdeparagrafimplicit"/>
          <w:rFonts w:ascii="Bookman Old Style" w:hAnsi="Bookman Old Style"/>
        </w:rPr>
      </w:pPr>
    </w:p>
    <w:p w:rsidR="009866EA">
      <w:pPr>
        <w:jc w:val="center"/>
        <w:rPr>
          <w:rStyle w:val="Fontdeparagrafimplicit"/>
          <w:rFonts w:ascii="Bookman Old Style" w:hAnsi="Bookman Old Style"/>
        </w:rPr>
      </w:pPr>
      <w:r>
        <w:rPr>
          <w:rStyle w:val="Fontdeparagrafimplicit"/>
          <w:rFonts w:ascii="Bookman Old Style" w:hAnsi="Bookman Old Style"/>
        </w:rPr>
        <w:t>PENTRU ACESTE MOTIVE,</w:t>
      </w:r>
      <w:r>
        <w:rPr>
          <w:rStyle w:val="Fontdeparagrafimplicit"/>
          <w:rFonts w:ascii="Bookman Old Style" w:hAnsi="Bookman Old Style"/>
        </w:rPr>
        <w:br/>
        <w:t>ÎN NUMELE LEGII</w:t>
      </w:r>
    </w:p>
    <w:p w:rsidR="009866EA">
      <w:pPr>
        <w:jc w:val="center"/>
        <w:rPr>
          <w:rStyle w:val="Fontdeparagrafimplicit"/>
          <w:rFonts w:ascii="Bookman Old Style" w:hAnsi="Bookman Old Style"/>
        </w:rPr>
      </w:pPr>
      <w:r>
        <w:rPr>
          <w:rStyle w:val="Fontdeparagrafimplicit"/>
          <w:rFonts w:ascii="Bookman Old Style" w:hAnsi="Bookman Old Style"/>
        </w:rPr>
        <w:t>DECIDE :</w:t>
      </w:r>
    </w:p>
    <w:p w:rsidR="009866EA">
      <w:pPr>
        <w:jc w:val="center"/>
        <w:rPr>
          <w:rStyle w:val="Fontdeparagrafimplicit"/>
          <w:rFonts w:ascii="Bookman Old Style" w:hAnsi="Bookman Old Style"/>
        </w:rPr>
      </w:pPr>
    </w:p>
    <w:p w:rsidR="009866EA">
      <w:pPr>
        <w:ind w:firstLine="708"/>
        <w:jc w:val="both"/>
        <w:rPr>
          <w:rStyle w:val="Fontdeparagrafimplicit"/>
          <w:rFonts w:ascii="Bookman Old Style" w:hAnsi="Bookman Old Style"/>
        </w:rPr>
      </w:pPr>
      <w:r>
        <w:rPr>
          <w:rStyle w:val="Fontdeparagrafimplicit"/>
          <w:rFonts w:ascii="Bookman Old Style" w:hAnsi="Bookman Old Style"/>
        </w:rPr>
        <w:t>Respinge ca nefondat recursul declarat de reclamanta 1</w:t>
      </w:r>
      <w:r>
        <w:rPr>
          <w:rStyle w:val="Fontdeparagrafimplicit"/>
          <w:rFonts w:ascii="Bookman Old Style" w:hAnsi="Bookman Old Style"/>
        </w:rPr>
        <w:t xml:space="preserve"> împotriva sentinţei civile nr. ........ </w:t>
      </w:r>
      <w:r>
        <w:rPr>
          <w:rStyle w:val="Fontdeparagrafimplicit"/>
          <w:rFonts w:ascii="Bookman Old Style" w:hAnsi="Bookman Old Style"/>
        </w:rPr>
        <w:t xml:space="preserve"> din ............ </w:t>
      </w:r>
      <w:r>
        <w:rPr>
          <w:rStyle w:val="Fontdeparagrafimplicit"/>
          <w:rFonts w:ascii="Bookman Old Style" w:hAnsi="Bookman Old Style"/>
        </w:rPr>
        <w:t>a Tribunalului .........</w:t>
      </w:r>
      <w:r>
        <w:rPr>
          <w:rStyle w:val="Fontdeparagrafimplicit"/>
          <w:rFonts w:ascii="Bookman Old Style" w:hAnsi="Bookman Old Style"/>
        </w:rPr>
        <w:t xml:space="preserve"> pronunţată î</w:t>
      </w:r>
      <w:r>
        <w:rPr>
          <w:rStyle w:val="Fontdeparagrafimplicit"/>
          <w:rFonts w:ascii="Bookman Old Style" w:hAnsi="Bookman Old Style"/>
        </w:rPr>
        <w:t xml:space="preserve">n dosar nr. 18 </w:t>
      </w:r>
      <w:r>
        <w:rPr>
          <w:rStyle w:val="Fontdeparagrafimplicit"/>
          <w:rFonts w:ascii="Bookman Old Style" w:hAnsi="Bookman Old Style"/>
        </w:rPr>
        <w:t xml:space="preserve"> pe care o menţine.</w:t>
      </w:r>
    </w:p>
    <w:p w:rsidR="009866EA">
      <w:pPr>
        <w:ind w:firstLine="708"/>
        <w:jc w:val="both"/>
        <w:rPr>
          <w:rStyle w:val="Fontdeparagrafimplicit"/>
          <w:rFonts w:ascii="Bookman Old Style" w:hAnsi="Bookman Old Style"/>
        </w:rPr>
      </w:pPr>
      <w:r>
        <w:rPr>
          <w:rStyle w:val="Fontdeparagrafimplicit"/>
          <w:rFonts w:ascii="Bookman Old Style" w:hAnsi="Bookman Old Style"/>
        </w:rPr>
        <w:t>Irevocabilă.</w:t>
      </w:r>
    </w:p>
    <w:p w:rsidR="009866EA">
      <w:pPr>
        <w:ind w:firstLine="708"/>
        <w:jc w:val="both"/>
        <w:rPr>
          <w:rStyle w:val="Fontdeparagrafimplicit"/>
          <w:rFonts w:ascii="Bookman Old Style" w:hAnsi="Bookman Old Style"/>
        </w:rPr>
      </w:pPr>
      <w:r>
        <w:rPr>
          <w:rStyle w:val="Fontdeparagrafimplicit"/>
          <w:rFonts w:ascii="Bookman Old Style" w:hAnsi="Bookman Old Style"/>
        </w:rPr>
        <w:t>Dată şi pronunţată în şedinţă publică, azi, ..........</w:t>
      </w:r>
      <w:r>
        <w:rPr>
          <w:rStyle w:val="Fontdeparagrafimplicit"/>
          <w:rFonts w:ascii="Bookman Old Style" w:hAnsi="Bookman Old Style"/>
        </w:rPr>
        <w:t>.</w:t>
      </w:r>
    </w:p>
    <w:p w:rsidR="009866EA">
      <w:pPr>
        <w:jc w:val="both"/>
        <w:rPr>
          <w:rStyle w:val="Fontdeparagrafimplicit"/>
          <w:rFonts w:ascii="Bookman Old Style" w:hAnsi="Bookman Old Style"/>
        </w:rPr>
      </w:pPr>
    </w:p>
    <w:p w:rsidR="009866EA">
      <w:pPr>
        <w:jc w:val="both"/>
        <w:rPr>
          <w:rStyle w:val="Fontdeparagrafimplicit"/>
          <w:rFonts w:ascii="Bookman Old Style" w:hAnsi="Bookman Old Style"/>
          <w:b/>
        </w:rPr>
      </w:pPr>
      <w:r>
        <w:rPr>
          <w:rStyle w:val="Fontdeparagrafimplicit"/>
          <w:rFonts w:ascii="Bookman Old Style" w:hAnsi="Bookman Old Style"/>
          <w:b/>
        </w:rPr>
        <w:t xml:space="preserve">     PREŞEDINTE</w:t>
      </w:r>
      <w:r>
        <w:rPr>
          <w:rStyle w:val="Fontdeparagrafimplicit"/>
          <w:rFonts w:ascii="Bookman Old Style" w:hAnsi="Bookman Old Style"/>
          <w:b/>
        </w:rPr>
        <w:tab/>
      </w:r>
      <w:r>
        <w:rPr>
          <w:rStyle w:val="Fontdeparagrafimplicit"/>
          <w:rFonts w:ascii="Bookman Old Style" w:hAnsi="Bookman Old Style"/>
          <w:b/>
        </w:rPr>
        <w:tab/>
      </w:r>
      <w:r>
        <w:rPr>
          <w:rStyle w:val="Fontdeparagrafimplicit"/>
          <w:rFonts w:ascii="Bookman Old Style" w:hAnsi="Bookman Old Style"/>
          <w:b/>
        </w:rPr>
        <w:tab/>
      </w:r>
      <w:r>
        <w:rPr>
          <w:rStyle w:val="Fontdeparagrafimplicit"/>
          <w:rFonts w:ascii="Bookman Old Style" w:hAnsi="Bookman Old Style"/>
          <w:b/>
        </w:rPr>
        <w:tab/>
        <w:t xml:space="preserve">                       JUDECĂTORI</w:t>
      </w:r>
    </w:p>
    <w:p w:rsidR="009866EA" w:rsidP="00053DE3">
      <w:pPr>
        <w:ind w:firstLine="720"/>
        <w:jc w:val="both"/>
        <w:rPr>
          <w:rStyle w:val="Fontdeparagrafimplicit"/>
          <w:rFonts w:ascii="Bookman Old Style" w:hAnsi="Bookman Old Style"/>
          <w:b/>
          <w:sz w:val="22"/>
        </w:rPr>
      </w:pPr>
      <w:r>
        <w:rPr>
          <w:rStyle w:val="Fontdeparagrafimplicit"/>
          <w:rFonts w:ascii="Bookman Old Style" w:hAnsi="Bookman Old Style"/>
          <w:b/>
          <w:sz w:val="22"/>
        </w:rPr>
        <w:t>A0019</w:t>
      </w:r>
      <w:r>
        <w:rPr>
          <w:rStyle w:val="Fontdeparagrafimplicit"/>
          <w:rFonts w:ascii="Bookman Old Style" w:hAnsi="Bookman Old Style"/>
          <w:b/>
          <w:sz w:val="22"/>
        </w:rPr>
        <w:t xml:space="preserve">                                                   ................</w:t>
      </w:r>
      <w:r>
        <w:rPr>
          <w:rStyle w:val="Fontdeparagrafimplicit"/>
          <w:rFonts w:ascii="Bookman Old Style" w:hAnsi="Bookman Old Style"/>
          <w:b/>
          <w:sz w:val="22"/>
        </w:rPr>
        <w:t xml:space="preserve">    .................... </w:t>
      </w:r>
    </w:p>
    <w:p w:rsidR="009866EA">
      <w:pPr>
        <w:jc w:val="both"/>
        <w:rPr>
          <w:rStyle w:val="Fontdeparagrafimplicit"/>
          <w:rFonts w:ascii="Bookman Old Style" w:hAnsi="Bookman Old Style"/>
          <w:b/>
          <w:sz w:val="22"/>
        </w:rPr>
      </w:pPr>
    </w:p>
    <w:p w:rsidR="009866EA">
      <w:pPr>
        <w:jc w:val="both"/>
        <w:rPr>
          <w:rStyle w:val="Fontdeparagrafimplicit"/>
          <w:rFonts w:ascii="Bookman Old Style" w:hAnsi="Bookman Old Style"/>
          <w:b/>
          <w:sz w:val="22"/>
        </w:rPr>
      </w:pPr>
    </w:p>
    <w:p w:rsidR="009866EA">
      <w:pPr>
        <w:jc w:val="both"/>
        <w:rPr>
          <w:rStyle w:val="Fontdeparagrafimplicit"/>
          <w:rFonts w:ascii="Bookman Old Style" w:hAnsi="Bookman Old Style"/>
          <w:b/>
        </w:rPr>
      </w:pPr>
    </w:p>
    <w:p w:rsidR="009866EA">
      <w:pPr>
        <w:jc w:val="both"/>
        <w:rPr>
          <w:rStyle w:val="Fontdeparagrafimplicit"/>
          <w:rFonts w:ascii="Bookman Old Style" w:hAnsi="Bookman Old Style"/>
          <w:b/>
        </w:rPr>
      </w:pPr>
    </w:p>
    <w:p w:rsidR="009866EA">
      <w:pPr>
        <w:jc w:val="both"/>
        <w:rPr>
          <w:rStyle w:val="Fontdeparagrafimplicit"/>
          <w:rFonts w:ascii="Bookman Old Style" w:hAnsi="Bookman Old Style"/>
          <w:b/>
        </w:rPr>
      </w:pPr>
    </w:p>
    <w:p w:rsidR="009866EA">
      <w:pPr>
        <w:jc w:val="both"/>
        <w:rPr>
          <w:rStyle w:val="Fontdeparagrafimplicit"/>
          <w:rFonts w:ascii="Bookman Old Style" w:hAnsi="Bookman Old Style"/>
          <w:b/>
        </w:rPr>
      </w:pPr>
    </w:p>
    <w:p w:rsidR="009866EA">
      <w:pPr>
        <w:jc w:val="both"/>
        <w:rPr>
          <w:rStyle w:val="Fontdeparagrafimplicit"/>
          <w:rFonts w:ascii="Bookman Old Style" w:hAnsi="Bookman Old Style"/>
          <w:b/>
        </w:rPr>
      </w:pPr>
      <w:r>
        <w:rPr>
          <w:rStyle w:val="Fontdeparagrafimplicit"/>
          <w:rFonts w:ascii="Bookman Old Style" w:hAnsi="Bookman Old Style"/>
          <w:b/>
        </w:rPr>
        <w:tab/>
      </w:r>
      <w:r>
        <w:rPr>
          <w:rStyle w:val="Fontdeparagrafimplicit"/>
          <w:rFonts w:ascii="Bookman Old Style" w:hAnsi="Bookman Old Style"/>
          <w:b/>
        </w:rPr>
        <w:tab/>
      </w:r>
      <w:r>
        <w:rPr>
          <w:rStyle w:val="Fontdeparagrafimplicit"/>
          <w:rFonts w:ascii="Bookman Old Style" w:hAnsi="Bookman Old Style"/>
          <w:b/>
        </w:rPr>
        <w:tab/>
      </w:r>
      <w:r>
        <w:rPr>
          <w:rStyle w:val="Fontdeparagrafimplicit"/>
          <w:rFonts w:ascii="Bookman Old Style" w:hAnsi="Bookman Old Style"/>
          <w:b/>
        </w:rPr>
        <w:tab/>
      </w:r>
      <w:r>
        <w:rPr>
          <w:rStyle w:val="Fontdeparagrafimplicit"/>
          <w:rFonts w:ascii="Bookman Old Style" w:hAnsi="Bookman Old Style"/>
          <w:b/>
        </w:rPr>
        <w:tab/>
      </w:r>
      <w:r>
        <w:rPr>
          <w:rStyle w:val="Fontdeparagrafimplicit"/>
          <w:rFonts w:ascii="Bookman Old Style" w:hAnsi="Bookman Old Style"/>
          <w:b/>
        </w:rPr>
        <w:tab/>
      </w:r>
      <w:r>
        <w:rPr>
          <w:rStyle w:val="Fontdeparagrafimplicit"/>
          <w:rFonts w:ascii="Bookman Old Style" w:hAnsi="Bookman Old Style"/>
          <w:b/>
        </w:rPr>
        <w:tab/>
      </w:r>
      <w:r>
        <w:rPr>
          <w:rStyle w:val="Fontdeparagrafimplicit"/>
          <w:rFonts w:ascii="Bookman Old Style" w:hAnsi="Bookman Old Style"/>
          <w:b/>
        </w:rPr>
        <w:tab/>
      </w:r>
      <w:r>
        <w:rPr>
          <w:rStyle w:val="Fontdeparagrafimplicit"/>
          <w:rFonts w:ascii="Bookman Old Style" w:hAnsi="Bookman Old Style"/>
          <w:b/>
        </w:rPr>
        <w:tab/>
      </w:r>
      <w:r>
        <w:rPr>
          <w:rStyle w:val="Fontdeparagrafimplicit"/>
          <w:rFonts w:ascii="Bookman Old Style" w:hAnsi="Bookman Old Style"/>
          <w:b/>
        </w:rPr>
        <w:t xml:space="preserve">    GREFIER</w:t>
      </w:r>
    </w:p>
    <w:p w:rsidR="009866EA">
      <w:pPr>
        <w:jc w:val="both"/>
        <w:rPr>
          <w:rStyle w:val="Fontdeparagrafimplicit"/>
          <w:rFonts w:ascii="Bookman Old Style" w:hAnsi="Bookman Old Style"/>
          <w:b/>
          <w:sz w:val="22"/>
        </w:rPr>
      </w:pPr>
      <w:r>
        <w:rPr>
          <w:rStyle w:val="Fontdeparagrafimplicit"/>
          <w:rFonts w:ascii="Bookman Old Style" w:hAnsi="Bookman Old Style"/>
          <w:b/>
        </w:rPr>
        <w:tab/>
      </w:r>
      <w:r>
        <w:rPr>
          <w:rStyle w:val="Fontdeparagrafimplicit"/>
          <w:rFonts w:ascii="Bookman Old Style" w:hAnsi="Bookman Old Style"/>
          <w:b/>
        </w:rPr>
        <w:tab/>
      </w:r>
      <w:r>
        <w:rPr>
          <w:rStyle w:val="Fontdeparagrafimplicit"/>
          <w:rFonts w:ascii="Bookman Old Style" w:hAnsi="Bookman Old Style"/>
          <w:b/>
        </w:rPr>
        <w:tab/>
      </w:r>
      <w:r>
        <w:rPr>
          <w:rStyle w:val="Fontdeparagrafimplicit"/>
          <w:rFonts w:ascii="Bookman Old Style" w:hAnsi="Bookman Old Style"/>
          <w:b/>
        </w:rPr>
        <w:tab/>
      </w:r>
      <w:r>
        <w:rPr>
          <w:rStyle w:val="Fontdeparagrafimplicit"/>
          <w:rFonts w:ascii="Bookman Old Style" w:hAnsi="Bookman Old Style"/>
          <w:b/>
        </w:rPr>
        <w:tab/>
      </w:r>
      <w:r>
        <w:rPr>
          <w:rStyle w:val="Fontdeparagrafimplicit"/>
          <w:rFonts w:ascii="Bookman Old Style" w:hAnsi="Bookman Old Style"/>
          <w:b/>
        </w:rPr>
        <w:tab/>
      </w:r>
      <w:r>
        <w:rPr>
          <w:rStyle w:val="Fontdeparagrafimplicit"/>
          <w:rFonts w:ascii="Bookman Old Style" w:hAnsi="Bookman Old Style"/>
          <w:b/>
        </w:rPr>
        <w:tab/>
      </w:r>
      <w:r>
        <w:rPr>
          <w:rStyle w:val="Fontdeparagrafimplicit"/>
          <w:rFonts w:ascii="Bookman Old Style" w:hAnsi="Bookman Old Style"/>
          <w:b/>
        </w:rPr>
        <w:tab/>
        <w:t xml:space="preserve">       </w:t>
      </w:r>
      <w:r>
        <w:rPr>
          <w:rStyle w:val="Fontdeparagrafimplicit"/>
          <w:rFonts w:ascii="Bookman Old Style" w:hAnsi="Bookman Old Style"/>
          <w:b/>
        </w:rPr>
        <w:t xml:space="preserve">  </w:t>
      </w:r>
      <w:r>
        <w:rPr>
          <w:rStyle w:val="Fontdeparagrafimplicit"/>
          <w:rFonts w:ascii="Bookman Old Style" w:hAnsi="Bookman Old Style"/>
          <w:b/>
          <w:sz w:val="22"/>
        </w:rPr>
        <w:t xml:space="preserve">.................... </w:t>
      </w:r>
    </w:p>
    <w:p w:rsidR="009866EA">
      <w:pPr>
        <w:jc w:val="both"/>
        <w:rPr>
          <w:rStyle w:val="Fontdeparagrafimplicit"/>
          <w:rFonts w:ascii="Bookman Old Style" w:hAnsi="Bookman Old Style"/>
          <w:b/>
          <w:sz w:val="22"/>
        </w:rPr>
      </w:pPr>
    </w:p>
    <w:p w:rsidR="009866EA">
      <w:pPr>
        <w:jc w:val="both"/>
        <w:rPr>
          <w:rStyle w:val="Fontdeparagrafimplicit"/>
          <w:rFonts w:ascii="Bookman Old Style" w:hAnsi="Bookman Old Style"/>
          <w:b/>
          <w:sz w:val="22"/>
        </w:rPr>
      </w:pPr>
    </w:p>
    <w:p w:rsidR="009866EA">
      <w:pPr>
        <w:jc w:val="both"/>
        <w:rPr>
          <w:rStyle w:val="Fontdeparagrafimplicit"/>
          <w:rFonts w:ascii="Bookman Old Style" w:hAnsi="Bookman Old Style"/>
          <w:b/>
          <w:sz w:val="22"/>
        </w:rPr>
      </w:pPr>
    </w:p>
    <w:p w:rsidR="009866EA">
      <w:pPr>
        <w:jc w:val="both"/>
        <w:rPr>
          <w:rStyle w:val="Fontdeparagrafimplicit"/>
          <w:rFonts w:ascii="Bookman Old Style" w:hAnsi="Bookman Old Style"/>
          <w:b/>
          <w:sz w:val="22"/>
        </w:rPr>
      </w:pPr>
    </w:p>
    <w:p w:rsidR="009866EA">
      <w:pPr>
        <w:jc w:val="both"/>
        <w:rPr>
          <w:rStyle w:val="Fontdeparagrafimplicit"/>
          <w:rFonts w:ascii="Bookman Old Style" w:hAnsi="Bookman Old Style"/>
          <w:b/>
          <w:sz w:val="22"/>
        </w:rPr>
      </w:pPr>
    </w:p>
    <w:p w:rsidR="009866EA">
      <w:pPr>
        <w:jc w:val="both"/>
        <w:rPr>
          <w:rStyle w:val="Fontdeparagrafimplicit"/>
          <w:rFonts w:ascii="Bookman Old Style" w:hAnsi="Bookman Old Style"/>
          <w:sz w:val="16"/>
        </w:rPr>
      </w:pPr>
      <w:r>
        <w:rPr>
          <w:rStyle w:val="Fontdeparagrafimplicit"/>
          <w:rFonts w:ascii="Bookman Old Style" w:hAnsi="Bookman Old Style"/>
          <w:sz w:val="16"/>
        </w:rPr>
        <w:t>Red.A0019</w:t>
      </w:r>
      <w:r>
        <w:rPr>
          <w:rStyle w:val="Fontdeparagrafimplicit"/>
          <w:rFonts w:ascii="Bookman Old Style" w:hAnsi="Bookman Old Style"/>
          <w:sz w:val="16"/>
        </w:rPr>
        <w:t xml:space="preserve"> /........</w:t>
      </w:r>
    </w:p>
    <w:p w:rsidR="009866EA">
      <w:pPr>
        <w:jc w:val="both"/>
        <w:rPr>
          <w:rStyle w:val="Fontdeparagrafimplicit"/>
          <w:rFonts w:ascii="Bookman Old Style" w:hAnsi="Bookman Old Style"/>
          <w:sz w:val="16"/>
        </w:rPr>
      </w:pPr>
      <w:r>
        <w:rPr>
          <w:rStyle w:val="Fontdeparagrafimplicit"/>
          <w:rFonts w:ascii="Bookman Old Style" w:hAnsi="Bookman Old Style"/>
          <w:sz w:val="16"/>
        </w:rPr>
        <w:t>Dact............</w:t>
      </w:r>
      <w:bookmarkStart w:name="_GoBack" w:id="0"/>
      <w:bookmarkEnd w:id="0"/>
      <w:r>
        <w:rPr>
          <w:rStyle w:val="Fontdeparagrafimplicit"/>
          <w:rFonts w:ascii="Bookman Old Style" w:hAnsi="Bookman Old Style"/>
          <w:sz w:val="16"/>
        </w:rPr>
        <w:t>/2ex.</w:t>
      </w:r>
    </w:p>
    <w:p w:rsidR="009866EA">
      <w:pPr>
        <w:rPr>
          <w:rStyle w:val="Fontdeparagrafimplicit"/>
          <w:rFonts w:ascii="Bookman Old Style" w:hAnsi="Bookman Old Style"/>
          <w:sz w:val="16"/>
        </w:rPr>
      </w:pPr>
    </w:p>
    <w:p w:rsidR="009866EA">
      <w:pPr>
        <w:rPr>
          <w:rStyle w:val="Fontdeparagrafimplicit"/>
        </w:rPr>
      </w:pPr>
    </w:p>
    <w:p w:rsidR="009866EA">
      <w:pPr>
        <w:rPr>
          <w:rStyle w:val="Fontdeparagrafimplicit"/>
        </w:rPr>
      </w:pPr>
    </w:p>
    <w:sectPr>
      <w:footerReference w:type="even" r:id="rId4"/>
      <w:footerReference w:type="default" r:id="rId5"/>
      <w:pgSz w:w="11906" w:h="16838"/>
      <w:pgMar w:top="851" w:right="1134" w:bottom="851" w:left="1418" w:header="720" w:footer="72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9866EA">
    <w:pPr>
      <w:pStyle w:val="Subsol"/>
      <w:framePr w:wrap="around" w:hAnchor="margin" w:vAnchor="text" w:xAlign="center" w:y="1"/>
      <w:rPr>
        <w:rStyle w:val="Numrdepagin"/>
      </w:rPr>
    </w:pPr>
    <w:r>
      <w:fldChar w:fldCharType="begin"/>
    </w:r>
    <w:r>
      <w:rPr>
        <w:rStyle w:val="Numrdepagin"/>
      </w:rPr>
      <w:instrText xml:space="preserve">PAGE  </w:instrText>
    </w:r>
    <w:r>
      <w:rPr>
        <w:rStyle w:val="Numrdepagin"/>
      </w:rPr>
      <w:fldChar w:fldCharType="separate"/>
    </w:r>
    <w:r>
      <w:rPr>
        <w:rStyle w:val="Numrdepagin"/>
      </w:rPr>
      <w:t>#</w:t>
    </w:r>
    <w:r>
      <w:rPr>
        <w:rStyle w:val="Numrdepagin"/>
      </w:rPr>
      <w:fldChar w:fldCharType="end"/>
    </w:r>
  </w:p>
  <w:p w:rsidR="009866EA">
    <w:pPr>
      <w:pStyle w:val="Subsol"/>
      <w:rPr>
        <w:rStyle w:val="Numrdepagin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9866EA">
    <w:pPr>
      <w:pStyle w:val="Subsol"/>
      <w:framePr w:wrap="around" w:hAnchor="margin" w:vAnchor="text" w:xAlign="center" w:y="1"/>
      <w:rPr>
        <w:rStyle w:val="Numrdepagin"/>
      </w:rPr>
    </w:pPr>
    <w:r>
      <w:fldChar w:fldCharType="begin"/>
    </w:r>
    <w:r>
      <w:rPr>
        <w:rStyle w:val="Numrdepagin"/>
      </w:rPr>
      <w:instrText xml:space="preserve">PAGE  </w:instrText>
    </w:r>
    <w:r>
      <w:rPr>
        <w:rStyle w:val="Numrdepagin"/>
      </w:rPr>
      <w:fldChar w:fldCharType="separate"/>
    </w:r>
    <w:r>
      <w:rPr>
        <w:rStyle w:val="Numrdepagin"/>
        <w:noProof/>
      </w:rPr>
      <w:t>3</w:t>
    </w:r>
    <w:r>
      <w:rPr>
        <w:rStyle w:val="Numrdepagin"/>
      </w:rPr>
      <w:fldChar w:fldCharType="end"/>
    </w:r>
  </w:p>
  <w:p w:rsidR="009866EA">
    <w:pPr>
      <w:pStyle w:val="Subsol"/>
      <w:rPr>
        <w:rStyle w:val="Numrdepagin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4"/>
  <w:defaultTabStop w:val="720"/>
  <w:hyphenationZone w:val="425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0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66EA"/>
    <w:rsid w:val="00053DE3"/>
    <w:rsid w:val="009866EA"/>
  </w:rsids>
  <w:docVars>
    <w:docVar w:name="url" w:val="http://bd-cjca:80/ecris_cdms/document_upload.aspx?id_document=3300000000370850&amp;id_departament=3&amp;id_sesiune=240656&amp;id_user=157&amp;id_institutie=33&amp;actiune=modifica"/>
  </w:docVars>
  <m:mathPr>
    <m:mathFont m:val="Cambria Math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6FE80D7F"/>
  <w15:docId w15:val="{54D7018A-F9FF-4C63-883D-92DDAB5A61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lang w:val="ro-RO" w:eastAsia="ro-RO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itlu1">
    <w:name w:val="Titlu 1"/>
    <w:basedOn w:val="Normal"/>
    <w:next w:val="Normal"/>
    <w:pPr>
      <w:keepNext/>
      <w:jc w:val="center"/>
      <w:outlineLvl w:val="0"/>
    </w:pPr>
    <w:rPr>
      <w:b/>
      <w:sz w:val="28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</w:style>
  <w:style w:type="paragraph" w:customStyle="1" w:styleId="CharCharCaracterCaracterCharChar">
    <w:name w:val="Char Char Caracter Caracter Char Char"/>
    <w:basedOn w:val="Normal"/>
    <w:link w:val="Fontdeparagrafimplicit"/>
    <w:pPr>
      <w:tabs>
        <w:tab w:val="left" w:pos="900"/>
        <w:tab w:val="left" w:pos="1080"/>
      </w:tabs>
      <w:ind w:right="22"/>
    </w:pPr>
    <w:rPr>
      <w:lang w:val="pl-PL"/>
    </w:rPr>
  </w:style>
  <w:style w:type="paragraph" w:customStyle="1" w:styleId="Subsol">
    <w:name w:val="Subsol"/>
    <w:basedOn w:val="Normal"/>
    <w:pPr>
      <w:tabs>
        <w:tab w:val="center" w:pos="4320"/>
        <w:tab w:val="right" w:pos="8640"/>
      </w:tabs>
    </w:pPr>
  </w:style>
  <w:style w:type="character" w:styleId="LineNumber">
    <w:name w:val="line number"/>
    <w:basedOn w:val="DefaultParagraphFont"/>
    <w:semiHidden/>
  </w:style>
  <w:style w:type="character" w:styleId="Hyperlink">
    <w:name w:val="Hyperlink"/>
    <w:rPr>
      <w:color w:val="0000FF"/>
      <w:u w:val="single"/>
    </w:rPr>
  </w:style>
  <w:style w:type="character" w:customStyle="1" w:styleId="Fontdeparagrafimplicit">
    <w:name w:val="Font de paragraf implicit"/>
    <w:link w:val="CharCharCaracterCaracterCharChar"/>
    <w:rPr>
      <w:lang w:val="pl-PL"/>
    </w:rPr>
  </w:style>
  <w:style w:type="character" w:customStyle="1" w:styleId="Numrdepagin">
    <w:name w:val="Număr de pagină"/>
    <w:basedOn w:val="Fontdeparagrafimplicit"/>
    <w:rPr>
      <w:lang w:val="pl-PL"/>
    </w:rPr>
  </w:style>
  <w:style w:type="table" w:styleId="TableSimple1">
    <w:name w:val="Table Simple 1"/>
    <w:basedOn w:val="TableNormal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Normal">
    <w:name w:val="Tabel Normal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footer" Target="footer1.xml" /><Relationship Id="rId5" Type="http://schemas.openxmlformats.org/officeDocument/2006/relationships/footer" Target="footer2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ap:Properties xmlns:vt="http://schemas.openxmlformats.org/officeDocument/2006/docPropsVTypes" xmlns:ap="http://schemas.openxmlformats.org/officeDocument/2006/extended-properties">
  <ap:Template>Normal</ap:Template>
  <ap:SharedDoc>false</ap:SharedDoc>
  <ap:LinksUpToDate>false</ap:LinksUpToDate>
  <ap:HyperlinkBase/>
  <ap:Manager/>
  <ap:Company/>
  <ap:TotalTime>6</ap:TotalTime>
  <ap:Pages>3</ap:Pages>
  <ap:Words>1049</ap:Words>
  <ap:Characters>6090</ap:Characters>
  <ap:Application>Microsoft Office Word</ap:Application>
  <ap:DocSecurity>0</ap:DocSecurity>
  <ap:Lines>50</ap:Lines>
  <ap:Paragraphs>14</ap:Paragraphs>
  <ap:ScaleCrop>false</ap:ScaleCrop>
  <ap:CharactersWithSpaces>7125</ap:CharactersWithSpaces>
  <ap:HyperlinksChanged>false</ap:HyperlinksChanged>
  <ap:AppVersion>16.0000</ap:AppVersion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creator/>
  <lastModifiedBy/>
  <revision/>
  <dc:subject/>
  <dc:description/>
  <keywords/>
  <category/>
  <contentStatus/>
  <dc:identifier/>
  <dc:language/>
  <version/>
</coreProperties>
</file>