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1855E6" w14:paraId="57B7EF0E" w14:textId="6C31D148">
      <w:pPr>
        <w:rPr>
          <w:rStyle w:val="Fontdeparagrafimplicit"/>
          <w:rFonts w:ascii="Garamond" w:hAnsi="Garamond"/>
        </w:rPr>
      </w:pPr>
      <w:r>
        <w:rPr>
          <w:rStyle w:val="Fontdeparagrafimplicit"/>
          <w:rFonts w:ascii="Garamond" w:hAnsi="Garamond"/>
        </w:rPr>
        <w:t xml:space="preserve">Dosar nr. </w:t>
      </w:r>
      <w:r w:rsidR="000811CF">
        <w:rPr>
          <w:rStyle w:val="Fontdeparagrafimplicit"/>
          <w:rFonts w:ascii="Garamond" w:hAnsi="Garamond"/>
        </w:rPr>
        <w:t>....../..../2012</w:t>
      </w:r>
      <w:r w:rsidR="002C0BC3">
        <w:rPr>
          <w:rStyle w:val="Fontdeparagrafimplicit"/>
          <w:rFonts w:ascii="Garamond" w:hAnsi="Garamond"/>
        </w:rPr>
        <w:t xml:space="preserve">                                                                                                 Hotărârea 13</w:t>
      </w:r>
    </w:p>
    <w:p w:rsidR="001855E6" w14:paraId="465AC4CD" w14:textId="77777777">
      <w:pPr>
        <w:jc w:val="center"/>
        <w:rPr>
          <w:rStyle w:val="Fontdeparagrafimplicit"/>
          <w:rFonts w:ascii="Garamond" w:hAnsi="Garamond"/>
        </w:rPr>
      </w:pPr>
      <w:r>
        <w:rPr>
          <w:rStyle w:val="Fontdeparagrafimplicit"/>
          <w:rFonts w:ascii="Garamond" w:hAnsi="Garamond"/>
        </w:rPr>
        <w:t>R O M Â N I A</w:t>
      </w:r>
    </w:p>
    <w:p w:rsidR="001855E6" w14:paraId="233CC8B6" w14:textId="77777777">
      <w:pPr>
        <w:jc w:val="center"/>
        <w:rPr>
          <w:rStyle w:val="Fontdeparagrafimplicit"/>
          <w:rFonts w:ascii="Garamond" w:hAnsi="Garamond"/>
        </w:rPr>
      </w:pPr>
    </w:p>
    <w:p w:rsidR="001855E6" w14:paraId="6DECB898" w14:textId="342C0626">
      <w:pPr>
        <w:jc w:val="center"/>
        <w:rPr>
          <w:rStyle w:val="Fontdeparagrafimplicit"/>
          <w:rFonts w:ascii="Garamond" w:hAnsi="Garamond"/>
        </w:rPr>
      </w:pPr>
      <w:r>
        <w:rPr>
          <w:rStyle w:val="Fontdeparagrafimplicit"/>
          <w:rFonts w:ascii="Garamond" w:hAnsi="Garamond"/>
        </w:rPr>
        <w:t xml:space="preserve">CURTEA DE APEL </w:t>
      </w:r>
      <w:r w:rsidRPr="000811CF" w:rsidR="000811CF">
        <w:rPr>
          <w:rStyle w:val="Fontdeparagrafimplicit"/>
          <w:rFonts w:ascii="Garamond" w:hAnsi="Garamond"/>
        </w:rPr>
        <w:t>...X...</w:t>
      </w:r>
    </w:p>
    <w:p w:rsidR="001855E6" w14:paraId="2D728E30" w14:textId="77777777">
      <w:pPr>
        <w:jc w:val="center"/>
        <w:rPr>
          <w:rStyle w:val="Fontdeparagrafimplicit"/>
          <w:rFonts w:ascii="Garamond" w:hAnsi="Garamond"/>
          <w:lang w:val="en-US"/>
        </w:rPr>
      </w:pPr>
      <w:r>
        <w:rPr>
          <w:rStyle w:val="Fontdeparagrafimplicit"/>
          <w:rFonts w:ascii="Garamond" w:hAnsi="Garamond"/>
        </w:rPr>
        <w:t>SECŢIA CONTENCIOS ADMINISTRATIV SI FISCAL</w:t>
      </w:r>
    </w:p>
    <w:p w:rsidR="001855E6" w14:paraId="1EC5A1BA" w14:textId="77777777">
      <w:pPr>
        <w:rPr>
          <w:rStyle w:val="Fontdeparagrafimplicit"/>
          <w:rFonts w:ascii="Garamond" w:hAnsi="Garamond"/>
        </w:rPr>
      </w:pPr>
    </w:p>
    <w:p w:rsidR="001855E6" w14:paraId="1EDA31B1" w14:textId="5A38AA0B">
      <w:pPr>
        <w:jc w:val="center"/>
        <w:rPr>
          <w:rStyle w:val="Fontdeparagrafimplicit"/>
          <w:rFonts w:ascii="Garamond" w:hAnsi="Garamond"/>
        </w:rPr>
      </w:pPr>
      <w:r>
        <w:rPr>
          <w:rStyle w:val="Fontdeparagrafimplicit"/>
          <w:rFonts w:ascii="Garamond" w:hAnsi="Garamond"/>
        </w:rPr>
      </w:r>
      <w:bookmarkStart w:name="tip_incheiere" w:id="0"/>
      <w:r>
        <w:rPr>
          <w:rStyle w:val="Fontdeparagrafimplicit"/>
          <w:rFonts w:ascii="Garamond" w:hAnsi="Garamond"/>
        </w:rPr>
      </w:r>
      <w:r>
        <w:rPr>
          <w:rStyle w:val="Fontdeparagrafimplicit"/>
          <w:rFonts w:ascii="Garamond" w:hAnsi="Garamond"/>
        </w:rPr>
      </w:r>
      <w:r>
        <w:rPr>
          <w:rStyle w:val="Fontdeparagrafimplicit"/>
          <w:rFonts w:ascii="Garamond" w:hAnsi="Garamond"/>
        </w:rPr>
        <w:t>DECIZIE</w:t>
      </w:r>
      <w:r>
        <w:rPr>
          <w:rStyle w:val="Fontdeparagrafimplicit"/>
          <w:rFonts w:ascii="Garamond" w:hAnsi="Garamond"/>
        </w:rPr>
      </w:r>
      <w:bookmarkEnd w:id="0"/>
      <w:r>
        <w:rPr>
          <w:rStyle w:val="Fontdeparagrafimplicit"/>
          <w:rFonts w:ascii="Garamond" w:hAnsi="Garamond"/>
        </w:rPr>
        <w:t xml:space="preserve"> Nr. </w:t>
      </w:r>
      <w:r w:rsidR="000811CF">
        <w:rPr>
          <w:rStyle w:val="Fontdeparagrafimplicit"/>
          <w:rFonts w:ascii="Garamond" w:hAnsi="Garamond"/>
        </w:rPr>
        <w:t>....</w:t>
      </w:r>
      <w:r>
        <w:rPr>
          <w:rStyle w:val="Fontdeparagrafimplicit"/>
          <w:rFonts w:ascii="Garamond" w:hAnsi="Garamond"/>
        </w:rPr>
        <w:t>/</w:t>
      </w:r>
      <w:r w:rsidR="000811CF">
        <w:rPr>
          <w:rStyle w:val="Fontdeparagrafimplicit"/>
          <w:rFonts w:ascii="Garamond" w:hAnsi="Garamond"/>
        </w:rPr>
        <w:t>........</w:t>
      </w:r>
    </w:p>
    <w:p w:rsidR="001855E6" w14:paraId="33B113F7" w14:textId="249F3DED">
      <w:pPr>
        <w:jc w:val="center"/>
        <w:rPr>
          <w:rStyle w:val="Fontdeparagrafimplicit"/>
          <w:rFonts w:ascii="Garamond" w:hAnsi="Garamond"/>
        </w:rPr>
      </w:pPr>
      <w:r>
        <w:rPr>
          <w:rStyle w:val="Fontdeparagrafimplicit"/>
          <w:rFonts w:ascii="Garamond" w:hAnsi="Garamond"/>
        </w:rPr>
        <w:t>Şedinţa </w:t>
      </w:r>
      <w:r>
        <w:rPr>
          <w:rStyle w:val="Fontdeparagrafimplicit"/>
          <w:rFonts w:ascii="Garamond" w:hAnsi="Garamond"/>
        </w:rPr>
      </w:r>
      <w:bookmarkStart w:name="tip_sedinta" w:id="1"/>
      <w:r>
        <w:rPr>
          <w:rStyle w:val="Fontdeparagrafimplicit"/>
          <w:rFonts w:ascii="Garamond" w:hAnsi="Garamond"/>
        </w:rPr>
      </w:r>
      <w:r>
        <w:rPr>
          <w:rStyle w:val="Fontdeparagrafimplicit"/>
          <w:rFonts w:ascii="Garamond" w:hAnsi="Garamond"/>
        </w:rPr>
      </w:r>
      <w:r>
        <w:rPr>
          <w:rStyle w:val="Fontdeparagrafimplicit"/>
          <w:rFonts w:ascii="Garamond" w:hAnsi="Garamond"/>
        </w:rPr>
        <w:t>publică</w:t>
      </w:r>
      <w:r>
        <w:rPr>
          <w:rStyle w:val="Fontdeparagrafimplicit"/>
          <w:rFonts w:ascii="Garamond" w:hAnsi="Garamond"/>
        </w:rPr>
      </w:r>
      <w:bookmarkEnd w:id="1"/>
      <w:r>
        <w:rPr>
          <w:rStyle w:val="Fontdeparagrafimplicit"/>
          <w:rFonts w:ascii="Garamond" w:hAnsi="Garamond"/>
        </w:rPr>
        <w:t xml:space="preserve"> de la </w:t>
      </w:r>
      <w:r w:rsidR="000811CF">
        <w:rPr>
          <w:rStyle w:val="Fontdeparagrafimplicit"/>
          <w:rFonts w:ascii="Garamond" w:hAnsi="Garamond"/>
        </w:rPr>
        <w:t>.............</w:t>
      </w:r>
      <w:r>
        <w:rPr>
          <w:rStyle w:val="Fontdeparagrafimplicit"/>
          <w:rFonts w:ascii="Garamond" w:hAnsi="Garamond"/>
        </w:rPr>
        <w:t xml:space="preserve"> </w:t>
      </w:r>
    </w:p>
    <w:p w:rsidR="001855E6" w14:paraId="2B57BB34" w14:textId="77777777">
      <w:pPr>
        <w:jc w:val="center"/>
        <w:rPr>
          <w:rStyle w:val="Fontdeparagrafimplicit"/>
          <w:rFonts w:ascii="Garamond" w:hAnsi="Garamond"/>
        </w:rPr>
      </w:pPr>
      <w:r>
        <w:rPr>
          <w:rStyle w:val="Fontdeparagrafimplicit"/>
          <w:rFonts w:ascii="Garamond" w:hAnsi="Garamond"/>
        </w:rPr>
        <w:t>Completul compus din:</w:t>
      </w:r>
    </w:p>
    <w:p w:rsidR="001855E6" w14:paraId="5FB596E0" w14:textId="7E67CFC3">
      <w:pPr>
        <w:jc w:val="center"/>
        <w:rPr>
          <w:rStyle w:val="Fontdeparagrafimplicit"/>
          <w:rFonts w:ascii="Garamond" w:hAnsi="Garamond"/>
        </w:rPr>
      </w:pPr>
      <w:r>
        <w:rPr>
          <w:rStyle w:val="Fontdeparagrafimplicit"/>
          <w:rFonts w:ascii="Garamond" w:hAnsi="Garamond"/>
        </w:rPr>
        <w:t xml:space="preserve">PREŞEDINTE </w:t>
      </w:r>
      <w:r w:rsidR="000811CF">
        <w:rPr>
          <w:rStyle w:val="Fontdeparagrafimplicit"/>
          <w:rFonts w:ascii="Garamond" w:hAnsi="Garamond"/>
        </w:rPr>
        <w:t>...............</w:t>
      </w:r>
      <w:r>
        <w:rPr>
          <w:rStyle w:val="Fontdeparagrafimplicit"/>
          <w:rFonts w:ascii="Garamond" w:hAnsi="Garamond"/>
        </w:rPr>
        <w:t xml:space="preserve"> – Preşedinte Secţie</w:t>
      </w:r>
    </w:p>
    <w:p w:rsidR="001855E6" w14:paraId="5469F92C" w14:textId="1B6F5C35">
      <w:pPr>
        <w:jc w:val="center"/>
        <w:rPr>
          <w:rStyle w:val="Fontdeparagrafimplicit"/>
          <w:rFonts w:ascii="Garamond" w:hAnsi="Garamond"/>
        </w:rPr>
      </w:pPr>
      <w:r>
        <w:rPr>
          <w:rStyle w:val="Fontdeparagrafimplicit"/>
          <w:rFonts w:ascii="Garamond" w:hAnsi="Garamond"/>
        </w:rPr>
        <w:t xml:space="preserve">Judecător </w:t>
      </w:r>
      <w:r w:rsidR="000811CF">
        <w:rPr>
          <w:rStyle w:val="Fontdeparagrafimplicit"/>
          <w:rFonts w:ascii="Garamond" w:hAnsi="Garamond"/>
        </w:rPr>
        <w:t>A0001</w:t>
      </w:r>
      <w:r>
        <w:rPr>
          <w:rStyle w:val="Fontdeparagrafimplicit"/>
          <w:rFonts w:ascii="Garamond" w:hAnsi="Garamond"/>
        </w:rPr>
        <w:t xml:space="preserve"> – Vicepreşedinte Curte</w:t>
      </w:r>
    </w:p>
    <w:p w:rsidR="001855E6" w14:paraId="0088F91C" w14:textId="6CBD63DE">
      <w:pPr>
        <w:jc w:val="center"/>
        <w:rPr>
          <w:rStyle w:val="Fontdeparagrafimplicit"/>
          <w:rFonts w:ascii="Garamond" w:hAnsi="Garamond"/>
        </w:rPr>
      </w:pPr>
      <w:r>
        <w:rPr>
          <w:rStyle w:val="Fontdeparagrafimplicit"/>
          <w:rFonts w:ascii="Garamond" w:hAnsi="Garamond"/>
        </w:rPr>
        <w:t xml:space="preserve">Judecător </w:t>
      </w:r>
      <w:r w:rsidR="000811CF">
        <w:rPr>
          <w:rStyle w:val="Fontdeparagrafimplicit"/>
          <w:rFonts w:ascii="Garamond" w:hAnsi="Garamond"/>
        </w:rPr>
        <w:t>...............</w:t>
      </w:r>
    </w:p>
    <w:p w:rsidR="001855E6" w14:paraId="21C95EC5" w14:textId="290ED7CB">
      <w:pPr>
        <w:jc w:val="center"/>
        <w:rPr>
          <w:rStyle w:val="Fontdeparagrafimplicit"/>
          <w:rFonts w:ascii="Garamond" w:hAnsi="Garamond"/>
        </w:rPr>
      </w:pPr>
      <w:r>
        <w:rPr>
          <w:rStyle w:val="Fontdeparagrafimplicit"/>
          <w:rFonts w:ascii="Garamond" w:hAnsi="Garamond"/>
        </w:rPr>
        <w:t xml:space="preserve">Grefier </w:t>
      </w:r>
      <w:r w:rsidR="000811CF">
        <w:rPr>
          <w:rStyle w:val="Fontdeparagrafimplicit"/>
          <w:rFonts w:ascii="Garamond" w:hAnsi="Garamond"/>
        </w:rPr>
        <w:t>...............</w:t>
      </w:r>
    </w:p>
    <w:p w:rsidR="001855E6" w14:paraId="45457CDD" w14:textId="77777777">
      <w:pPr>
        <w:jc w:val="center"/>
        <w:rPr>
          <w:rStyle w:val="Fontdeparagrafimplicit"/>
          <w:rFonts w:ascii="Garamond" w:hAnsi="Garamond"/>
        </w:rPr>
      </w:pPr>
    </w:p>
    <w:p w:rsidR="001855E6" w14:paraId="15D412B3" w14:textId="77777777">
      <w:pPr>
        <w:jc w:val="center"/>
        <w:rPr>
          <w:rStyle w:val="Fontdeparagrafimplicit"/>
          <w:rFonts w:ascii="Garamond" w:hAnsi="Garamond"/>
        </w:rPr>
      </w:pPr>
      <w:r>
        <w:rPr>
          <w:rStyle w:val="Fontdeparagrafimplicit"/>
          <w:rFonts w:ascii="Garamond" w:hAnsi="Garamond"/>
        </w:rPr>
        <w:t>x.x.x.x.x</w:t>
      </w:r>
    </w:p>
    <w:p w:rsidR="001855E6" w14:paraId="03DE281C" w14:textId="77777777">
      <w:pPr>
        <w:jc w:val="center"/>
        <w:rPr>
          <w:rStyle w:val="Fontdeparagrafimplicit"/>
          <w:rFonts w:ascii="Garamond" w:hAnsi="Garamond"/>
        </w:rPr>
      </w:pPr>
    </w:p>
    <w:p w:rsidR="001855E6" w14:paraId="7CB56DCB" w14:textId="268B3287">
      <w:pPr>
        <w:ind w:firstLine="708"/>
        <w:jc w:val="both"/>
        <w:rPr>
          <w:rStyle w:val="Fontdeparagrafimplicit"/>
          <w:rFonts w:ascii="Garamond" w:hAnsi="Garamond"/>
        </w:rPr>
      </w:pPr>
      <w:r>
        <w:rPr>
          <w:rStyle w:val="Fontdeparagrafimplicit"/>
          <w:rFonts w:ascii="Garamond" w:hAnsi="Garamond"/>
        </w:rPr>
        <w:t xml:space="preserve">S-a luat în examinare recursul declarat de pârâta DIRECŢIA GENERALĂ A FINANŢELOR PUBLICE </w:t>
      </w:r>
      <w:r w:rsidR="000811CF">
        <w:rPr>
          <w:rStyle w:val="Fontdeparagrafimplicit"/>
          <w:rFonts w:ascii="Garamond" w:hAnsi="Garamond"/>
        </w:rPr>
        <w:t>...Q...</w:t>
      </w:r>
      <w:r>
        <w:rPr>
          <w:rStyle w:val="Fontdeparagrafimplicit"/>
          <w:rFonts w:ascii="Garamond" w:hAnsi="Garamond"/>
        </w:rPr>
        <w:t xml:space="preserve"> ÎN NUMELE ŞI PENTRU ADMINISTRAŢIA FINANŢELOR PUBLICE </w:t>
      </w:r>
      <w:r w:rsidR="000811CF">
        <w:rPr>
          <w:rStyle w:val="Fontdeparagrafimplicit"/>
          <w:rFonts w:ascii="Garamond" w:hAnsi="Garamond"/>
        </w:rPr>
        <w:t>...Z...</w:t>
      </w:r>
      <w:r>
        <w:rPr>
          <w:rStyle w:val="Fontdeparagrafimplicit"/>
          <w:rFonts w:ascii="Garamond" w:hAnsi="Garamond"/>
        </w:rPr>
        <w:t xml:space="preserve">, împotriva sentinţei nr. </w:t>
      </w:r>
      <w:r w:rsidRPr="000811CF" w:rsidR="000811CF">
        <w:rPr>
          <w:rStyle w:val="Fontdeparagrafimplicit"/>
          <w:rFonts w:ascii="Garamond" w:hAnsi="Garamond"/>
        </w:rPr>
        <w:t>...../...........</w:t>
      </w:r>
      <w:r w:rsidRPr="000811CF">
        <w:rPr>
          <w:rStyle w:val="Fontdeparagrafimplicit"/>
          <w:rFonts w:ascii="Garamond" w:hAnsi="Garamond"/>
        </w:rPr>
        <w:t xml:space="preserve">, pronunţată de Tribunalul </w:t>
      </w:r>
      <w:r w:rsidRPr="000811CF" w:rsidR="000811CF">
        <w:rPr>
          <w:rStyle w:val="Fontdeparagrafimplicit"/>
          <w:rFonts w:ascii="Garamond" w:hAnsi="Garamond"/>
        </w:rPr>
        <w:t>...Q...</w:t>
      </w:r>
      <w:r w:rsidRPr="000811CF">
        <w:rPr>
          <w:rStyle w:val="Fontdeparagrafimplicit"/>
          <w:rFonts w:ascii="Garamond" w:hAnsi="Garamond"/>
        </w:rPr>
        <w:t xml:space="preserve">, în dosar nr. </w:t>
      </w:r>
      <w:r w:rsidRPr="000811CF" w:rsidR="000811CF">
        <w:rPr>
          <w:rStyle w:val="Fontdeparagrafimplicit"/>
          <w:rFonts w:ascii="Garamond" w:hAnsi="Garamond"/>
        </w:rPr>
        <w:t>....../..../2012</w:t>
      </w:r>
      <w:r w:rsidRPr="000811CF">
        <w:rPr>
          <w:rStyle w:val="Fontdeparagrafimplicit"/>
          <w:rFonts w:ascii="Garamond" w:hAnsi="Garamond"/>
        </w:rPr>
        <w:t xml:space="preserve">, în contradictoriu cu </w:t>
      </w:r>
      <w:bookmarkStart w:name="_Hlk236574521" w:id="2"/>
      <w:r w:rsidRPr="000811CF">
        <w:rPr>
          <w:rStyle w:val="Fontdeparagrafimplicit"/>
          <w:rFonts w:ascii="Garamond" w:hAnsi="Garamond"/>
        </w:rPr>
        <w:t xml:space="preserve">intimatul reclamant </w:t>
      </w:r>
      <w:r w:rsidRPr="000811CF" w:rsidR="000811CF">
        <w:rPr>
          <w:rStyle w:val="Fontdeparagrafimplicit"/>
          <w:rFonts w:ascii="Garamond" w:hAnsi="Garamond"/>
        </w:rPr>
        <w:t>...Y...</w:t>
      </w:r>
      <w:bookmarkEnd w:id="2"/>
      <w:r>
        <w:rPr>
          <w:rStyle w:val="Fontdeparagrafimplicit"/>
          <w:rFonts w:ascii="Garamond" w:hAnsi="Garamond"/>
        </w:rPr>
        <w:t xml:space="preserve"> şi intimata pârâtă ADMINISTRAŢIA FONDULUI PENTRU MEDIU, având ca obiect „pretentii”.</w:t>
      </w:r>
    </w:p>
    <w:p w:rsidR="001855E6" w14:paraId="57420AB7" w14:textId="63FB487D">
      <w:pPr>
        <w:ind w:firstLine="708"/>
        <w:jc w:val="both"/>
        <w:rPr>
          <w:rStyle w:val="Fontdeparagrafimplicit"/>
          <w:rFonts w:ascii="Garamond" w:hAnsi="Garamond"/>
        </w:rPr>
      </w:pPr>
      <w:r>
        <w:rPr>
          <w:rStyle w:val="Fontdeparagrafimplicit"/>
          <w:rFonts w:ascii="Garamond" w:hAnsi="Garamond"/>
        </w:rPr>
        <w:t xml:space="preserve">La apelul nominal făcut în şedinţa </w:t>
      </w:r>
      <w:r>
        <w:rPr>
          <w:rStyle w:val="Fontdeparagrafimplicit"/>
          <w:rFonts w:ascii="Garamond" w:hAnsi="Garamond"/>
        </w:rPr>
      </w:r>
      <w:bookmarkStart w:name="tip_sedinta_copie_1" w:id="3"/>
      <w:r>
        <w:rPr>
          <w:rStyle w:val="Fontdeparagrafimplicit"/>
          <w:rFonts w:ascii="Garamond" w:hAnsi="Garamond"/>
        </w:rPr>
      </w:r>
      <w:r>
        <w:rPr>
          <w:rStyle w:val="Fontdeparagrafimplicit"/>
          <w:rFonts w:ascii="Garamond" w:hAnsi="Garamond"/>
        </w:rPr>
      </w:r>
      <w:r>
        <w:rPr>
          <w:rStyle w:val="Fontdeparagrafimplicit"/>
          <w:rFonts w:ascii="Garamond" w:hAnsi="Garamond"/>
        </w:rPr>
        <w:t>publică</w:t>
      </w:r>
      <w:r>
        <w:rPr>
          <w:rStyle w:val="Fontdeparagrafimplicit"/>
          <w:rFonts w:ascii="Garamond" w:hAnsi="Garamond"/>
        </w:rPr>
      </w:r>
      <w:bookmarkEnd w:id="3"/>
      <w:r>
        <w:rPr>
          <w:rStyle w:val="Fontdeparagrafimplicit"/>
          <w:rFonts w:ascii="Garamond" w:hAnsi="Garamond"/>
        </w:rPr>
        <w:t xml:space="preserve">, a răspuns pentru intimatul reclamant, avocat </w:t>
      </w:r>
      <w:r w:rsidR="000811CF">
        <w:rPr>
          <w:rStyle w:val="Fontdeparagrafimplicit"/>
          <w:rFonts w:ascii="Garamond" w:hAnsi="Garamond"/>
        </w:rPr>
        <w:t>..............</w:t>
      </w:r>
      <w:r>
        <w:rPr>
          <w:rStyle w:val="Fontdeparagrafimplicit"/>
          <w:rFonts w:ascii="Garamond" w:hAnsi="Garamond"/>
        </w:rPr>
        <w:t>, lipsind celelalte părţi.</w:t>
      </w:r>
    </w:p>
    <w:p w:rsidR="001855E6" w14:paraId="1BA205FE" w14:textId="77777777">
      <w:pPr>
        <w:ind w:firstLine="708"/>
        <w:jc w:val="both"/>
        <w:rPr>
          <w:rStyle w:val="Fontdeparagrafimplicit"/>
          <w:rFonts w:ascii="Garamond" w:hAnsi="Garamond"/>
        </w:rPr>
      </w:pPr>
      <w:r>
        <w:rPr>
          <w:rStyle w:val="Fontdeparagrafimplicit"/>
          <w:rFonts w:ascii="Garamond" w:hAnsi="Garamond"/>
        </w:rPr>
        <w:t xml:space="preserve">Procedura </w:t>
      </w:r>
      <w:r>
        <w:rPr>
          <w:rStyle w:val="Fontdeparagrafimplicit"/>
          <w:rFonts w:ascii="Garamond" w:hAnsi="Garamond"/>
        </w:rPr>
      </w:r>
      <w:bookmarkStart w:name="tip_procedura" w:id="4"/>
      <w:r>
        <w:rPr>
          <w:rStyle w:val="Fontdeparagrafimplicit"/>
          <w:rFonts w:ascii="Garamond" w:hAnsi="Garamond"/>
        </w:rPr>
      </w:r>
      <w:r>
        <w:rPr>
          <w:rStyle w:val="Fontdeparagrafimplicit"/>
          <w:rFonts w:ascii="Garamond" w:hAnsi="Garamond"/>
        </w:rPr>
      </w:r>
      <w:r>
        <w:rPr>
          <w:rStyle w:val="Fontdeparagrafimplicit"/>
          <w:rFonts w:ascii="Garamond" w:hAnsi="Garamond"/>
        </w:rPr>
        <w:t>legal</w:t>
      </w:r>
      <w:r>
        <w:rPr>
          <w:rStyle w:val="Fontdeparagrafimplicit"/>
          <w:rFonts w:ascii="Garamond" w:hAnsi="Garamond"/>
        </w:rPr>
      </w:r>
      <w:bookmarkEnd w:id="4"/>
      <w:r>
        <w:rPr>
          <w:rStyle w:val="Fontdeparagrafimplicit"/>
          <w:rFonts w:ascii="Garamond" w:hAnsi="Garamond"/>
        </w:rPr>
        <w:t xml:space="preserve"> îndeplinită.</w:t>
      </w:r>
    </w:p>
    <w:p w:rsidR="001855E6" w14:paraId="31CCB040" w14:textId="77777777">
      <w:pPr>
        <w:ind w:firstLine="708"/>
        <w:jc w:val="both"/>
        <w:rPr>
          <w:rStyle w:val="Fontdeparagrafimplicit"/>
          <w:rFonts w:ascii="Garamond" w:hAnsi="Garamond"/>
        </w:rPr>
      </w:pPr>
      <w:r>
        <w:rPr>
          <w:rStyle w:val="Fontdeparagrafimplicit"/>
          <w:rFonts w:ascii="Garamond" w:hAnsi="Garamond"/>
        </w:rPr>
        <w:t xml:space="preserve">S-a făcut </w:t>
      </w:r>
      <w:r>
        <w:rPr>
          <w:rStyle w:val="Fontdeparagrafimplicit"/>
          <w:rFonts w:ascii="Garamond" w:hAnsi="Garamond"/>
        </w:rPr>
      </w:r>
      <w:bookmarkStart w:name="tip_doc_despre_cauza" w:id="5"/>
      <w:r>
        <w:rPr>
          <w:rStyle w:val="Fontdeparagrafimplicit"/>
          <w:rFonts w:ascii="Garamond" w:hAnsi="Garamond"/>
        </w:rPr>
      </w:r>
      <w:r>
        <w:rPr>
          <w:rStyle w:val="Fontdeparagrafimplicit"/>
          <w:rFonts w:ascii="Garamond" w:hAnsi="Garamond"/>
        </w:rPr>
      </w:r>
      <w:r>
        <w:rPr>
          <w:rStyle w:val="Fontdeparagrafimplicit"/>
          <w:rFonts w:ascii="Garamond" w:hAnsi="Garamond"/>
        </w:rPr>
        <w:t>referatul</w:t>
      </w:r>
      <w:r>
        <w:rPr>
          <w:rStyle w:val="Fontdeparagrafimplicit"/>
          <w:rFonts w:ascii="Garamond" w:hAnsi="Garamond"/>
        </w:rPr>
      </w:r>
      <w:bookmarkEnd w:id="5"/>
      <w:r>
        <w:rPr>
          <w:rStyle w:val="Fontdeparagrafimplicit"/>
          <w:rFonts w:ascii="Garamond" w:hAnsi="Garamond"/>
        </w:rPr>
        <w:t xml:space="preserve"> cauzei de către </w:t>
      </w:r>
      <w:r>
        <w:rPr>
          <w:rStyle w:val="Fontdeparagrafimplicit"/>
          <w:rFonts w:ascii="Garamond" w:hAnsi="Garamond"/>
        </w:rPr>
      </w:r>
      <w:bookmarkStart w:name="functia_celui_care_f" w:id="6"/>
      <w:r>
        <w:rPr>
          <w:rStyle w:val="Fontdeparagrafimplicit"/>
          <w:rFonts w:ascii="Garamond" w:hAnsi="Garamond"/>
        </w:rPr>
      </w:r>
      <w:r>
        <w:rPr>
          <w:rStyle w:val="Fontdeparagrafimplicit"/>
          <w:rFonts w:ascii="Garamond" w:hAnsi="Garamond"/>
        </w:rPr>
      </w:r>
      <w:r>
        <w:rPr>
          <w:rStyle w:val="Fontdeparagrafimplicit"/>
          <w:rFonts w:ascii="Garamond" w:hAnsi="Garamond"/>
        </w:rPr>
        <w:t>grefier</w:t>
      </w:r>
      <w:r>
        <w:rPr>
          <w:rStyle w:val="Fontdeparagrafimplicit"/>
          <w:rFonts w:ascii="Garamond" w:hAnsi="Garamond"/>
        </w:rPr>
      </w:r>
      <w:bookmarkEnd w:id="6"/>
      <w:r>
        <w:rPr>
          <w:rStyle w:val="Fontdeparagrafimplicit"/>
          <w:rFonts w:ascii="Garamond" w:hAnsi="Garamond"/>
        </w:rPr>
        <w:t>ul de şedinţă, învederându-se că recursul a fost declarat şi motivat în termenul legal, după care, apreciindu-se cauza în stare de judecată, s-a acordat cuvântul părţii prezente asupra recursului.</w:t>
      </w:r>
    </w:p>
    <w:p w:rsidR="001855E6" w14:paraId="14924BF6" w14:textId="6654218D">
      <w:pPr>
        <w:ind w:firstLine="708"/>
        <w:jc w:val="both"/>
        <w:rPr>
          <w:rStyle w:val="Fontdeparagrafimplicit"/>
          <w:rFonts w:ascii="Garamond" w:hAnsi="Garamond"/>
        </w:rPr>
      </w:pPr>
      <w:r>
        <w:rPr>
          <w:rStyle w:val="Fontdeparagrafimplicit"/>
          <w:rFonts w:ascii="Garamond" w:hAnsi="Garamond"/>
        </w:rPr>
        <w:t xml:space="preserve">Avocat </w:t>
      </w:r>
      <w:r w:rsidR="000811CF">
        <w:rPr>
          <w:rStyle w:val="Fontdeparagrafimplicit"/>
          <w:rFonts w:ascii="Garamond" w:hAnsi="Garamond"/>
        </w:rPr>
        <w:t>..............</w:t>
      </w:r>
      <w:r>
        <w:rPr>
          <w:rStyle w:val="Fontdeparagrafimplicit"/>
          <w:rFonts w:ascii="Garamond" w:hAnsi="Garamond"/>
        </w:rPr>
        <w:t>, pentru intimatul reclamant, depune concluzii scrise şi solicită respingerea recursului ca nefondat şi menţinerea ca temeinică şi legală a sentinţei atacate, cu obligarea la plata cheltuielilor de judecată, conform chitanţei ataşate la dosar.</w:t>
      </w:r>
    </w:p>
    <w:p w:rsidR="001855E6" w14:paraId="4B78E57F" w14:textId="77777777">
      <w:pPr>
        <w:ind w:firstLine="708"/>
        <w:jc w:val="both"/>
        <w:rPr>
          <w:rStyle w:val="Fontdeparagrafimplicit"/>
          <w:rFonts w:ascii="Garamond" w:hAnsi="Garamond"/>
        </w:rPr>
      </w:pPr>
    </w:p>
    <w:p w:rsidR="001855E6" w14:paraId="78091DC3" w14:textId="77777777">
      <w:pPr>
        <w:ind w:left="3540"/>
        <w:jc w:val="both"/>
        <w:rPr>
          <w:rStyle w:val="Fontdeparagrafimplicit"/>
          <w:rFonts w:ascii="Garamond" w:hAnsi="Garamond"/>
        </w:rPr>
      </w:pPr>
      <w:r>
        <w:rPr>
          <w:rStyle w:val="Fontdeparagrafimplicit"/>
          <w:rFonts w:ascii="Garamond" w:hAnsi="Garamond"/>
        </w:rPr>
        <w:t xml:space="preserve">     C U R T E A</w:t>
      </w:r>
    </w:p>
    <w:p w:rsidR="001855E6" w14:paraId="10C7BFDF" w14:textId="77777777">
      <w:pPr>
        <w:ind w:left="3540"/>
        <w:jc w:val="both"/>
        <w:rPr>
          <w:rStyle w:val="Fontdeparagrafimplicit"/>
          <w:rFonts w:ascii="Garamond" w:hAnsi="Garamond"/>
        </w:rPr>
      </w:pPr>
    </w:p>
    <w:p w:rsidR="001855E6" w14:paraId="5A189591" w14:textId="77777777">
      <w:pPr>
        <w:ind w:firstLine="708"/>
        <w:jc w:val="both"/>
        <w:rPr>
          <w:rStyle w:val="Fontdeparagrafimplicit"/>
          <w:rFonts w:ascii="Garamond" w:hAnsi="Garamond"/>
        </w:rPr>
      </w:pPr>
      <w:r>
        <w:rPr>
          <w:rStyle w:val="Fontdeparagrafimplicit"/>
          <w:rFonts w:ascii="Garamond" w:hAnsi="Garamond"/>
        </w:rPr>
        <w:t>Asupra cauzei de faţă:</w:t>
      </w:r>
    </w:p>
    <w:p w:rsidR="001855E6" w14:paraId="7C2EC76B" w14:textId="2FC4AACC">
      <w:pPr>
        <w:ind w:firstLine="708"/>
        <w:jc w:val="both"/>
        <w:rPr>
          <w:rStyle w:val="Fontdeparagrafimplicit"/>
          <w:rFonts w:ascii="Garamond" w:hAnsi="Garamond"/>
        </w:rPr>
      </w:pPr>
      <w:r>
        <w:rPr>
          <w:rStyle w:val="Fontdeparagrafimplicit"/>
          <w:rFonts w:ascii="Garamond" w:hAnsi="Garamond"/>
        </w:rPr>
        <w:t xml:space="preserve">Prin sentinţa nr. </w:t>
      </w:r>
      <w:r w:rsidR="000811CF">
        <w:rPr>
          <w:rStyle w:val="Fontdeparagrafimplicit"/>
          <w:rFonts w:ascii="Garamond" w:hAnsi="Garamond"/>
        </w:rPr>
        <w:t>...../...........</w:t>
      </w:r>
      <w:r>
        <w:rPr>
          <w:rStyle w:val="Fontdeparagrafimplicit"/>
          <w:rFonts w:ascii="Garamond" w:hAnsi="Garamond"/>
        </w:rPr>
        <w:t xml:space="preserve">, pronunţată de Tribunalul </w:t>
      </w:r>
      <w:r w:rsidR="000811CF">
        <w:rPr>
          <w:rStyle w:val="Fontdeparagrafimplicit"/>
          <w:rFonts w:ascii="Garamond" w:hAnsi="Garamond"/>
        </w:rPr>
        <w:t>...Q...</w:t>
      </w:r>
      <w:r>
        <w:rPr>
          <w:rStyle w:val="Fontdeparagrafimplicit"/>
          <w:rFonts w:ascii="Garamond" w:hAnsi="Garamond"/>
        </w:rPr>
        <w:t xml:space="preserve">, în dosar nr. </w:t>
      </w:r>
      <w:r w:rsidR="000811CF">
        <w:rPr>
          <w:rStyle w:val="Fontdeparagrafimplicit"/>
          <w:rFonts w:ascii="Garamond" w:hAnsi="Garamond"/>
        </w:rPr>
        <w:t>....../..../2012</w:t>
      </w:r>
      <w:r>
        <w:rPr>
          <w:rStyle w:val="Fontdeparagrafimplicit"/>
          <w:rFonts w:ascii="Garamond" w:hAnsi="Garamond"/>
        </w:rPr>
        <w:t xml:space="preserve">, s-a admis acţiunea formulată de  reclamantul  </w:t>
      </w:r>
      <w:r w:rsidR="000811CF">
        <w:rPr>
          <w:rStyle w:val="Fontdeparagrafimplicit"/>
          <w:rFonts w:ascii="Garamond" w:hAnsi="Garamond"/>
        </w:rPr>
        <w:t>...Y...</w:t>
      </w:r>
      <w:r>
        <w:rPr>
          <w:rStyle w:val="Fontdeparagrafimplicit"/>
          <w:rFonts w:ascii="Garamond" w:hAnsi="Garamond"/>
        </w:rPr>
        <w:t xml:space="preserve"> în contradictoriu cu pârâtele ADMINISTRAŢIA FINANŢELOR PUBLICE </w:t>
      </w:r>
      <w:r w:rsidR="000811CF">
        <w:rPr>
          <w:rStyle w:val="Fontdeparagrafimplicit"/>
          <w:rFonts w:ascii="Garamond" w:hAnsi="Garamond"/>
        </w:rPr>
        <w:t>...Z...</w:t>
      </w:r>
      <w:r>
        <w:rPr>
          <w:rStyle w:val="Fontdeparagrafimplicit"/>
          <w:rFonts w:ascii="Garamond" w:hAnsi="Garamond"/>
        </w:rPr>
        <w:t xml:space="preserve"> şi ADMINISTRAŢIA FONDULUI PENTRU MEDIU.</w:t>
      </w:r>
    </w:p>
    <w:p w:rsidR="001855E6" w14:paraId="29A55BB8" w14:textId="00275E0C">
      <w:pPr>
        <w:jc w:val="both"/>
        <w:rPr>
          <w:rStyle w:val="Fontdeparagrafimplicit"/>
          <w:rFonts w:ascii="Garamond" w:hAnsi="Garamond"/>
        </w:rPr>
      </w:pPr>
      <w:r>
        <w:rPr>
          <w:rStyle w:val="Fontdeparagrafimplicit"/>
          <w:rFonts w:ascii="Garamond" w:hAnsi="Garamond"/>
        </w:rPr>
        <w:tab/>
        <w:t xml:space="preserve">Au fost obligate pârâtele Administraţia Finanţelor Publice </w:t>
      </w:r>
      <w:r w:rsidR="000811CF">
        <w:rPr>
          <w:rStyle w:val="Fontdeparagrafimplicit"/>
          <w:rFonts w:ascii="Garamond" w:hAnsi="Garamond"/>
        </w:rPr>
        <w:t>...Z...</w:t>
      </w:r>
      <w:r>
        <w:rPr>
          <w:rStyle w:val="Fontdeparagrafimplicit"/>
          <w:rFonts w:ascii="Garamond" w:hAnsi="Garamond"/>
        </w:rPr>
        <w:t xml:space="preserve"> şi Administraţia Fondului pentru Mediu </w:t>
      </w:r>
      <w:r w:rsidR="001A5533">
        <w:rPr>
          <w:rStyle w:val="Fontdeparagrafimplicit"/>
          <w:rFonts w:ascii="Garamond" w:hAnsi="Garamond"/>
        </w:rPr>
        <w:t>...T...</w:t>
      </w:r>
      <w:r>
        <w:rPr>
          <w:rStyle w:val="Fontdeparagrafimplicit"/>
          <w:rFonts w:ascii="Garamond" w:hAnsi="Garamond"/>
        </w:rPr>
        <w:t>,în solidar,  la plata către reclamant a sumei de 1149 lei reprezentând  taxă de poluare, la care  se va adăuga dobânda  fiscală calculată conform art. 124 alin.2 C.pr.fiscală.</w:t>
      </w:r>
    </w:p>
    <w:p w:rsidR="001855E6" w14:paraId="47BC6175" w14:textId="77777777">
      <w:pPr>
        <w:jc w:val="both"/>
        <w:rPr>
          <w:rStyle w:val="Fontdeparagrafimplicit"/>
          <w:rFonts w:ascii="Garamond" w:hAnsi="Garamond"/>
        </w:rPr>
      </w:pPr>
      <w:r>
        <w:rPr>
          <w:rStyle w:val="Fontdeparagrafimplicit"/>
          <w:rFonts w:ascii="Garamond" w:hAnsi="Garamond"/>
        </w:rPr>
        <w:tab/>
        <w:t>Au fost obligate pârâtele, în solidar, la plata către reclamant a sumei de 542 lei reprezentând cheltuieli de judecată.</w:t>
      </w:r>
    </w:p>
    <w:p w:rsidR="001855E6" w14:paraId="20F3A783" w14:textId="18C48F31">
      <w:pPr>
        <w:ind w:firstLine="708"/>
        <w:jc w:val="both"/>
        <w:rPr>
          <w:rStyle w:val="Fontdeparagrafimplicit"/>
          <w:rFonts w:ascii="Garamond" w:hAnsi="Garamond"/>
          <w:b/>
        </w:rPr>
      </w:pPr>
      <w:r>
        <w:rPr>
          <w:rStyle w:val="Fontdeparagrafimplicit"/>
          <w:rFonts w:ascii="Garamond" w:hAnsi="Garamond"/>
          <w:b/>
        </w:rPr>
        <w:t xml:space="preserve"> Împotriva acestei sentinţe, a declara recurs pârâta DIRECŢIA GENERALĂ A FINANŢELOR PUBLICE </w:t>
      </w:r>
      <w:r w:rsidR="000811CF">
        <w:rPr>
          <w:rStyle w:val="Fontdeparagrafimplicit"/>
          <w:rFonts w:ascii="Garamond" w:hAnsi="Garamond"/>
          <w:b/>
        </w:rPr>
        <w:t>...Q...</w:t>
      </w:r>
      <w:r>
        <w:rPr>
          <w:rStyle w:val="Fontdeparagrafimplicit"/>
          <w:rFonts w:ascii="Garamond" w:hAnsi="Garamond"/>
          <w:b/>
        </w:rPr>
        <w:t xml:space="preserve"> ÎN NUMELE ŞI PENTRU  ADMINISTRAŢIA FINANŢELOR PUBLICE </w:t>
      </w:r>
      <w:r w:rsidR="000811CF">
        <w:rPr>
          <w:rStyle w:val="Fontdeparagrafimplicit"/>
          <w:rFonts w:ascii="Garamond" w:hAnsi="Garamond"/>
          <w:b/>
        </w:rPr>
        <w:t>...Z...</w:t>
      </w:r>
      <w:r>
        <w:rPr>
          <w:rStyle w:val="Fontdeparagrafimplicit"/>
          <w:rFonts w:ascii="Garamond" w:hAnsi="Garamond"/>
          <w:b/>
        </w:rPr>
        <w:t>, criticând-o pentru nelegalitate şi netemeinicie.</w:t>
      </w:r>
    </w:p>
    <w:p w:rsidR="001855E6" w14:paraId="3E6E168B" w14:textId="77777777">
      <w:pPr>
        <w:ind w:firstLine="720"/>
        <w:jc w:val="both"/>
        <w:rPr>
          <w:rStyle w:val="Fontdeparagrafimplicit"/>
          <w:rFonts w:ascii="Garamond" w:hAnsi="Garamond"/>
        </w:rPr>
      </w:pPr>
      <w:r>
        <w:rPr>
          <w:rStyle w:val="Fontdeparagrafimplicit"/>
          <w:rFonts w:ascii="Garamond" w:hAnsi="Garamond"/>
        </w:rPr>
        <w:t>I. În motivarea recursului, recurenta pârâtă a susţinut că</w:t>
      </w:r>
      <w:r>
        <w:rPr>
          <w:rStyle w:val="Fontdeparagrafimplicit"/>
          <w:rFonts w:ascii="Garamond" w:hAnsi="Garamond"/>
          <w:i/>
        </w:rPr>
        <w:t xml:space="preserve"> </w:t>
      </w:r>
      <w:r>
        <w:rPr>
          <w:rStyle w:val="Fontdeparagrafimplicit"/>
          <w:rFonts w:ascii="Garamond" w:hAnsi="Garamond"/>
        </w:rPr>
        <w:t xml:space="preserve">hotărârea pronunţată </w:t>
      </w:r>
      <w:r>
        <w:rPr>
          <w:rStyle w:val="Fontdeparagrafimplicit"/>
          <w:rFonts w:ascii="Garamond" w:hAnsi="Garamond"/>
          <w:i/>
        </w:rPr>
        <w:t>este dată cu aplicarea greşită a legii</w:t>
      </w:r>
      <w:r>
        <w:rPr>
          <w:rStyle w:val="Fontdeparagrafimplicit"/>
          <w:rFonts w:ascii="Garamond" w:hAnsi="Garamond"/>
        </w:rPr>
        <w:t xml:space="preserve"> întrucât OUG nr.50/2008, care a abrogat prevederile art. 214</w:t>
      </w:r>
      <w:r>
        <w:rPr>
          <w:rStyle w:val="Fontdeparagrafimplicit"/>
          <w:rFonts w:ascii="Garamond" w:hAnsi="Garamond"/>
          <w:vertAlign w:val="superscript"/>
        </w:rPr>
        <w:t>1</w:t>
      </w:r>
      <w:r>
        <w:rPr>
          <w:rStyle w:val="Fontdeparagrafimplicit"/>
          <w:rFonts w:ascii="Garamond" w:hAnsi="Garamond"/>
        </w:rPr>
        <w:t xml:space="preserve"> – 214</w:t>
      </w:r>
      <w:r>
        <w:rPr>
          <w:rStyle w:val="Fontdeparagrafimplicit"/>
          <w:rFonts w:ascii="Garamond" w:hAnsi="Garamond"/>
          <w:vertAlign w:val="superscript"/>
        </w:rPr>
        <w:t xml:space="preserve">6 </w:t>
      </w:r>
      <w:r>
        <w:rPr>
          <w:rStyle w:val="Fontdeparagrafimplicit"/>
          <w:rFonts w:ascii="Garamond" w:hAnsi="Garamond"/>
        </w:rPr>
        <w:t xml:space="preserve"> Cod procedură civilă ce reglementau taxa de primă înmatriculare a fost abrogată  iar ordonanţa armonizează legislaţia internă cu tratatele. De asemenea, actele normative emise în aplicarea ordonanţei şi anume HG 668/2008 şi Infograma 5899/2008 au fost declarate conforme cu criteriile europene.</w:t>
      </w:r>
    </w:p>
    <w:p w:rsidR="001855E6" w14:paraId="2063B70D" w14:textId="77777777">
      <w:pPr>
        <w:ind w:firstLine="708"/>
        <w:jc w:val="both"/>
        <w:rPr>
          <w:rStyle w:val="Fontdeparagrafimplicit"/>
          <w:rFonts w:ascii="Garamond" w:hAnsi="Garamond"/>
        </w:rPr>
      </w:pPr>
      <w:r>
        <w:rPr>
          <w:rStyle w:val="Fontdeparagrafimplicit"/>
          <w:rFonts w:ascii="Garamond" w:hAnsi="Garamond"/>
        </w:rPr>
        <w:t xml:space="preserve">II. Recurenta a susţinut că în mod nelegal s-a dispus restituirea taxei actualizată cu dobânda legală. </w:t>
      </w:r>
      <w:r>
        <w:rPr>
          <w:rStyle w:val="Fontdeparagrafimplicit"/>
          <w:rFonts w:ascii="Garamond" w:hAnsi="Garamond"/>
          <w:i/>
        </w:rPr>
        <w:t>Acţiunea este inadmisibilă în ceea ce priveşte restituirea sumei cu dobânda legală</w:t>
      </w:r>
      <w:r>
        <w:rPr>
          <w:rStyle w:val="Fontdeparagrafimplicit"/>
          <w:rFonts w:ascii="Garamond" w:hAnsi="Garamond"/>
        </w:rPr>
        <w:t xml:space="preserve">, deoarece nu s-a făcut dovada procedurii prealabile cu privire la actualizarea sumei, solicitându-se doar restituirea taxei. Pentru că s-a adresat direct instanţei, solicitând restituirea taxei de poluare actualizată, dar fără a urma procedura prealabilă, recurenta a solicitat admiterea excepţiei şi respingerea acţiunii ca inadmisibilă în ceea ce priveşte actualizarea sumei. </w:t>
      </w:r>
    </w:p>
    <w:p w:rsidR="001855E6" w14:paraId="2C723E6C" w14:textId="77777777">
      <w:pPr>
        <w:ind w:firstLine="708"/>
        <w:jc w:val="both"/>
        <w:rPr>
          <w:rStyle w:val="Fontdeparagrafimplicit"/>
          <w:rFonts w:ascii="Garamond" w:hAnsi="Garamond"/>
          <w:i/>
        </w:rPr>
      </w:pPr>
      <w:r>
        <w:rPr>
          <w:rStyle w:val="Fontdeparagrafimplicit"/>
          <w:rFonts w:ascii="Garamond" w:hAnsi="Garamond"/>
        </w:rPr>
        <w:t xml:space="preserve">III. Un alt motiv de recurs priveşte faptul că </w:t>
      </w:r>
      <w:r>
        <w:rPr>
          <w:rStyle w:val="Fontdeparagrafimplicit"/>
          <w:rFonts w:ascii="Garamond" w:hAnsi="Garamond"/>
          <w:i/>
        </w:rPr>
        <w:t>hotărârea cuprinde motive contradictorii, în ceea ce priveşte cheltuielile de judecată.</w:t>
      </w:r>
    </w:p>
    <w:p w:rsidR="001855E6" w14:paraId="35D180C3" w14:textId="77777777">
      <w:pPr>
        <w:ind w:firstLine="708"/>
        <w:jc w:val="both"/>
        <w:rPr>
          <w:rStyle w:val="Fontdeparagrafimplicit"/>
          <w:rFonts w:ascii="Garamond" w:hAnsi="Garamond"/>
        </w:rPr>
      </w:pPr>
      <w:r>
        <w:rPr>
          <w:rStyle w:val="Fontdeparagrafimplicit"/>
          <w:rFonts w:ascii="Garamond" w:hAnsi="Garamond"/>
        </w:rPr>
        <w:t>Astfel, arată că reclamantul nu solicită cheltuieli de judecată însă instanţa a acordat astfel de cheltuieli deci potrivit art. 274 Cod procedură civilă, acestea se acordă numai la cererea părţii care cade în pretenţii. Pe de altă parte, invocă faptul că organul fiscal doar a calculat şi încasat taxa de poluare aceasta fiind virată la AFM astfel încât numai Fondul pentru Mediu trebuia să suporte cheltuielile de judecată.</w:t>
      </w:r>
    </w:p>
    <w:p w:rsidR="001855E6" w14:paraId="41459647" w14:textId="77777777">
      <w:pPr>
        <w:ind w:firstLine="708"/>
        <w:jc w:val="both"/>
        <w:rPr>
          <w:rStyle w:val="Fontdeparagrafimplicit"/>
          <w:rFonts w:ascii="Garamond" w:hAnsi="Garamond"/>
        </w:rPr>
      </w:pPr>
      <w:r>
        <w:rPr>
          <w:rStyle w:val="Fontdeparagrafimplicit"/>
          <w:rFonts w:ascii="Garamond" w:hAnsi="Garamond"/>
        </w:rPr>
        <w:t>Pentru aceleaşi considerente numai AFM trebuia obligată la restituirea taxei de poluare şi la cheltuieli de judecată.</w:t>
      </w:r>
    </w:p>
    <w:p w:rsidR="001855E6" w14:paraId="25A2E8AD" w14:textId="77777777">
      <w:pPr>
        <w:ind w:firstLine="708"/>
        <w:jc w:val="both"/>
        <w:rPr>
          <w:rStyle w:val="Fontdeparagrafimplicit"/>
          <w:rFonts w:ascii="Garamond" w:hAnsi="Garamond"/>
        </w:rPr>
      </w:pPr>
      <w:r>
        <w:rPr>
          <w:rStyle w:val="Fontdeparagrafimplicit"/>
          <w:rFonts w:ascii="Garamond" w:hAnsi="Garamond"/>
        </w:rPr>
        <w:t xml:space="preserve">IV. </w:t>
      </w:r>
      <w:r>
        <w:rPr>
          <w:rStyle w:val="Fontdeparagrafimplicit"/>
          <w:rFonts w:ascii="Garamond" w:hAnsi="Garamond"/>
          <w:i/>
        </w:rPr>
        <w:t>În ce priveşte fondul cauzei</w:t>
      </w:r>
      <w:r>
        <w:rPr>
          <w:rStyle w:val="Fontdeparagrafimplicit"/>
          <w:rFonts w:ascii="Garamond" w:hAnsi="Garamond"/>
        </w:rPr>
        <w:t>, recurenta a menţionat că prin O.U.G. nr. 50/2008 a fost instituită taxa de poluare pentru autovehicule şi au fost abrogate dispoziţiile art. 214</w:t>
      </w:r>
      <w:r>
        <w:rPr>
          <w:rStyle w:val="Fontdeparagrafimplicit"/>
          <w:rFonts w:ascii="Garamond" w:hAnsi="Garamond"/>
          <w:vertAlign w:val="superscript"/>
        </w:rPr>
        <w:t>1</w:t>
      </w:r>
      <w:r>
        <w:rPr>
          <w:rStyle w:val="Fontdeparagrafimplicit"/>
          <w:rFonts w:ascii="Garamond" w:hAnsi="Garamond"/>
        </w:rPr>
        <w:t>-214</w:t>
      </w:r>
      <w:r>
        <w:rPr>
          <w:rStyle w:val="Fontdeparagrafimplicit"/>
          <w:rFonts w:ascii="Garamond" w:hAnsi="Garamond"/>
          <w:vertAlign w:val="superscript"/>
        </w:rPr>
        <w:t>6</w:t>
      </w:r>
      <w:r>
        <w:rPr>
          <w:rStyle w:val="Fontdeparagrafimplicit"/>
          <w:rFonts w:ascii="Garamond" w:hAnsi="Garamond"/>
        </w:rPr>
        <w:t xml:space="preserve"> din Codul fiscal care reglementau taxa specială pentru autovehicule. </w:t>
      </w:r>
    </w:p>
    <w:p w:rsidR="001855E6" w14:paraId="75C5083D" w14:textId="77777777">
      <w:pPr>
        <w:ind w:firstLine="708"/>
        <w:jc w:val="both"/>
        <w:rPr>
          <w:rStyle w:val="Fontdeparagrafimplicit"/>
          <w:rFonts w:ascii="Garamond" w:hAnsi="Garamond"/>
        </w:rPr>
      </w:pPr>
      <w:r>
        <w:rPr>
          <w:rStyle w:val="Fontdeparagrafimplicit"/>
          <w:rFonts w:ascii="Garamond" w:hAnsi="Garamond"/>
        </w:rPr>
        <w:t>Prin acţiune s-a solicitat restituirea taxei achitată pentru înmatriculare. Taxa a fost stabilită cu respectarea întocmai a dispoziţiilor legale referitoare la modul de calcul al acesteia, reglementat prin art. 3 alin. 1, art. 5 alin. 1, 2 şi 3 şi art. 6 din O.U.G. nr. 50/2008.</w:t>
      </w:r>
    </w:p>
    <w:p w:rsidR="001855E6" w14:paraId="22DA12BC" w14:textId="77777777">
      <w:pPr>
        <w:ind w:firstLine="708"/>
        <w:jc w:val="both"/>
        <w:rPr>
          <w:rStyle w:val="Fontdeparagrafimplicit"/>
          <w:rFonts w:ascii="Garamond" w:hAnsi="Garamond"/>
        </w:rPr>
      </w:pPr>
      <w:r>
        <w:rPr>
          <w:rStyle w:val="Fontdeparagrafimplicit"/>
          <w:rFonts w:ascii="Garamond" w:hAnsi="Garamond"/>
        </w:rPr>
        <w:t>Prin abrogarea art. 214</w:t>
      </w:r>
      <w:r>
        <w:rPr>
          <w:rStyle w:val="Fontdeparagrafimplicit"/>
          <w:rFonts w:ascii="Garamond" w:hAnsi="Garamond"/>
          <w:vertAlign w:val="superscript"/>
        </w:rPr>
        <w:t>1</w:t>
      </w:r>
      <w:r>
        <w:rPr>
          <w:rStyle w:val="Fontdeparagrafimplicit"/>
          <w:rFonts w:ascii="Garamond" w:hAnsi="Garamond"/>
        </w:rPr>
        <w:t xml:space="preserve"> din Codul de procedură fiscală de către ordonanţă s-a armonizat legislaţia în materie cu principiile europene referitoare la poluare.</w:t>
      </w:r>
    </w:p>
    <w:p w:rsidR="001855E6" w14:paraId="230D7277" w14:textId="77777777">
      <w:pPr>
        <w:ind w:firstLine="708"/>
        <w:jc w:val="both"/>
        <w:rPr>
          <w:rStyle w:val="Fontdeparagrafimplicit"/>
          <w:rFonts w:ascii="Garamond" w:hAnsi="Garamond"/>
        </w:rPr>
      </w:pPr>
      <w:r>
        <w:rPr>
          <w:rStyle w:val="Fontdeparagrafimplicit"/>
          <w:rFonts w:ascii="Garamond" w:hAnsi="Garamond"/>
        </w:rPr>
        <w:t xml:space="preserve">Recurenta a menţionat că O.U.G. nr. 50/2008 are ca scop principal protecţia mediului, cuantumul taxei de poluare se face venit la bugetul fondului pentru mediu şi se gestionează de Administraţia fondului pentru mediu, sumele încasate fiind utilizate pentru finanţarea unor proiecte şi programe pentru protecţia mediului. </w:t>
      </w:r>
    </w:p>
    <w:p w:rsidR="001855E6" w14:paraId="55ED1399" w14:textId="77777777">
      <w:pPr>
        <w:ind w:firstLine="708"/>
        <w:jc w:val="both"/>
        <w:rPr>
          <w:rStyle w:val="Fontdeparagrafimplicit"/>
          <w:rFonts w:ascii="Garamond" w:hAnsi="Garamond"/>
        </w:rPr>
      </w:pPr>
      <w:r>
        <w:rPr>
          <w:rStyle w:val="Fontdeparagrafimplicit"/>
          <w:rFonts w:ascii="Garamond" w:hAnsi="Garamond"/>
        </w:rPr>
        <w:t>Măsurile stabilite prin O.U.G. nr. 50/2008 sunt compatibile cu prevederile art. 90 din Tratatul de instituire a comunităţii europene, taxa fiind neutră din punct de vedere fiscal.</w:t>
      </w:r>
    </w:p>
    <w:p w:rsidR="001855E6" w14:paraId="0315C2A8" w14:textId="77777777">
      <w:pPr>
        <w:ind w:firstLine="708"/>
        <w:jc w:val="both"/>
        <w:rPr>
          <w:rStyle w:val="Fontdeparagrafimplicit"/>
          <w:rFonts w:ascii="Garamond" w:hAnsi="Garamond"/>
        </w:rPr>
      </w:pPr>
      <w:r>
        <w:rPr>
          <w:rStyle w:val="Fontdeparagrafimplicit"/>
          <w:rFonts w:ascii="Garamond" w:hAnsi="Garamond"/>
        </w:rPr>
        <w:t>A menţionat că susţinerile reclamantului sunt neîntemeiate deoarece prin dispoziţiile art. 90 ale Tratatului rezultă în mod clar că nu se interzice instituirea unei taxe, ci doar se stipulează că nivelul acesteia nu trebuie să fie mai mare decât al taxelor care se aplică, direct sau indirect, produselor naţionale similare. Ori, prin O.U.G. nr. 50/2008 nu sunt încălcate aceste prevederi întrucât taxa pentru autovehiculele second-hand provenite din achiziţii din alte state membre s-a redus, fiind mai mică decât cea în cazul autoturismelor noi, care este aceeaşi indiferent de provenienţa lor, respectiv din producţia internă, import sau din achiziţii extracomunitare.</w:t>
      </w:r>
    </w:p>
    <w:p w:rsidR="001855E6" w14:paraId="74D953FC" w14:textId="77777777">
      <w:pPr>
        <w:ind w:firstLine="708"/>
        <w:jc w:val="both"/>
        <w:rPr>
          <w:rStyle w:val="Fontdeparagrafimplicit"/>
          <w:rFonts w:ascii="Garamond" w:hAnsi="Garamond"/>
        </w:rPr>
      </w:pPr>
      <w:r>
        <w:rPr>
          <w:rStyle w:val="Fontdeparagrafimplicit"/>
          <w:rFonts w:ascii="Garamond" w:hAnsi="Garamond"/>
        </w:rPr>
        <w:t>Cu privire la Hotărârea C.J.U.E. din 07.04.2011 în cauza Tatu, recurenta a menţionat că are ca obiect prevederile O.U.G. nr. 50/2008 în forma sa iniţială, aplicabilă în perioada 01.07.2008-14.12.2008. Curtea nu se pronunţă asupra legalităţii actului normativ, ci dă o interpretare prevederilor referitoare la art. 110 din Tratat, în sensul că un stat membru nu trebuie să instituie o taxă de poluare aplicată autovehiculelor cu ocazia primei lor înmatriculări dacă acea taxă descurajează punere în circulaţie în statul membru respectiv a unor autovehicule de ocazie cumpărate de aceste state.</w:t>
      </w:r>
    </w:p>
    <w:p w:rsidR="001855E6" w14:paraId="5077EA27" w14:textId="77777777">
      <w:pPr>
        <w:ind w:firstLine="708"/>
        <w:jc w:val="both"/>
        <w:rPr>
          <w:rStyle w:val="Fontdeparagrafimplicit"/>
          <w:rFonts w:ascii="Garamond" w:hAnsi="Garamond"/>
        </w:rPr>
      </w:pPr>
      <w:r>
        <w:rPr>
          <w:rStyle w:val="Fontdeparagrafimplicit"/>
          <w:rFonts w:ascii="Garamond" w:hAnsi="Garamond"/>
        </w:rPr>
        <w:t>A menţionat că forma actuală a O.U.G. nr. 50/2008, din decembrie 2010, a fost finalizată în urma unor consultări permanente cu experţii Curţii Europene de Justiţie. În acelaşi timp, conform art. 51 al Hotărârii CJUE, după intrarea în vigoare a modificărilor O.U.G. nr. 50/2008, acestea nu pot fi aplicate retroactiv şi nu pot avea efect discriminatoriu între situaţiile constituite anterior şi care nu sunt posterioare intrării în vigoare a acestui act normativ.</w:t>
      </w:r>
    </w:p>
    <w:p w:rsidR="001855E6" w14:paraId="235EB176" w14:textId="77777777">
      <w:pPr>
        <w:ind w:firstLine="708"/>
        <w:jc w:val="both"/>
        <w:rPr>
          <w:rStyle w:val="Fontdeparagrafimplicit"/>
          <w:rFonts w:ascii="Garamond" w:hAnsi="Garamond"/>
        </w:rPr>
      </w:pPr>
      <w:r>
        <w:rPr>
          <w:rStyle w:val="Fontdeparagrafimplicit"/>
          <w:rFonts w:ascii="Garamond" w:hAnsi="Garamond"/>
        </w:rPr>
        <w:t>Recurenta a solicitat admiterea recursului, modificarea sentinţei în sensul respingerii acţiunii ca netemeinică şi nelegală.</w:t>
      </w:r>
    </w:p>
    <w:p w:rsidR="001855E6" w14:paraId="02CAC6CD" w14:textId="77777777">
      <w:pPr>
        <w:ind w:firstLine="708"/>
        <w:jc w:val="both"/>
        <w:rPr>
          <w:rStyle w:val="Fontdeparagrafimplicit"/>
          <w:rFonts w:ascii="Garamond" w:hAnsi="Garamond"/>
        </w:rPr>
      </w:pPr>
      <w:r>
        <w:rPr>
          <w:rStyle w:val="Fontdeparagrafimplicit"/>
          <w:rFonts w:ascii="Garamond" w:hAnsi="Garamond"/>
        </w:rPr>
        <w:t>În drept, recursul a fost întemeiat pe dispoziţiile art. 304 pct. 9 şi art. 304</w:t>
      </w:r>
      <w:r>
        <w:rPr>
          <w:rStyle w:val="Fontdeparagrafimplicit"/>
          <w:rFonts w:ascii="Garamond" w:hAnsi="Garamond"/>
          <w:vertAlign w:val="superscript"/>
        </w:rPr>
        <w:t xml:space="preserve">1 </w:t>
      </w:r>
      <w:r>
        <w:rPr>
          <w:rStyle w:val="Fontdeparagrafimplicit"/>
          <w:rFonts w:ascii="Garamond" w:hAnsi="Garamond"/>
        </w:rPr>
        <w:t>Cod procedură civilă</w:t>
      </w:r>
    </w:p>
    <w:p w:rsidR="001855E6" w14:paraId="38394C2A" w14:textId="77777777">
      <w:pPr>
        <w:ind w:firstLine="708"/>
        <w:jc w:val="both"/>
        <w:rPr>
          <w:rStyle w:val="Fontdeparagrafimplicit"/>
          <w:rFonts w:ascii="Garamond" w:hAnsi="Garamond"/>
        </w:rPr>
      </w:pPr>
      <w:r>
        <w:rPr>
          <w:rStyle w:val="Fontdeparagrafimplicit"/>
          <w:rFonts w:ascii="Garamond" w:hAnsi="Garamond"/>
        </w:rPr>
        <w:t>Recurenta pârâtă a solicitat judecarea cauzei în lipsă potrivit art. 242 alin. 2 Cod procedură civilă.</w:t>
      </w:r>
    </w:p>
    <w:p w:rsidR="001855E6" w14:paraId="092BA8C0" w14:textId="77777777">
      <w:pPr>
        <w:ind w:firstLine="708"/>
        <w:jc w:val="both"/>
        <w:rPr>
          <w:rStyle w:val="Fontdeparagrafimplicit"/>
          <w:rFonts w:ascii="Garamond" w:hAnsi="Garamond"/>
        </w:rPr>
      </w:pPr>
      <w:r>
        <w:rPr>
          <w:rStyle w:val="Fontdeparagrafimplicit"/>
          <w:rFonts w:ascii="Garamond" w:hAnsi="Garamond"/>
        </w:rPr>
        <w:t>Nu s-a depus întâmpinare.</w:t>
      </w:r>
    </w:p>
    <w:p w:rsidR="001855E6" w14:paraId="6AF58EC9" w14:textId="77777777">
      <w:pPr>
        <w:jc w:val="both"/>
        <w:rPr>
          <w:rStyle w:val="Fontdeparagrafimplicit"/>
          <w:rFonts w:ascii="Garamond" w:hAnsi="Garamond"/>
          <w:b/>
          <w:i/>
        </w:rPr>
      </w:pPr>
      <w:r>
        <w:rPr>
          <w:rStyle w:val="Fontdeparagrafimplicit"/>
          <w:rFonts w:ascii="Garamond" w:hAnsi="Garamond"/>
        </w:rPr>
        <w:tab/>
      </w:r>
      <w:r>
        <w:rPr>
          <w:rStyle w:val="Fontdeparagrafimplicit"/>
          <w:rFonts w:ascii="Garamond" w:hAnsi="Garamond"/>
          <w:b/>
          <w:i/>
        </w:rPr>
        <w:t>Analizând criticile formulate, în raport de dispoziţiile legale aplicabile, Curtea reţine următoarele:</w:t>
      </w:r>
    </w:p>
    <w:p w:rsidR="001855E6" w14:paraId="6973A855" w14:textId="77777777">
      <w:pPr>
        <w:ind w:firstLine="708"/>
        <w:jc w:val="both"/>
        <w:rPr>
          <w:rStyle w:val="Fontdeparagrafimplicit"/>
          <w:rFonts w:ascii="Garamond" w:hAnsi="Garamond"/>
        </w:rPr>
      </w:pPr>
      <w:r>
        <w:rPr>
          <w:rStyle w:val="Fontdeparagrafimplicit"/>
          <w:rFonts w:ascii="Garamond" w:hAnsi="Garamond"/>
        </w:rPr>
        <w:t>Reclamantul a cumpărat un autoturism second-hand, iar pentru înmatricularea acestuia a achitat taxa de poluare, înmatricularea autoturismului făcându-se doar în condiţiile achitării acestei obligaţii.</w:t>
      </w:r>
    </w:p>
    <w:p w:rsidR="001855E6" w14:paraId="150DB3B3" w14:textId="5A5512BA">
      <w:pPr>
        <w:ind w:firstLine="708"/>
        <w:jc w:val="both"/>
        <w:rPr>
          <w:rStyle w:val="Fontdeparagrafimplicit"/>
          <w:rFonts w:ascii="Garamond" w:hAnsi="Garamond"/>
        </w:rPr>
      </w:pPr>
      <w:r>
        <w:rPr>
          <w:rStyle w:val="Fontdeparagrafimplicit"/>
          <w:rFonts w:ascii="Garamond" w:hAnsi="Garamond"/>
        </w:rPr>
        <w:t xml:space="preserve">Reclamantul a solicitat A.F.P. </w:t>
      </w:r>
      <w:r w:rsidR="000811CF">
        <w:rPr>
          <w:rStyle w:val="Fontdeparagrafimplicit"/>
          <w:rFonts w:ascii="Garamond" w:hAnsi="Garamond"/>
        </w:rPr>
        <w:t>...Z...</w:t>
      </w:r>
      <w:r>
        <w:rPr>
          <w:rStyle w:val="Fontdeparagrafimplicit"/>
          <w:rFonts w:ascii="Garamond" w:hAnsi="Garamond"/>
        </w:rPr>
        <w:t xml:space="preserve"> restituirea integrală a taxei de poluare, precum şi dobânda legală, iar pârâta A.F.P. </w:t>
      </w:r>
      <w:r w:rsidR="000811CF">
        <w:rPr>
          <w:rStyle w:val="Fontdeparagrafimplicit"/>
          <w:rFonts w:ascii="Garamond" w:hAnsi="Garamond"/>
        </w:rPr>
        <w:t>...Z...</w:t>
      </w:r>
      <w:r>
        <w:rPr>
          <w:rStyle w:val="Fontdeparagrafimplicit"/>
          <w:rFonts w:ascii="Garamond" w:hAnsi="Garamond"/>
        </w:rPr>
        <w:t xml:space="preserve"> i-a comunicat refuzul restituirii sumei.</w:t>
      </w:r>
    </w:p>
    <w:p w:rsidR="001855E6" w14:paraId="49B3A64E" w14:textId="77777777">
      <w:pPr>
        <w:ind w:firstLine="708"/>
        <w:jc w:val="both"/>
        <w:rPr>
          <w:rStyle w:val="Fontdeparagrafimplicit"/>
          <w:rFonts w:ascii="Garamond" w:hAnsi="Garamond"/>
        </w:rPr>
      </w:pPr>
      <w:r>
        <w:rPr>
          <w:rStyle w:val="Fontdeparagrafimplicit"/>
          <w:rFonts w:ascii="Garamond" w:hAnsi="Garamond"/>
        </w:rPr>
        <w:t>Cererea reclamantului vizează incompatibilitatea dispoziţiilor O.U.G. nr. 50/2008 cu cele ale Tratatului CE, cu consecinţa nelegalităţii taxei pe poluare.</w:t>
      </w:r>
    </w:p>
    <w:p w:rsidR="001855E6" w14:paraId="0BFFD4BB" w14:textId="77777777">
      <w:pPr>
        <w:ind w:firstLine="708"/>
        <w:jc w:val="both"/>
        <w:rPr>
          <w:rStyle w:val="Fontdeparagrafimplicit"/>
          <w:rFonts w:ascii="Garamond" w:hAnsi="Garamond"/>
        </w:rPr>
      </w:pPr>
      <w:r>
        <w:rPr>
          <w:rStyle w:val="Fontdeparagrafimplicit"/>
          <w:rFonts w:ascii="Garamond" w:hAnsi="Garamond"/>
        </w:rPr>
        <w:t xml:space="preserve">Analizând critica referitoare la  </w:t>
      </w:r>
      <w:r>
        <w:rPr>
          <w:rStyle w:val="Fontdeparagrafimplicit"/>
          <w:rFonts w:ascii="Garamond" w:hAnsi="Garamond"/>
          <w:i/>
        </w:rPr>
        <w:t xml:space="preserve">inadmisibilitatea  restituirii sumei actualizate cu dobânda, </w:t>
      </w:r>
      <w:r>
        <w:rPr>
          <w:rStyle w:val="Fontdeparagrafimplicit"/>
          <w:rFonts w:ascii="Garamond" w:hAnsi="Garamond"/>
        </w:rPr>
        <w:t>Curtea apreciază că procedura</w:t>
      </w:r>
      <w:r>
        <w:rPr>
          <w:rStyle w:val="Fontdeparagrafimplicit"/>
          <w:rFonts w:ascii="Garamond" w:hAnsi="Garamond"/>
          <w:i/>
        </w:rPr>
        <w:t xml:space="preserve"> </w:t>
      </w:r>
      <w:r>
        <w:rPr>
          <w:rStyle w:val="Fontdeparagrafimplicit"/>
          <w:rFonts w:ascii="Garamond" w:hAnsi="Garamond"/>
        </w:rPr>
        <w:t xml:space="preserve"> de restituire a sumelor achitate de un contribuabil ca urmare a aplicării eronate a prevederilor legale este reglementată de art. 117 alin. 1 lit. d din Codul de procedură fiscală, precum şi de Ordinul MFP 1899/22.12.2004. </w:t>
      </w:r>
    </w:p>
    <w:p w:rsidR="001855E6" w14:paraId="7090CDF7" w14:textId="77777777">
      <w:pPr>
        <w:ind w:firstLine="708"/>
        <w:jc w:val="both"/>
        <w:rPr>
          <w:rStyle w:val="Fontdeparagrafimplicit"/>
          <w:rFonts w:ascii="Garamond" w:hAnsi="Garamond"/>
        </w:rPr>
      </w:pPr>
      <w:r>
        <w:rPr>
          <w:rStyle w:val="Fontdeparagrafimplicit"/>
          <w:rFonts w:ascii="Garamond" w:hAnsi="Garamond"/>
          <w:color w:val="000000"/>
        </w:rPr>
        <w:t>Potrivit art. 205 Cod procedură fiscală este îndreptăţit la contestaţie atât cel care se consideră vătămat printr-un act administrativ fiscal, cât şi prin lipsa acestuia. Coroborând această dispoziţie legală cu dispoziţiile art. 117 alin. 1 lit. d Cod procedură fiscală, în care este prevăzută posibilitatea restituirii sumelor plătite ca urmare a aplicării eronate a prevederilor legale, cum aplicarea taxei reprezintă o aplicare eronată a prevederilor legale comunitare, art. 110 Tratat CE, şi având în vedere principiul preeminenţei dreptului comunitar, rezultă că refuzul restituirii taxei, asimilată lipsei actului administrativ fiscal, poate fi atacat în baza art. 205 alin. 2Cod procedură fiscală ultima ipoteză, în atare situaţie fiind admisibilă acţiunea formulată la instanţă după refuzul restituirii taxei</w:t>
      </w:r>
      <w:r>
        <w:rPr>
          <w:rStyle w:val="Fontdeparagrafimplicit"/>
          <w:rFonts w:ascii="Garamond" w:hAnsi="Garamond"/>
        </w:rPr>
        <w:t>.</w:t>
      </w:r>
    </w:p>
    <w:p w:rsidR="001855E6" w14:paraId="7E3A7A3B" w14:textId="77777777">
      <w:pPr>
        <w:ind w:firstLine="708"/>
        <w:jc w:val="both"/>
        <w:rPr>
          <w:rStyle w:val="Fontdeparagrafimplicit"/>
          <w:rFonts w:ascii="Garamond" w:hAnsi="Garamond"/>
        </w:rPr>
      </w:pPr>
      <w:r>
        <w:rPr>
          <w:rStyle w:val="Fontdeparagrafimplicit"/>
          <w:rFonts w:ascii="Garamond" w:hAnsi="Garamond"/>
        </w:rPr>
        <w:t>Procedura prevăzută în Cap. VI  „Restituirea sumelor reprezentând diferenţe de taxe plătite” din H.G. nr. 686/2008, nu este incidentă în cauză, deoarece reglementează numai posibilitatea contestării modalităţii de stabilire a cuantumului taxei pe poluare şi restituirea diferenţei de taxă plătită.</w:t>
      </w:r>
    </w:p>
    <w:p w:rsidR="001855E6" w14:paraId="2470333B" w14:textId="77777777">
      <w:pPr>
        <w:pStyle w:val="NormalWeb"/>
        <w:spacing w:before="0" w:beforeAutospacing="0" w:after="0" w:afterAutospacing="0"/>
        <w:ind w:firstLine="720"/>
        <w:jc w:val="both"/>
        <w:rPr>
          <w:rStyle w:val="Fontdeparagrafimplicit"/>
          <w:rFonts w:ascii="Garamond" w:hAnsi="Garamond"/>
        </w:rPr>
      </w:pPr>
      <w:r>
        <w:rPr>
          <w:rStyle w:val="Robust"/>
          <w:rFonts w:ascii="Garamond" w:hAnsi="Garamond"/>
          <w:b w:val="0"/>
        </w:rPr>
        <w:t>Decizia de calcul a taxei de poluare nu este un act administrativ fiscal,</w:t>
      </w:r>
      <w:r>
        <w:rPr>
          <w:rStyle w:val="Fontdeparagrafimplicit"/>
          <w:rFonts w:ascii="Garamond" w:hAnsi="Garamond"/>
        </w:rPr>
        <w:t xml:space="preserve"> în sensul Codului de procedură fiscală, pentru că prin ea nu se stabileşte o obligaţie de plată în sarcina contribuabilului, cu privire la plata taxei de poluare, singurul ei rol fiind acela de a determina suma datorată de contribuabil, în conformitate cu criteriile stabilite de art. 6 şi următoarele din O.U.G. nr. 50/2008. Decizia nu stabileşte un termen de plată şi nici nu generează obligaţia de plată a unor majorări de întârziere, nefiind susceptibilă de executare silită.</w:t>
      </w:r>
    </w:p>
    <w:p w:rsidR="001855E6" w14:paraId="7F6A1368" w14:textId="77777777">
      <w:pPr>
        <w:ind w:firstLine="708"/>
        <w:jc w:val="both"/>
        <w:rPr>
          <w:rStyle w:val="Fontdeparagrafimplicit"/>
          <w:rFonts w:ascii="Garamond" w:hAnsi="Garamond"/>
        </w:rPr>
      </w:pPr>
      <w:r>
        <w:rPr>
          <w:rStyle w:val="Fontdeparagrafimplicit"/>
          <w:rFonts w:ascii="Garamond" w:hAnsi="Garamond"/>
        </w:rPr>
        <w:t>Prin Decizia nr. 24/2011, Î.C.C.J. a statuat că procedura de contestare prevăzută la art. 7 din Ordonanţa de Urgenţă a Guvernului nr. 50/2008, aprobată prin Legea nr. 140/2011, raportat la art. 205-218 din Codul de procedură fiscală, nu se aplică în cazul cererilor de restituire a taxei de poluare întemeiate pe dispoziţiile art. 117 alin. 1 lit. d din acelaşi cod.</w:t>
      </w:r>
    </w:p>
    <w:p w:rsidR="001855E6" w14:paraId="237766BB" w14:textId="77777777">
      <w:pPr>
        <w:ind w:firstLine="708"/>
        <w:jc w:val="both"/>
        <w:rPr>
          <w:rStyle w:val="Fontdeparagrafimplicit"/>
          <w:rFonts w:ascii="Garamond" w:hAnsi="Garamond"/>
        </w:rPr>
      </w:pPr>
      <w:r>
        <w:rPr>
          <w:rStyle w:val="Fontdeparagrafimplicit"/>
          <w:rFonts w:ascii="Garamond" w:hAnsi="Garamond"/>
        </w:rPr>
        <w:t xml:space="preserve">Reclamantul a solicitat organului fiscal restituirea unei taxe pretins percepută nelegal de către organul fiscal </w:t>
      </w:r>
      <w:r>
        <w:rPr>
          <w:rStyle w:val="Fontdeparagrafimplicit"/>
          <w:rFonts w:ascii="Garamond" w:hAnsi="Garamond"/>
          <w:i/>
        </w:rPr>
        <w:t>cu dobânda legală</w:t>
      </w:r>
      <w:r>
        <w:rPr>
          <w:rStyle w:val="Fontdeparagrafimplicit"/>
          <w:rFonts w:ascii="Garamond" w:hAnsi="Garamond"/>
        </w:rPr>
        <w:t xml:space="preserve">.  Aşadar, se contestă de plano legalitatea taxei de poluare. În ceea ce priveşte procedura prealabilă, instanţa reţine că în jurisprudenţa Curţii se statuează că particularii au dreptul la rambursarea impozitelor naţionale aplicate cu încălcarea dreptului Uniunii Europene şi revine ordinii juridice din fiecare stat membru atribuţia de a desemna instanţele competente şi de a stabili modalităţile procedurale aplicabile în materie. </w:t>
      </w:r>
    </w:p>
    <w:p w:rsidR="001855E6" w14:paraId="36ACE7C7" w14:textId="77777777">
      <w:pPr>
        <w:ind w:firstLine="708"/>
        <w:jc w:val="both"/>
        <w:rPr>
          <w:rStyle w:val="Fontdeparagrafimplicit"/>
          <w:rFonts w:ascii="Garamond" w:hAnsi="Garamond"/>
        </w:rPr>
      </w:pPr>
      <w:r>
        <w:rPr>
          <w:rStyle w:val="Fontdeparagrafimplicit"/>
          <w:rFonts w:ascii="Garamond" w:hAnsi="Garamond"/>
        </w:rPr>
        <w:t>Critica recurentei pârâte referitoare la acordarea dobânzii legale este nefondată, întrucât dreptul contribuabilului la dobândă pentru sumele de restituit sau de rambursat este reglementat de art. 124 Cod procedură fiscală. Pentru sumele de restituit de la buget contribuabilii au dreptul la dobândă din ziua următoare expirării termenului prevăzut de art. 117 alin. 2 sau la art. 70, după caz. „Acordarea dobânzilor se face la cererea contribuabililor”.</w:t>
      </w:r>
    </w:p>
    <w:p w:rsidR="001855E6" w14:paraId="2244A0F3" w14:textId="1EBCEC12">
      <w:pPr>
        <w:ind w:firstLine="708"/>
        <w:jc w:val="both"/>
        <w:rPr>
          <w:rStyle w:val="Fontdeparagrafimplicit"/>
          <w:rFonts w:ascii="Garamond" w:hAnsi="Garamond"/>
        </w:rPr>
      </w:pPr>
      <w:r>
        <w:rPr>
          <w:rStyle w:val="Fontdeparagrafimplicit"/>
          <w:rFonts w:ascii="Garamond" w:hAnsi="Garamond"/>
        </w:rPr>
        <w:t xml:space="preserve">În speţă, reclamantul a solicitat prin cererea de restituire a taxei de poluare adresată A.F.P. </w:t>
      </w:r>
      <w:r w:rsidR="000811CF">
        <w:rPr>
          <w:rStyle w:val="Fontdeparagrafimplicit"/>
          <w:rFonts w:ascii="Garamond" w:hAnsi="Garamond"/>
        </w:rPr>
        <w:t>...X...</w:t>
      </w:r>
      <w:r>
        <w:rPr>
          <w:rStyle w:val="Fontdeparagrafimplicit"/>
          <w:rFonts w:ascii="Garamond" w:hAnsi="Garamond"/>
        </w:rPr>
        <w:t xml:space="preserve"> şi dobânda legală, instanţa de fond făcând aplicarea corectă a dispoziţiilor legale incidente în materia acordării dobânzii.</w:t>
      </w:r>
    </w:p>
    <w:p w:rsidR="001855E6" w14:paraId="3DDF5415" w14:textId="77777777">
      <w:pPr>
        <w:ind w:firstLine="708"/>
        <w:jc w:val="both"/>
        <w:rPr>
          <w:rStyle w:val="Fontdeparagrafimplicit"/>
          <w:rFonts w:ascii="Garamond" w:hAnsi="Garamond"/>
        </w:rPr>
      </w:pPr>
      <w:r>
        <w:rPr>
          <w:rStyle w:val="Fontdeparagrafimplicit"/>
          <w:rFonts w:ascii="Garamond" w:hAnsi="Garamond"/>
          <w:i/>
        </w:rPr>
        <w:t>Motivele I şi IV de recurs  vizează fondul cauzei</w:t>
      </w:r>
      <w:r>
        <w:rPr>
          <w:rStyle w:val="Fontdeparagrafimplicit"/>
          <w:rFonts w:ascii="Garamond" w:hAnsi="Garamond"/>
        </w:rPr>
        <w:t xml:space="preserve"> urmând a fi analizate împreună.</w:t>
      </w:r>
    </w:p>
    <w:p w:rsidR="001855E6" w14:paraId="3BA9803F" w14:textId="77777777">
      <w:pPr>
        <w:ind w:firstLine="708"/>
        <w:jc w:val="both"/>
        <w:rPr>
          <w:rStyle w:val="Fontdeparagrafimplicit"/>
          <w:rFonts w:ascii="Garamond" w:hAnsi="Garamond"/>
        </w:rPr>
      </w:pPr>
      <w:r>
        <w:rPr>
          <w:rStyle w:val="Fontdeparagrafimplicit"/>
          <w:rFonts w:ascii="Garamond" w:hAnsi="Garamond"/>
        </w:rPr>
        <w:t>Curtea reţine că instanţa de fond a analizat corect compatibilitatea O.U.G. nr. 50/2008 cu prevederile comunitare incidente, criticile recurentei pe aceste aspecte fiind nefondate.</w:t>
      </w:r>
    </w:p>
    <w:p w:rsidR="001855E6" w14:paraId="70A9C9D3" w14:textId="77777777">
      <w:pPr>
        <w:ind w:firstLine="708"/>
        <w:jc w:val="both"/>
        <w:rPr>
          <w:rStyle w:val="Fontdeparagrafimplicit"/>
          <w:rFonts w:ascii="Garamond" w:hAnsi="Garamond"/>
        </w:rPr>
      </w:pPr>
      <w:r>
        <w:rPr>
          <w:rStyle w:val="Fontdeparagrafimplicit"/>
          <w:rFonts w:ascii="Garamond" w:hAnsi="Garamond"/>
        </w:rPr>
        <w:t>Conform jurisprudenţei Curţii Europene de Justiţie, noţiunea de taxă cu efect echivalent constă în orice taxă pecuniară impusă unilateral asupra mărfurilor în temeiul faptului că trec frontiera, oricare ar fi denumirea şi modul de aplicare al acesteia, iar un sistem de taxare care să fie considerat compatibil cu art. 110, fost 90, din Tratatul Comunităţii Europene, trebuie să excludă orice posibilitate ca produsele importate să fie supuse unor taxe mai mari decât produsele similare, naţionale şi să nu producă în nici un caz efecte discriminatorii.</w:t>
      </w:r>
    </w:p>
    <w:p w:rsidR="001855E6" w14:paraId="3CB094CB" w14:textId="77777777">
      <w:pPr>
        <w:ind w:firstLine="708"/>
        <w:jc w:val="both"/>
        <w:rPr>
          <w:rStyle w:val="Fontdeparagrafimplicit"/>
          <w:rFonts w:ascii="Garamond" w:hAnsi="Garamond"/>
        </w:rPr>
      </w:pPr>
      <w:r>
        <w:rPr>
          <w:rStyle w:val="Fontdeparagrafimplicit"/>
          <w:rFonts w:ascii="Garamond" w:hAnsi="Garamond"/>
        </w:rPr>
        <w:t>Textul art. 110, fost 90, din Tratatul C.E se referă la produsele provenind din alte state membre şi supuse unor impozite interne, de orice natură, superioare celor care se aplică direct sau indirect produselor naţionale similare, ori Statul Român nu percepe taxa de poluare produselor naţionale similare, respectiv pentru autovehiculele deja înmatriculate în România (second-hand) cu ocazia vânzărilor ulterioare.</w:t>
      </w:r>
    </w:p>
    <w:p w:rsidR="001855E6" w14:paraId="5D491460" w14:textId="77777777">
      <w:pPr>
        <w:ind w:firstLine="708"/>
        <w:jc w:val="both"/>
        <w:rPr>
          <w:rStyle w:val="Fontdeparagrafimplicit"/>
          <w:rFonts w:ascii="Garamond" w:hAnsi="Garamond"/>
        </w:rPr>
      </w:pPr>
      <w:r>
        <w:rPr>
          <w:rStyle w:val="Fontdeparagrafimplicit"/>
          <w:rFonts w:ascii="Garamond" w:hAnsi="Garamond"/>
        </w:rPr>
        <w:t>La data de 7 aprilie 2011, Curtea de Justiţie a Uniunii Europene a pronunţat o hotărâre preliminară în cauza Ioan Tatu c. Statul Român prin Ministerul Economiei şi Finanţelor, Direcţia Generală a Finanţelor Publice Sibiu, Administraţia Finanţelor Publice Sibiu, Administraţia Fondului pentru Mediu şi Ministerul Mediului, afacerea C-402/09, ca urmare a cererii de pronunţare a unei hotărâri preliminare formulate de Tribunalul Sibiu la 18 iunie 2009.</w:t>
      </w:r>
    </w:p>
    <w:p w:rsidR="001855E6" w14:paraId="579F7E8A" w14:textId="77777777">
      <w:pPr>
        <w:ind w:firstLine="708"/>
        <w:jc w:val="both"/>
        <w:rPr>
          <w:rStyle w:val="Fontdeparagrafimplicit"/>
          <w:rFonts w:ascii="Garamond" w:hAnsi="Garamond"/>
        </w:rPr>
      </w:pPr>
      <w:r>
        <w:rPr>
          <w:rStyle w:val="Fontdeparagrafimplicit"/>
          <w:rFonts w:ascii="Garamond" w:hAnsi="Garamond"/>
        </w:rPr>
        <w:t>Prin hotărârea pronunţată de Curtea de Justiţie a Uniunii Europene în cauza C-402/09 Tatu contra României, s-a decis că „articolul 110 TFUE trebuie interpretat în sensul că se opune ca un stat membru să instituie o taxă pe poluare aplicată autovehiculelor cu ocazia primei lor înmatriculări în acest stat membru, dacă regimul acestei măsuri fiscale este astfel stabilit încât descurajează punerea în circulaţie, în statul membru menţionat, a unor vehicule de ocazie cumpărate în alte state membre, fără însă a descuraja cumpărarea unor vehicule de ocazie având aceeaşi vechime şi aceeaşi uzură de pe piaţa naţională”.</w:t>
      </w:r>
    </w:p>
    <w:p w:rsidR="001855E6" w14:paraId="1CC661E8" w14:textId="77777777">
      <w:pPr>
        <w:ind w:firstLine="708"/>
        <w:jc w:val="both"/>
        <w:rPr>
          <w:rStyle w:val="Fontdeparagrafimplicit"/>
          <w:rFonts w:ascii="Garamond" w:hAnsi="Garamond"/>
        </w:rPr>
      </w:pPr>
      <w:r>
        <w:rPr>
          <w:rStyle w:val="Fontdeparagrafimplicit"/>
          <w:rFonts w:ascii="Garamond" w:hAnsi="Garamond"/>
        </w:rPr>
        <w:t>La data de 07 iulie 2011, Curtea de Justiţie a Uniunii Europene s-a pronunţat în Cauza C-263/10, cauza Nisipeanu, asupra interpretării art. 110 din Tratatul privind Funcţionarea Uniunii Europene (TFUE) pornind de la mai multe întrebări adresate Curţii de Tribunalul Gorj sesizat cu o cerere de restituire a taxei pe poluare în care reclamantul a invocat că taxa în cauză este incompatibilă cu articolul 110 TFUE.</w:t>
      </w:r>
    </w:p>
    <w:p w:rsidR="001855E6" w14:paraId="01A6B8BB" w14:textId="77777777">
      <w:pPr>
        <w:ind w:firstLine="708"/>
        <w:jc w:val="both"/>
        <w:rPr>
          <w:rStyle w:val="Fontdeparagrafimplicit"/>
          <w:rFonts w:ascii="Garamond" w:hAnsi="Garamond"/>
        </w:rPr>
      </w:pPr>
      <w:r>
        <w:rPr>
          <w:rStyle w:val="Fontdeparagrafimplicit"/>
          <w:rFonts w:ascii="Garamond" w:hAnsi="Garamond"/>
        </w:rPr>
        <w:t>Prin această hotărâre, Curtea a reluat considerentele expuse în hotărârea în cauza C-402/09 Tatu, considerând că modificările succesive aduse O.U.G. nr. 50/2008 prin O.U.G. nr. 208/2008, O.U.G. nr. 218/20083, O.U.G. nr. 7/2009 şi O.U.G. nr. 117/2009 menţin un regim de impozitare care descurajează înmatricularea în România a unor autovehicule de ocazie cumpărate din alte state membre şi care se caracterizează printr-o uzură şi o vechime importante, în timp ce vehiculele  similare puse în vânzare pe piaţa naţională a vehiculelor de ocazie nu sunt în nici un fel grevate de o astfel de sarcină fiscală, condiţii în care reglementarea menţionată are ca efect descurajarea importării şi punerii în circulaţie în România a unor autovehicule de ocazie cumpărate din alte state membre.</w:t>
      </w:r>
    </w:p>
    <w:p w:rsidR="001855E6" w14:paraId="7409A14B" w14:textId="77777777">
      <w:pPr>
        <w:ind w:firstLine="708"/>
        <w:jc w:val="both"/>
        <w:rPr>
          <w:rStyle w:val="Fontdeparagrafimplicit"/>
          <w:rFonts w:ascii="Garamond" w:hAnsi="Garamond"/>
        </w:rPr>
      </w:pPr>
      <w:r>
        <w:rPr>
          <w:rStyle w:val="Fontdeparagrafimplicit"/>
          <w:rFonts w:ascii="Garamond" w:hAnsi="Garamond"/>
        </w:rPr>
        <w:t>În opinia Curţii, competenţa statelor membre de a stabili noi taxe nu este nelimitată, interdicţia de a aplica impozite mai mari produselor provenind din alte state membre în raport cu taxele aplicate produselor naţionale, prevăzută de art. 110 TFUE, trebuie să se aplice de fiecare dată când taxa respectivă este de natură să descurajeze importul de bunuri provenite din alte state membre, favorizând producţia naţională.</w:t>
      </w:r>
    </w:p>
    <w:p w:rsidR="001855E6" w14:paraId="307D9F67" w14:textId="77777777">
      <w:pPr>
        <w:ind w:firstLine="708"/>
        <w:jc w:val="both"/>
        <w:rPr>
          <w:rStyle w:val="Fontdeparagrafimplicit"/>
          <w:rFonts w:ascii="Garamond" w:hAnsi="Garamond"/>
        </w:rPr>
      </w:pPr>
      <w:r>
        <w:rPr>
          <w:rStyle w:val="Fontdeparagrafimplicit"/>
          <w:rFonts w:ascii="Garamond" w:hAnsi="Garamond"/>
        </w:rPr>
        <w:t>Curtea a apreciat că toate versiunile de modificare a O.U.G. 50/2008 menţin un regim de impozitare care descurajează înmatricularea în România a unor autovehicule de ocazie cumpărate din alte state membre, similare cu cele puse în vânzare pe piaţa naţională a vehiculelor de ocazie.</w:t>
      </w:r>
    </w:p>
    <w:p w:rsidR="001855E6" w14:paraId="5E58F9AC" w14:textId="77777777">
      <w:pPr>
        <w:ind w:firstLine="708"/>
        <w:jc w:val="both"/>
        <w:rPr>
          <w:rStyle w:val="Fontdeparagrafimplicit"/>
          <w:rFonts w:ascii="Garamond" w:hAnsi="Garamond"/>
        </w:rPr>
      </w:pPr>
      <w:r>
        <w:rPr>
          <w:rStyle w:val="Fontdeparagrafimplicit"/>
          <w:rFonts w:ascii="Garamond" w:hAnsi="Garamond"/>
        </w:rPr>
        <w:t>Curtea a reamintit că obiectivul protecţiei mediului ar putea fi realizat, fără favorizarea produselor naţionale, prin stabilirea unei taxe anuale, aplicabilă oricărui vehicul pus în circulaţie în România.</w:t>
      </w:r>
    </w:p>
    <w:p w:rsidR="001855E6" w14:paraId="166F31B9" w14:textId="77777777">
      <w:pPr>
        <w:ind w:firstLine="708"/>
        <w:jc w:val="both"/>
        <w:rPr>
          <w:rStyle w:val="Fontdeparagrafimplicit"/>
          <w:rFonts w:ascii="Garamond" w:hAnsi="Garamond"/>
        </w:rPr>
      </w:pPr>
      <w:r>
        <w:rPr>
          <w:rStyle w:val="Fontdeparagrafimplicit"/>
          <w:rFonts w:ascii="Garamond" w:hAnsi="Garamond"/>
        </w:rPr>
        <w:t>Astfel, Curtea a decis că art. 110 TFUE trebuie interpretat în sensul că impunerea unei taxe fiscale (taxa de poluare) doar autovehiculelor înmatriculate pentru prima dată în România după intrarea în vigoare a O.U.G. nr. 50/2008, deşi nediscriminatorie, creează un efect protecţionist pe piaţă, descurajând importul de maşini de ocazie fără a descuraja în egală măsură şi cumpărarea de maşini de ocazie existente pe piaţa naţională anterior O.U.G. nr. 50/2008.</w:t>
      </w:r>
    </w:p>
    <w:p w:rsidR="001855E6" w14:paraId="42D351CF" w14:textId="77777777">
      <w:pPr>
        <w:ind w:firstLine="708"/>
        <w:jc w:val="both"/>
        <w:rPr>
          <w:rStyle w:val="Fontdeparagrafimplicit"/>
          <w:rFonts w:ascii="Garamond" w:hAnsi="Garamond"/>
        </w:rPr>
      </w:pPr>
      <w:r>
        <w:rPr>
          <w:rStyle w:val="Fontdeparagrafimplicit"/>
          <w:rFonts w:ascii="Garamond" w:hAnsi="Garamond"/>
        </w:rPr>
        <w:t>Decizia instanţei europene confirmă jurisprudenţa Curţii creată prin pronunţarea hotărârii în cauza C-402/09, Tatu, prin care aceasta a arătat că art. 110 TFUE se opune ca un stat membru să instituie o taxă pe poluare aplicată autovehiculelor cu ocazia primei lor înmatriculări în acest stat membru, dacă regimul acestei măsuri fiscale este astfel stabilit încât descurajează punerea în circulaţie în statul membru menţionat a unor vehicule de ocazie cumpărate din alte state membre, fără însă a descuraja cumpărarea unor vehicule de ocazie având aceeaşi vechime şi aceeaşi uzură de pe piaţa naţională.”</w:t>
      </w:r>
    </w:p>
    <w:p w:rsidR="001855E6" w14:paraId="3FF6569A" w14:textId="77777777">
      <w:pPr>
        <w:ind w:firstLine="708"/>
        <w:jc w:val="both"/>
        <w:rPr>
          <w:rStyle w:val="Robust"/>
          <w:rFonts w:ascii="Garamond" w:hAnsi="Garamond"/>
          <w:b w:val="0"/>
        </w:rPr>
      </w:pPr>
      <w:r>
        <w:rPr>
          <w:rStyle w:val="Robust"/>
          <w:rFonts w:ascii="Garamond" w:hAnsi="Garamond"/>
          <w:b w:val="0"/>
        </w:rPr>
        <w:t xml:space="preserve">Important este faptul că s-a respins cererea Statului Român de limitare a efectelor în timp a hotărârii Curţii, ceea ce înseamnă că hotărârea </w:t>
      </w:r>
      <w:r>
        <w:rPr>
          <w:rStyle w:val="Accentuat"/>
          <w:rFonts w:ascii="Garamond" w:hAnsi="Garamond"/>
          <w:i w:val="0"/>
        </w:rPr>
        <w:t>Nisipeanu,</w:t>
      </w:r>
      <w:r>
        <w:rPr>
          <w:rStyle w:val="Accentuat"/>
          <w:rFonts w:ascii="Garamond" w:hAnsi="Garamond"/>
        </w:rPr>
        <w:t xml:space="preserve"> </w:t>
      </w:r>
      <w:r>
        <w:rPr>
          <w:rStyle w:val="Robust"/>
          <w:rFonts w:ascii="Garamond" w:hAnsi="Garamond"/>
          <w:b w:val="0"/>
        </w:rPr>
        <w:t xml:space="preserve">ca de altfel şi hotărârea </w:t>
      </w:r>
      <w:r>
        <w:rPr>
          <w:rStyle w:val="Accentuat"/>
          <w:rFonts w:ascii="Garamond" w:hAnsi="Garamond"/>
          <w:i w:val="0"/>
        </w:rPr>
        <w:t>Tatu</w:t>
      </w:r>
      <w:r>
        <w:rPr>
          <w:rStyle w:val="Robust"/>
          <w:rFonts w:ascii="Garamond" w:hAnsi="Garamond"/>
        </w:rPr>
        <w:t>,</w:t>
      </w:r>
      <w:r>
        <w:rPr>
          <w:rStyle w:val="Robust"/>
          <w:rFonts w:ascii="Garamond" w:hAnsi="Garamond"/>
          <w:b w:val="0"/>
        </w:rPr>
        <w:t xml:space="preserve"> se aplică retroactiv şi lipsesc de temei juridic prelevarea taxei de poluare în perioada 1 iulie 2008 - 31 decembrie 2010.</w:t>
      </w:r>
    </w:p>
    <w:p w:rsidR="001855E6" w14:paraId="68653B11" w14:textId="77777777">
      <w:pPr>
        <w:ind w:firstLine="708"/>
        <w:jc w:val="both"/>
        <w:rPr>
          <w:rStyle w:val="Fontdeparagrafimplicit"/>
          <w:rFonts w:ascii="Garamond" w:hAnsi="Garamond"/>
        </w:rPr>
      </w:pPr>
      <w:r>
        <w:rPr>
          <w:rStyle w:val="Fontdeparagrafimplicit"/>
          <w:rFonts w:ascii="Garamond" w:hAnsi="Garamond"/>
        </w:rPr>
        <w:t xml:space="preserve">Taxa pe poluare instituită prin dispoziţiile O.U.G. nr. 50/2008 şi de actele normative date în aplicarea ei,  pentru autoturismele de ocazie din achiziţii intracomunitare este contrară dreptului comunitar, decizia Curţii fiind </w:t>
      </w:r>
      <w:r>
        <w:rPr>
          <w:rStyle w:val="Fontdeparagrafimplicit"/>
          <w:rFonts w:ascii="Garamond" w:hAnsi="Garamond"/>
        </w:rPr>
        <w:t>obligatorie pentru instanţa din România ce a adresat întrebarea preliminară şi în egală măsură pentru toate instanţele naţionale care sunt sesizate cu o problemă similară.</w:t>
      </w:r>
    </w:p>
    <w:p w:rsidR="001855E6" w14:paraId="0E97F550" w14:textId="77777777">
      <w:pPr>
        <w:ind w:firstLine="708"/>
        <w:jc w:val="both"/>
        <w:rPr>
          <w:rStyle w:val="Fontdeparagrafimplicit"/>
          <w:rFonts w:ascii="Garamond" w:hAnsi="Garamond"/>
        </w:rPr>
      </w:pPr>
      <w:r>
        <w:rPr>
          <w:rStyle w:val="Fontdeparagrafimplicit"/>
          <w:rFonts w:ascii="Garamond" w:hAnsi="Garamond"/>
        </w:rPr>
        <w:t xml:space="preserve">În contextul creat prin pronunţarea hotărârilor Curţii de Justiţie a Uniunii Europene (cauza Tatu din 7 aprilie 2011, cauza Nisipeanu din 07 iulie 2011), care au stabilit că taxa de poluare reglementată de O.U.G. nr. 50/2008 contravine prevederilor art. 110 din Tratatul privind funcţionarea Uniunii Europene, principiul supremaţiei dreptului european determină concluzia că aceste din urmă dispoziţii legale prevalează. </w:t>
      </w:r>
    </w:p>
    <w:p w:rsidR="001855E6" w14:paraId="76AAB462" w14:textId="77777777">
      <w:pPr>
        <w:ind w:firstLine="708"/>
        <w:jc w:val="both"/>
        <w:rPr>
          <w:rStyle w:val="Fontdeparagrafimplicit"/>
          <w:rFonts w:ascii="Garamond" w:hAnsi="Garamond"/>
        </w:rPr>
      </w:pPr>
      <w:r>
        <w:rPr>
          <w:rStyle w:val="Fontdeparagrafimplicit"/>
          <w:rFonts w:ascii="Garamond" w:hAnsi="Garamond"/>
        </w:rPr>
        <w:t xml:space="preserve">După aderarea României la Uniunea Europeană, orice prevedere din dreptul naţional trebuie să dea prioritate regulilor de drept european, iar autorităţile statale au obligaţia a respecta dreptul european. </w:t>
      </w:r>
    </w:p>
    <w:p w:rsidR="001855E6" w14:paraId="0DD707E5" w14:textId="77777777">
      <w:pPr>
        <w:ind w:firstLine="708"/>
        <w:jc w:val="both"/>
        <w:rPr>
          <w:rStyle w:val="Fontdeparagrafimplicit"/>
          <w:rFonts w:ascii="Garamond" w:hAnsi="Garamond"/>
        </w:rPr>
      </w:pPr>
      <w:r>
        <w:rPr>
          <w:rStyle w:val="Fontdeparagrafimplicit"/>
          <w:rFonts w:ascii="Garamond" w:hAnsi="Garamond"/>
        </w:rPr>
        <w:t>Instanţa de recurs constată că instanţa de fond a dat o justă aplicare prevederilor art. 148 din Constituţia României, în sensul că autoritatea judecătorească garantează aducerea la îndeplinire a obligaţiilor rezultate din actul aderării, aşa încât judecătorul naţional trebuie să aplice, în caz de conflict între norma naţională şi norma comunitară, dreptul comunitar.</w:t>
      </w:r>
    </w:p>
    <w:p w:rsidR="001855E6" w14:paraId="0D568C13" w14:textId="77777777">
      <w:pPr>
        <w:ind w:firstLine="708"/>
        <w:jc w:val="both"/>
        <w:rPr>
          <w:rStyle w:val="Fontdeparagrafimplicit"/>
          <w:rFonts w:ascii="Garamond" w:hAnsi="Garamond"/>
        </w:rPr>
      </w:pPr>
      <w:r>
        <w:rPr>
          <w:rStyle w:val="Fontdeparagrafimplicit"/>
          <w:rFonts w:ascii="Garamond" w:hAnsi="Garamond"/>
          <w:b/>
        </w:rPr>
        <w:t xml:space="preserve">II. </w:t>
      </w:r>
      <w:r>
        <w:rPr>
          <w:rStyle w:val="Fontdeparagrafimplicit"/>
          <w:rFonts w:ascii="Garamond" w:hAnsi="Garamond"/>
        </w:rPr>
        <w:t>Critica recurentei pârâte referitoare la nelegalitatea acordării cheltuielilor de judecată este neîntemeiată. Reclamantul a solicitat prin cererea  de chemare în judecată obligarea pârâţilor la  plata cheltuielilor de judecată, astfel că instanţa de fond nu a acordat mai mult decât s-a cerut.</w:t>
      </w:r>
    </w:p>
    <w:p w:rsidR="001855E6" w14:paraId="4C486B00" w14:textId="77777777">
      <w:pPr>
        <w:ind w:firstLine="708"/>
        <w:jc w:val="both"/>
        <w:rPr>
          <w:rStyle w:val="Fontdeparagrafimplicit"/>
          <w:rFonts w:ascii="Garamond" w:hAnsi="Garamond"/>
        </w:rPr>
      </w:pPr>
      <w:r>
        <w:rPr>
          <w:rStyle w:val="Fontdeparagrafimplicit"/>
          <w:rFonts w:ascii="Garamond" w:hAnsi="Garamond"/>
        </w:rPr>
        <w:t>La baza obligaţiei de restituire a cheltuielilor de judecată stă culpa procesuală. Partea din vina căreia s-a purtat procesul trebuie să suporte cheltuielile făcute, justificat, de partea câştigătoare. Culpa procesuală este legată de declanşarea unui proces, iar a cădea în pretenţii, în sensul art. 274 alin. 1 Cod procedură civilă, înseamnă a pierde procesul.</w:t>
      </w:r>
    </w:p>
    <w:p w:rsidR="001855E6" w14:paraId="113DBE63" w14:textId="77777777">
      <w:pPr>
        <w:ind w:firstLine="708"/>
        <w:jc w:val="both"/>
        <w:rPr>
          <w:rStyle w:val="Fontdeparagrafimplicit"/>
          <w:rFonts w:ascii="Garamond" w:hAnsi="Garamond"/>
        </w:rPr>
      </w:pPr>
      <w:r>
        <w:rPr>
          <w:rStyle w:val="Fontdeparagrafimplicit"/>
          <w:rFonts w:ascii="Garamond" w:hAnsi="Garamond"/>
        </w:rPr>
        <w:t>În speţă, reclamantului i-a fost admisă acţiunea, astfel că ambele pârâte se află culpă procesuală şi în mod corect instanţa de fond a obligat pârâtele A.F.P. şi A.F.M. la  plata cheltuielilor de judecată către reclamant.</w:t>
      </w:r>
    </w:p>
    <w:p w:rsidR="001855E6" w14:paraId="08BD9836" w14:textId="3121BA66">
      <w:pPr>
        <w:ind w:firstLine="708"/>
        <w:jc w:val="both"/>
        <w:rPr>
          <w:rStyle w:val="Fontdeparagrafimplicit"/>
          <w:rFonts w:ascii="Garamond" w:hAnsi="Garamond"/>
        </w:rPr>
      </w:pPr>
      <w:r>
        <w:rPr>
          <w:rStyle w:val="Fontdeparagrafimplicit"/>
          <w:rFonts w:ascii="Garamond" w:hAnsi="Garamond"/>
        </w:rPr>
        <w:t xml:space="preserve">Faptul că sumele încasate de organul fiscal s-au  virat în fondul administrat de AFM nu justifică obligarea numai a fondului la restituirea taxei de poluare şi la plata cheltuielilor de judecată  deoarece parte în raportul juridic este şi AFP  </w:t>
      </w:r>
      <w:r w:rsidR="000811CF">
        <w:rPr>
          <w:rStyle w:val="Fontdeparagrafimplicit"/>
          <w:rFonts w:ascii="Garamond" w:hAnsi="Garamond"/>
        </w:rPr>
        <w:t>...Z...</w:t>
      </w:r>
      <w:r>
        <w:rPr>
          <w:rStyle w:val="Fontdeparagrafimplicit"/>
          <w:rFonts w:ascii="Garamond" w:hAnsi="Garamond"/>
        </w:rPr>
        <w:t>, care a calculat şi încasat taxa, astfel încât cele două autorităţi administrative răspund solidar.</w:t>
      </w:r>
    </w:p>
    <w:p w:rsidR="001855E6" w14:paraId="6C850497" w14:textId="77777777">
      <w:pPr>
        <w:ind w:firstLine="708"/>
        <w:jc w:val="both"/>
        <w:rPr>
          <w:rStyle w:val="Fontdeparagrafimplicit"/>
          <w:rFonts w:ascii="Garamond" w:hAnsi="Garamond"/>
        </w:rPr>
      </w:pPr>
      <w:r>
        <w:rPr>
          <w:rStyle w:val="Fontdeparagrafimplicit"/>
          <w:rFonts w:ascii="Garamond" w:hAnsi="Garamond"/>
        </w:rPr>
        <w:t>Având în vedere dispoziţiile art. 304</w:t>
      </w:r>
      <w:r>
        <w:rPr>
          <w:rStyle w:val="Fontdeparagrafimplicit"/>
          <w:rFonts w:ascii="Garamond" w:hAnsi="Garamond"/>
          <w:vertAlign w:val="superscript"/>
        </w:rPr>
        <w:t>1</w:t>
      </w:r>
      <w:r>
        <w:rPr>
          <w:rStyle w:val="Fontdeparagrafimplicit"/>
          <w:rFonts w:ascii="Garamond" w:hAnsi="Garamond"/>
        </w:rPr>
        <w:t xml:space="preserve"> şi 312 alin.1 Cod procedură civilă, Curtea va respinge recursul ca nefondat.</w:t>
      </w:r>
    </w:p>
    <w:p w:rsidR="001855E6" w14:paraId="460DFECE" w14:textId="77777777">
      <w:pPr>
        <w:ind w:firstLine="708"/>
        <w:jc w:val="both"/>
        <w:rPr>
          <w:rStyle w:val="Fontdeparagrafimplicit"/>
          <w:rFonts w:ascii="Garamond" w:hAnsi="Garamond"/>
        </w:rPr>
      </w:pPr>
      <w:r>
        <w:rPr>
          <w:rStyle w:val="Fontdeparagrafimplicit"/>
          <w:rFonts w:ascii="Garamond" w:hAnsi="Garamond"/>
        </w:rPr>
        <w:t xml:space="preserve">Văzând şi dispoziţiile art. 274 alin.1 C.Pr.Civ., </w:t>
      </w:r>
    </w:p>
    <w:p w:rsidR="001855E6" w14:paraId="21F4F8AF" w14:textId="77777777">
      <w:pPr>
        <w:ind w:firstLine="708"/>
        <w:jc w:val="both"/>
        <w:rPr>
          <w:rStyle w:val="Fontdeparagrafimplicit"/>
          <w:rFonts w:ascii="Garamond" w:hAnsi="Garamond"/>
        </w:rPr>
      </w:pPr>
    </w:p>
    <w:p w:rsidR="001855E6" w14:paraId="4DF50EDD" w14:textId="77777777">
      <w:pPr>
        <w:jc w:val="center"/>
        <w:rPr>
          <w:rStyle w:val="Fontdeparagrafimplicit"/>
          <w:rFonts w:ascii="Garamond" w:hAnsi="Garamond"/>
        </w:rPr>
      </w:pPr>
      <w:r>
        <w:rPr>
          <w:rStyle w:val="Fontdeparagrafimplicit"/>
          <w:rFonts w:ascii="Garamond" w:hAnsi="Garamond"/>
        </w:rPr>
        <w:t>PENTRU ACESTE MOTIVE,</w:t>
      </w:r>
      <w:r>
        <w:rPr>
          <w:rStyle w:val="Fontdeparagrafimplicit"/>
          <w:rFonts w:ascii="Garamond" w:hAnsi="Garamond"/>
        </w:rPr>
        <w:br/>
        <w:t>ÎN NUMELE LEGII</w:t>
      </w:r>
    </w:p>
    <w:p w:rsidR="001855E6" w14:paraId="4D482474" w14:textId="77777777">
      <w:pPr>
        <w:jc w:val="center"/>
        <w:rPr>
          <w:rStyle w:val="Fontdeparagrafimplicit"/>
          <w:rFonts w:ascii="Garamond" w:hAnsi="Garamond"/>
        </w:rPr>
      </w:pPr>
    </w:p>
    <w:p w:rsidR="001855E6" w14:paraId="63AB4CC2" w14:textId="77777777">
      <w:pPr>
        <w:jc w:val="center"/>
        <w:rPr>
          <w:rStyle w:val="Fontdeparagrafimplicit"/>
          <w:rFonts w:ascii="Garamond" w:hAnsi="Garamond"/>
        </w:rPr>
      </w:pPr>
      <w:r>
        <w:rPr>
          <w:rStyle w:val="Fontdeparagrafimplicit"/>
          <w:rFonts w:ascii="Garamond" w:hAnsi="Garamond"/>
        </w:rPr>
        <w:t>DECIDE:</w:t>
      </w:r>
    </w:p>
    <w:p w:rsidR="001855E6" w14:paraId="3DAC876B" w14:textId="77777777">
      <w:pPr>
        <w:rPr>
          <w:rStyle w:val="Fontdeparagrafimplicit"/>
          <w:rFonts w:ascii="Garamond" w:hAnsi="Garamond"/>
        </w:rPr>
      </w:pPr>
    </w:p>
    <w:p w:rsidR="001855E6" w14:paraId="1ED3DEA7" w14:textId="74F292E1">
      <w:pPr>
        <w:ind w:firstLine="708"/>
        <w:jc w:val="both"/>
        <w:rPr>
          <w:rStyle w:val="Fontdeparagrafimplicit"/>
          <w:rFonts w:ascii="Garamond" w:hAnsi="Garamond"/>
        </w:rPr>
      </w:pPr>
      <w:r>
        <w:rPr>
          <w:rStyle w:val="Fontdeparagrafimplicit"/>
          <w:rFonts w:ascii="Garamond" w:hAnsi="Garamond"/>
        </w:rPr>
        <w:t xml:space="preserve">Respinge ca nefondat, recursul declarat de pârâta DIRECŢIA GENERALĂ A FINANŢELOR PUBLICE </w:t>
      </w:r>
      <w:r w:rsidR="000811CF">
        <w:rPr>
          <w:rStyle w:val="Fontdeparagrafimplicit"/>
          <w:rFonts w:ascii="Garamond" w:hAnsi="Garamond"/>
        </w:rPr>
        <w:t>...Q...</w:t>
      </w:r>
      <w:r>
        <w:rPr>
          <w:rStyle w:val="Fontdeparagrafimplicit"/>
          <w:rFonts w:ascii="Garamond" w:hAnsi="Garamond"/>
        </w:rPr>
        <w:t xml:space="preserve"> ÎN NUMELE ŞI PENTRU ADMINISTRAŢIA FINANŢELOR PUBLICE </w:t>
      </w:r>
      <w:r w:rsidR="000811CF">
        <w:rPr>
          <w:rStyle w:val="Fontdeparagrafimplicit"/>
          <w:rFonts w:ascii="Garamond" w:hAnsi="Garamond"/>
        </w:rPr>
        <w:t>...Z...</w:t>
      </w:r>
      <w:r>
        <w:rPr>
          <w:rStyle w:val="Fontdeparagrafimplicit"/>
          <w:rFonts w:ascii="Garamond" w:hAnsi="Garamond"/>
        </w:rPr>
        <w:t xml:space="preserve">, împotriva sentinţei nr. </w:t>
      </w:r>
      <w:r w:rsidR="000811CF">
        <w:rPr>
          <w:rStyle w:val="Fontdeparagrafimplicit"/>
          <w:rFonts w:ascii="Garamond" w:hAnsi="Garamond"/>
        </w:rPr>
        <w:t>...../...........</w:t>
      </w:r>
      <w:r>
        <w:rPr>
          <w:rStyle w:val="Fontdeparagrafimplicit"/>
          <w:rFonts w:ascii="Garamond" w:hAnsi="Garamond"/>
        </w:rPr>
        <w:t xml:space="preserve">, pronunţată de Tribunalul </w:t>
      </w:r>
      <w:r w:rsidR="000811CF">
        <w:rPr>
          <w:rStyle w:val="Fontdeparagrafimplicit"/>
          <w:rFonts w:ascii="Garamond" w:hAnsi="Garamond"/>
        </w:rPr>
        <w:t>...Q...</w:t>
      </w:r>
      <w:r>
        <w:rPr>
          <w:rStyle w:val="Fontdeparagrafimplicit"/>
          <w:rFonts w:ascii="Garamond" w:hAnsi="Garamond"/>
        </w:rPr>
        <w:t xml:space="preserve">, în dosar nr. </w:t>
      </w:r>
      <w:r w:rsidR="000811CF">
        <w:rPr>
          <w:rStyle w:val="Fontdeparagrafimplicit"/>
          <w:rFonts w:ascii="Garamond" w:hAnsi="Garamond"/>
        </w:rPr>
        <w:t>....../..../2012</w:t>
      </w:r>
      <w:r>
        <w:rPr>
          <w:rStyle w:val="Fontdeparagrafimplicit"/>
          <w:rFonts w:ascii="Garamond" w:hAnsi="Garamond"/>
        </w:rPr>
        <w:t xml:space="preserve">, în contradictoriu cu intimatul reclamant </w:t>
      </w:r>
      <w:r w:rsidR="000811CF">
        <w:rPr>
          <w:rStyle w:val="Fontdeparagrafimplicit"/>
          <w:rFonts w:ascii="Garamond" w:hAnsi="Garamond"/>
        </w:rPr>
        <w:t>...Y...</w:t>
      </w:r>
      <w:r>
        <w:rPr>
          <w:rStyle w:val="Fontdeparagrafimplicit"/>
          <w:rFonts w:ascii="Garamond" w:hAnsi="Garamond"/>
        </w:rPr>
        <w:t xml:space="preserve"> şi intimata pârâtă ADMINISTRAŢIA FONDULUI PENTRU MEDIU, având ca obiect „pretentii”.</w:t>
      </w:r>
    </w:p>
    <w:p w:rsidR="001855E6" w14:paraId="41116AC9" w14:textId="77777777">
      <w:pPr>
        <w:ind w:firstLine="708"/>
        <w:jc w:val="both"/>
        <w:rPr>
          <w:rStyle w:val="Fontdeparagrafimplicit"/>
          <w:rFonts w:ascii="Garamond" w:hAnsi="Garamond"/>
        </w:rPr>
      </w:pPr>
      <w:r>
        <w:rPr>
          <w:rStyle w:val="Fontdeparagrafimplicit"/>
          <w:rFonts w:ascii="Garamond" w:hAnsi="Garamond"/>
        </w:rPr>
        <w:t>Obligă recurenta la 500 lei cheltuieli de judecată către intimatul reclamant.</w:t>
      </w:r>
    </w:p>
    <w:p w:rsidR="001855E6" w14:paraId="543A6AC0" w14:textId="77777777">
      <w:pPr>
        <w:jc w:val="both"/>
        <w:rPr>
          <w:rStyle w:val="Fontdeparagrafimplicit"/>
          <w:rFonts w:ascii="Garamond" w:hAnsi="Garamond"/>
        </w:rPr>
      </w:pPr>
      <w:r>
        <w:rPr>
          <w:rStyle w:val="Fontdeparagrafimplicit"/>
          <w:rFonts w:ascii="Garamond" w:hAnsi="Garamond"/>
        </w:rPr>
        <w:tab/>
        <w:t>Irevocabilă.</w:t>
      </w:r>
    </w:p>
    <w:p w:rsidR="001855E6" w14:paraId="601E1766" w14:textId="7CD1802B">
      <w:pPr>
        <w:ind w:firstLine="708"/>
        <w:rPr>
          <w:rStyle w:val="Fontdeparagrafimplicit"/>
          <w:rFonts w:ascii="Garamond" w:hAnsi="Garamond"/>
        </w:rPr>
      </w:pPr>
      <w:r>
        <w:rPr>
          <w:rStyle w:val="Fontdeparagrafimplicit"/>
          <w:rFonts w:ascii="Garamond" w:hAnsi="Garamond"/>
        </w:rPr>
        <w:t xml:space="preserve">Pronunţată în şedinţa </w:t>
      </w:r>
      <w:r>
        <w:rPr>
          <w:rStyle w:val="Fontdeparagrafimplicit"/>
          <w:rFonts w:ascii="Garamond" w:hAnsi="Garamond"/>
        </w:rPr>
      </w:r>
      <w:bookmarkStart w:name="tip_sedinta_copie_2" w:id="7"/>
      <w:r>
        <w:rPr>
          <w:rStyle w:val="Fontdeparagrafimplicit"/>
          <w:rFonts w:ascii="Garamond" w:hAnsi="Garamond"/>
        </w:rPr>
      </w:r>
      <w:r>
        <w:rPr>
          <w:rStyle w:val="Fontdeparagrafimplicit"/>
          <w:rFonts w:ascii="Garamond" w:hAnsi="Garamond"/>
        </w:rPr>
      </w:r>
      <w:r>
        <w:rPr>
          <w:rStyle w:val="Fontdeparagrafimplicit"/>
          <w:rFonts w:ascii="Garamond" w:hAnsi="Garamond"/>
        </w:rPr>
        <w:t>publică</w:t>
      </w:r>
      <w:r>
        <w:rPr>
          <w:rStyle w:val="Fontdeparagrafimplicit"/>
          <w:rFonts w:ascii="Garamond" w:hAnsi="Garamond"/>
        </w:rPr>
      </w:r>
      <w:bookmarkEnd w:id="7"/>
      <w:r>
        <w:rPr>
          <w:rStyle w:val="Fontdeparagrafimplicit"/>
          <w:rFonts w:ascii="Garamond" w:hAnsi="Garamond"/>
        </w:rPr>
        <w:t xml:space="preserve"> de la </w:t>
      </w:r>
      <w:r w:rsidR="000811CF">
        <w:rPr>
          <w:rStyle w:val="Fontdeparagrafimplicit"/>
          <w:rFonts w:ascii="Garamond" w:hAnsi="Garamond"/>
        </w:rPr>
        <w:t>.............</w:t>
      </w:r>
      <w:r>
        <w:rPr>
          <w:rStyle w:val="Fontdeparagrafimplicit"/>
          <w:rFonts w:ascii="Garamond" w:hAnsi="Garamond"/>
        </w:rPr>
        <w:t>.</w:t>
      </w:r>
    </w:p>
    <w:p w:rsidR="001855E6" w14:paraId="7D74811D" w14:textId="77777777">
      <w:pPr>
        <w:rPr>
          <w:rStyle w:val="Fontdeparagrafimplicit"/>
          <w:rFonts w:ascii="Garamond" w:hAnsi="Garamond"/>
        </w:rPr>
      </w:pPr>
      <w:r>
        <w:rPr>
          <w:rStyle w:val="Fontdeparagrafimplicit"/>
          <w:rFonts w:ascii="Garamond" w:hAnsi="Garamond"/>
        </w:rPr>
      </w:r>
      <w:bookmarkStart w:name="completul_1" w:id="8"/>
      <w:r>
        <w:rPr>
          <w:rStyle w:val="Fontdeparagrafimplicit"/>
          <w:rFonts w:ascii="Garamond" w:hAnsi="Garamond"/>
        </w:rPr>
      </w:r>
      <w:r>
        <w:rPr>
          <w:rStyle w:val="Fontdeparagrafimplicit"/>
          <w:rFonts w:ascii="Garamond" w:hAnsi="Garamond"/>
        </w:rPr>
      </w:r>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tblPr>
      <w:tblGrid>
        <w:gridCol w:w="3095"/>
        <w:gridCol w:w="3096"/>
        <w:gridCol w:w="3096"/>
      </w:tblGrid>
      <w:tr w14:paraId="21815229" w14:textId="77777777">
        <w:tblPrEx>
          <w:tblW w:w="0" w:type="auto"/>
          <w:tblLook w:val="04A0"/>
        </w:tblPrEx>
        <w:tc>
          <w:tcPr>
            <w:tcW w:w="3096" w:type="dxa"/>
          </w:tcPr>
          <w:p w:rsidR="001855E6" w14:paraId="798A264D" w14:textId="77777777">
            <w:pPr>
              <w:jc w:val="center"/>
              <w:rPr>
                <w:rStyle w:val="Fontdeparagrafimplicit"/>
                <w:rFonts w:ascii="Garamond" w:hAnsi="Garamond"/>
              </w:rPr>
            </w:pPr>
            <w:r>
              <w:rPr>
                <w:rStyle w:val="Fontdeparagrafimplicit"/>
                <w:rFonts w:ascii="Garamond" w:hAnsi="Garamond"/>
              </w:rPr>
              <w:t>Preşedinte,</w:t>
            </w:r>
          </w:p>
          <w:p w:rsidR="001855E6" w14:paraId="43EC400C" w14:textId="0EDFB9D3">
            <w:pPr>
              <w:jc w:val="center"/>
              <w:rPr>
                <w:rStyle w:val="Fontdeparagrafimplicit"/>
                <w:rFonts w:ascii="Garamond" w:hAnsi="Garamond"/>
              </w:rPr>
            </w:pPr>
            <w:r>
              <w:rPr>
                <w:rStyle w:val="Fontdeparagrafimplicit"/>
                <w:rFonts w:ascii="Garamond" w:hAnsi="Garamond"/>
              </w:rPr>
              <w:t>...............</w:t>
            </w:r>
          </w:p>
        </w:tc>
        <w:tc>
          <w:tcPr>
            <w:tcW w:w="3096" w:type="dxa"/>
          </w:tcPr>
          <w:p w:rsidR="001855E6" w14:paraId="5961F1BC" w14:textId="77777777">
            <w:pPr>
              <w:jc w:val="center"/>
              <w:rPr>
                <w:rStyle w:val="Fontdeparagrafimplicit"/>
                <w:rFonts w:ascii="Garamond" w:hAnsi="Garamond"/>
              </w:rPr>
            </w:pPr>
            <w:r>
              <w:rPr>
                <w:rStyle w:val="Fontdeparagrafimplicit"/>
                <w:rFonts w:ascii="Garamond" w:hAnsi="Garamond"/>
              </w:rPr>
              <w:t>Judecător,</w:t>
            </w:r>
          </w:p>
          <w:p w:rsidR="001855E6" w14:paraId="1D83B049" w14:textId="66D76D8D">
            <w:pPr>
              <w:jc w:val="center"/>
              <w:rPr>
                <w:rStyle w:val="Fontdeparagrafimplicit"/>
                <w:rFonts w:ascii="Garamond" w:hAnsi="Garamond"/>
              </w:rPr>
            </w:pPr>
            <w:r>
              <w:rPr>
                <w:rStyle w:val="Fontdeparagrafimplicit"/>
                <w:rFonts w:ascii="Garamond" w:hAnsi="Garamond"/>
              </w:rPr>
              <w:t>A0001</w:t>
            </w:r>
          </w:p>
        </w:tc>
        <w:tc>
          <w:tcPr>
            <w:tcW w:w="3096" w:type="dxa"/>
          </w:tcPr>
          <w:p w:rsidR="001855E6" w14:paraId="600EA514" w14:textId="77777777">
            <w:pPr>
              <w:jc w:val="center"/>
              <w:rPr>
                <w:rStyle w:val="Fontdeparagrafimplicit"/>
                <w:rFonts w:ascii="Garamond" w:hAnsi="Garamond"/>
              </w:rPr>
            </w:pPr>
            <w:r>
              <w:rPr>
                <w:rStyle w:val="Fontdeparagrafimplicit"/>
                <w:rFonts w:ascii="Garamond" w:hAnsi="Garamond"/>
              </w:rPr>
              <w:t>Judecător,</w:t>
            </w:r>
          </w:p>
          <w:p w:rsidR="001855E6" w14:paraId="2CDFD1D3" w14:textId="66994610">
            <w:pPr>
              <w:jc w:val="center"/>
              <w:rPr>
                <w:rStyle w:val="Fontdeparagrafimplicit"/>
                <w:rFonts w:ascii="Garamond" w:hAnsi="Garamond"/>
              </w:rPr>
            </w:pPr>
            <w:r>
              <w:rPr>
                <w:rStyle w:val="Fontdeparagrafimplicit"/>
                <w:rFonts w:ascii="Garamond" w:hAnsi="Garamond"/>
              </w:rPr>
              <w:t>...............</w:t>
            </w:r>
          </w:p>
        </w:tc>
      </w:tr>
      <w:tr w14:paraId="598A6EAE" w14:textId="77777777">
        <w:tblPrEx>
          <w:tblW w:w="0" w:type="auto"/>
          <w:tblLook w:val="04A0"/>
        </w:tblPrEx>
        <w:tc>
          <w:tcPr>
            <w:tcW w:w="3096" w:type="dxa"/>
          </w:tcPr>
          <w:p w:rsidR="001855E6" w14:paraId="7939C5CF" w14:textId="77777777">
            <w:pPr>
              <w:jc w:val="center"/>
              <w:rPr>
                <w:rStyle w:val="Fontdeparagrafimplicit"/>
                <w:rFonts w:ascii="Garamond" w:hAnsi="Garamond"/>
              </w:rPr>
            </w:pPr>
          </w:p>
        </w:tc>
        <w:tc>
          <w:tcPr>
            <w:tcW w:w="3096" w:type="dxa"/>
          </w:tcPr>
          <w:p w:rsidR="001855E6" w14:paraId="38668B03" w14:textId="77777777">
            <w:pPr>
              <w:jc w:val="center"/>
              <w:rPr>
                <w:rStyle w:val="Fontdeparagrafimplicit"/>
                <w:rFonts w:ascii="Garamond" w:hAnsi="Garamond"/>
              </w:rPr>
            </w:pPr>
            <w:r>
              <w:rPr>
                <w:rStyle w:val="Fontdeparagrafimplicit"/>
                <w:rFonts w:ascii="Garamond" w:hAnsi="Garamond"/>
              </w:rPr>
              <w:t>Grefier,</w:t>
            </w:r>
          </w:p>
          <w:p w:rsidR="001855E6" w14:paraId="50EFD2D2" w14:textId="7BCC8217">
            <w:pPr>
              <w:jc w:val="center"/>
              <w:rPr>
                <w:rStyle w:val="Fontdeparagrafimplicit"/>
                <w:rFonts w:ascii="Garamond" w:hAnsi="Garamond"/>
              </w:rPr>
            </w:pPr>
            <w:r>
              <w:rPr>
                <w:rStyle w:val="Fontdeparagrafimplicit"/>
                <w:rFonts w:ascii="Garamond" w:hAnsi="Garamond"/>
              </w:rPr>
              <w:t>...............</w:t>
            </w:r>
          </w:p>
        </w:tc>
        <w:tc>
          <w:tcPr>
            <w:tcW w:w="3096" w:type="dxa"/>
          </w:tcPr>
          <w:p w:rsidR="001855E6" w14:paraId="1B77AF3D" w14:textId="77777777">
            <w:pPr>
              <w:jc w:val="center"/>
              <w:rPr>
                <w:rStyle w:val="Fontdeparagrafimplicit"/>
                <w:rFonts w:ascii="Garamond" w:hAnsi="Garamond"/>
              </w:rPr>
            </w:pPr>
          </w:p>
        </w:tc>
      </w:tr>
    </w:tbl>
    <w:p w:rsidR="001855E6" w14:paraId="2EC4F9E8" w14:textId="77777777">
      <w:pPr>
        <w:jc w:val="center"/>
        <w:rPr>
          <w:rStyle w:val="Fontdeparagrafimplicit"/>
          <w:rFonts w:ascii="Garamond" w:hAnsi="Garamond"/>
        </w:rPr>
      </w:pPr>
      <w:r>
        <w:rPr>
          <w:rStyle w:val="Fontdeparagrafimplicit"/>
          <w:rFonts w:ascii="Garamond" w:hAnsi="Garamond"/>
        </w:rPr>
      </w:r>
      <w:bookmarkEnd w:id="8"/>
    </w:p>
    <w:p w:rsidR="001855E6" w14:paraId="55B3F3F3" w14:textId="2C0985D7">
      <w:pPr>
        <w:rPr>
          <w:rStyle w:val="Fontdeparagrafimplicit"/>
          <w:rFonts w:ascii="Garamond" w:hAnsi="Garamond"/>
        </w:rPr>
      </w:pPr>
      <w:r>
        <w:rPr>
          <w:rStyle w:val="Fontdeparagrafimplicit"/>
          <w:rFonts w:ascii="Garamond" w:hAnsi="Garamond"/>
        </w:rPr>
        <w:t>Red.Jud.</w:t>
      </w:r>
      <w:r w:rsidR="001A5533">
        <w:rPr>
          <w:rStyle w:val="Fontdeparagrafimplicit"/>
          <w:rFonts w:ascii="Garamond" w:hAnsi="Garamond"/>
        </w:rPr>
        <w:t>A0001</w:t>
      </w:r>
    </w:p>
    <w:p w:rsidR="001855E6" w14:paraId="73A293BB" w14:textId="399917FC">
      <w:pPr>
        <w:rPr>
          <w:rStyle w:val="Fontdeparagrafimplicit"/>
          <w:rFonts w:ascii="Garamond" w:hAnsi="Garamond"/>
        </w:rPr>
      </w:pPr>
      <w:r>
        <w:rPr>
          <w:rStyle w:val="Fontdeparagrafimplicit"/>
          <w:rFonts w:ascii="Garamond" w:hAnsi="Garamond"/>
        </w:rPr>
        <w:t>Thn.Red.</w:t>
      </w:r>
      <w:r w:rsidR="001A5533">
        <w:rPr>
          <w:rStyle w:val="Fontdeparagrafimplicit"/>
          <w:rFonts w:ascii="Garamond" w:hAnsi="Garamond"/>
        </w:rPr>
        <w:t>...</w:t>
      </w:r>
      <w:r>
        <w:rPr>
          <w:rStyle w:val="Fontdeparagrafimplicit"/>
          <w:rFonts w:ascii="Garamond" w:hAnsi="Garamond"/>
        </w:rPr>
        <w:t>/</w:t>
      </w:r>
      <w:r w:rsidR="001A5533">
        <w:rPr>
          <w:rStyle w:val="Fontdeparagrafimplicit"/>
          <w:rFonts w:ascii="Garamond" w:hAnsi="Garamond"/>
        </w:rPr>
        <w:t>.....</w:t>
      </w:r>
    </w:p>
    <w:p w:rsidR="001855E6" w14:paraId="3F0A60B3" w14:textId="35018C66">
      <w:pPr>
        <w:rPr>
          <w:rStyle w:val="Fontdeparagrafimplicit"/>
          <w:rFonts w:ascii="Garamond" w:hAnsi="Garamond"/>
        </w:rPr>
      </w:pPr>
      <w:r>
        <w:rPr>
          <w:rStyle w:val="Fontdeparagrafimplicit"/>
          <w:rFonts w:ascii="Garamond" w:hAnsi="Garamond"/>
        </w:rPr>
        <w:t xml:space="preserve">Thn.Red. </w:t>
      </w:r>
      <w:r w:rsidR="001A5533">
        <w:rPr>
          <w:rStyle w:val="Fontdeparagrafimplicit"/>
          <w:rFonts w:ascii="Garamond" w:hAnsi="Garamond"/>
        </w:rPr>
        <w:t>......</w:t>
      </w:r>
      <w:r>
        <w:rPr>
          <w:rStyle w:val="Fontdeparagrafimplicit"/>
          <w:rFonts w:ascii="Garamond" w:hAnsi="Garamond"/>
        </w:rPr>
        <w:t>.</w:t>
      </w:r>
    </w:p>
    <w:p w:rsidR="001855E6" w14:paraId="0C2C7EEF" w14:textId="77777777">
      <w:pPr>
        <w:rPr>
          <w:rStyle w:val="Fontdeparagrafimplicit"/>
          <w:rFonts w:ascii="Garamond" w:hAnsi="Garamond"/>
        </w:rPr>
      </w:pPr>
    </w:p>
    <w:p w:rsidR="001855E6" w14:paraId="220E4A61" w14:textId="77777777">
      <w:pPr>
        <w:rPr>
          <w:rStyle w:val="Fontdeparagrafimplicit"/>
          <w:rFonts w:ascii="Garamond" w:hAnsi="Garamond"/>
        </w:rPr>
      </w:pPr>
    </w:p>
    <w:p w:rsidR="001855E6" w14:paraId="19481D85" w14:textId="77777777">
      <w:pPr>
        <w:jc w:val="center"/>
        <w:rPr>
          <w:rStyle w:val="Fontdeparagrafimplicit"/>
          <w:rFonts w:ascii="Garamond" w:hAnsi="Garamond"/>
        </w:rPr>
      </w:pPr>
    </w:p>
    <w:p w:rsidR="001855E6" w14:paraId="7EA12638" w14:textId="77777777">
      <w:pPr>
        <w:jc w:val="center"/>
        <w:rPr>
          <w:rStyle w:val="Fontdeparagrafimplicit"/>
          <w:rFonts w:ascii="Garamond" w:hAnsi="Garamond"/>
        </w:rPr>
      </w:pPr>
    </w:p>
    <w:p w:rsidR="001855E6" w14:paraId="07442750" w14:textId="77777777">
      <w:pPr>
        <w:jc w:val="center"/>
        <w:rPr>
          <w:rStyle w:val="Fontdeparagrafimplicit"/>
          <w:rFonts w:ascii="Garamond" w:hAnsi="Garamond"/>
        </w:rPr>
      </w:pPr>
    </w:p>
    <w:p w:rsidR="001855E6" w14:paraId="5CA4CA01" w14:textId="77777777">
      <w:pPr>
        <w:jc w:val="center"/>
        <w:rPr>
          <w:rStyle w:val="Fontdeparagrafimplicit"/>
          <w:rFonts w:ascii="Garamond" w:hAnsi="Garamond"/>
        </w:rPr>
      </w:pPr>
    </w:p>
    <w:sectPr>
      <w:footerReference w:type="even" r:id="rId4"/>
      <w:footerReference w:type="default" r:id="rId5"/>
      <w:pgSz w:w="11906" w:h="16838"/>
      <w:pgMar w:top="1134" w:right="1134" w:bottom="900"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855E6" w14:paraId="79CF794F"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1855E6" w14:paraId="276DB1E7"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855E6" w14:paraId="057AA830"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1855E6" w14:paraId="4D92F8C0"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oofState w:spelling="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5E6"/>
    <w:rsid w:val="000811CF"/>
    <w:rsid w:val="001855E6"/>
    <w:rsid w:val="001A5533"/>
    <w:rsid w:val="002C0BC3"/>
    <w:rsid w:val="00A01291"/>
    <w:rsid w:val="00BC21CC"/>
  </w:rsids>
  <w:docVars>
    <w:docVar w:name="url" w:val="http://server3:80/ecris_cdms/document_upload.aspx?id_document=5400000000771060&amp;id_departament=5&amp;id_sesiune=723406&amp;id_user=175&amp;id_institutie=54&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2C1ECC0A"/>
  <w15:docId w15:val="{1324D53F-F949-4B35-9DFC-20991B5A3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CharChar1">
    <w:name w:val="Char Char1"/>
    <w:basedOn w:val="Normal"/>
    <w:link w:val="Fontdeparagrafimplicit"/>
    <w:rPr>
      <w:sz w:val="20"/>
      <w:lang w:val="pl-PL"/>
    </w:rPr>
  </w:style>
  <w:style w:type="paragraph" w:customStyle="1" w:styleId="CharCharCaracterCaracterCharChar">
    <w:name w:val="Char Char Caracter Caracter Char Char"/>
    <w:basedOn w:val="Normal"/>
    <w:rPr>
      <w:sz w:val="20"/>
      <w:lang w:val="pl-PL"/>
    </w:rPr>
  </w:style>
  <w:style w:type="paragraph" w:customStyle="1" w:styleId="Subsol">
    <w:name w:val="Subsol"/>
    <w:basedOn w:val="Normal"/>
    <w:pPr>
      <w:tabs>
        <w:tab w:val="center" w:pos="4320"/>
        <w:tab w:val="right" w:pos="8640"/>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link w:val="CharChar1"/>
    <w:rPr>
      <w:sz w:val="20"/>
      <w:lang w:val="pl-PL"/>
    </w:rPr>
  </w:style>
  <w:style w:type="character" w:customStyle="1" w:styleId="Robust">
    <w:name w:val="Robust"/>
    <w:basedOn w:val="Fontdeparagrafimplicit"/>
    <w:rPr>
      <w:b/>
      <w:sz w:val="20"/>
      <w:lang w:val="pl-PL"/>
    </w:rPr>
  </w:style>
  <w:style w:type="character" w:customStyle="1" w:styleId="Accentuat">
    <w:name w:val="Accentuat"/>
    <w:basedOn w:val="Fontdeparagrafimplicit"/>
    <w:rPr>
      <w:i/>
      <w:sz w:val="20"/>
      <w:lang w:val="pl-PL"/>
    </w:rPr>
  </w:style>
  <w:style w:type="character" w:customStyle="1" w:styleId="Numrdepagin">
    <w:name w:val="Număr de pagină"/>
    <w:basedOn w:val="Fontdeparagrafimplicit"/>
    <w:rPr>
      <w:sz w:val="20"/>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12</ap:TotalTime>
  <ap:Pages>4</ap:Pages>
  <ap:Words>3111</ap:Words>
  <ap:Characters>18048</ap:Characters>
  <ap:Application>Microsoft Office Word</ap:Application>
  <ap:DocSecurity>0</ap:DocSecurity>
  <ap:Lines>150</ap:Lines>
  <ap:Paragraphs>42</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21117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2013-06-21T10:51:00.0000000Z</lastPrinted>
  <dc:subject/>
  <dc:description/>
  <keywords/>
  <category/>
  <contentStatus/>
  <dc:identifier/>
  <dc:language/>
  <version/>
</coreProperties>
</file>