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715FA">
      <w:r>
        <w:t>Cod ECLI    ECLI:RO:</w:t>
      </w:r>
      <w:r w:rsidR="00341071">
        <w:t>..............................                                            Hotărârea 27</w:t>
      </w:r>
    </w:p>
    <w:p w:rsidR="004715FA">
      <w:r>
        <w:t xml:space="preserve">Dosar nr. </w:t>
      </w:r>
      <w:r w:rsidR="00BF1CC8">
        <w:t>....</w:t>
      </w:r>
      <w:r>
        <w:t>/</w:t>
      </w:r>
      <w:r w:rsidR="00BF1CC8">
        <w:t>.....</w:t>
      </w:r>
      <w:r>
        <w:t>/2020</w:t>
      </w:r>
    </w:p>
    <w:p w:rsidR="004715FA"/>
    <w:p w:rsidR="004715FA">
      <w:pPr>
        <w:jc w:val="center"/>
      </w:pPr>
      <w:r>
        <w:t>R O M Â N I A</w:t>
      </w:r>
    </w:p>
    <w:p w:rsidR="004715FA">
      <w:pPr>
        <w:jc w:val="center"/>
      </w:pPr>
    </w:p>
    <w:p w:rsidR="004715FA">
      <w:pPr>
        <w:jc w:val="center"/>
      </w:pPr>
      <w:r>
        <w:t xml:space="preserve">CURTEA DE APEL </w:t>
      </w:r>
      <w:r w:rsidR="00BF1CC8">
        <w:t>...X...</w:t>
      </w:r>
    </w:p>
    <w:p w:rsidR="004715FA">
      <w:pPr>
        <w:jc w:val="center"/>
        <w:rPr>
          <w:rStyle w:val="Fontdeparagrafimplicit"/>
          <w:lang w:val="en-US"/>
        </w:rPr>
      </w:pPr>
      <w:r>
        <w:t>SECŢIA CONTENCIOS ADMINISTRATIV SI FISCAL</w:t>
      </w:r>
    </w:p>
    <w:p w:rsidR="004715FA">
      <w:pPr>
        <w:jc w:val="center"/>
      </w:pPr>
      <w:r>
        <w:rPr>
          <w:rStyle w:val="Fontdeparagrafimplicit"/>
          <w:lang w:val="en-US"/>
        </w:rPr>
      </w:r>
      <w:bookmarkStart w:name="tip_incheiere" w:id="0"/>
      <w:r>
        <w:t>DECIZIE</w:t>
      </w:r>
      <w:bookmarkEnd w:id="0"/>
      <w:r>
        <w:t xml:space="preserve"> Nr. </w:t>
      </w:r>
      <w:r w:rsidR="00BF1CC8">
        <w:t>.....</w:t>
      </w:r>
      <w:r>
        <w:t>/</w:t>
      </w:r>
      <w:r w:rsidR="00BF1CC8">
        <w:t>......</w:t>
      </w:r>
    </w:p>
    <w:p w:rsidR="004715FA">
      <w:pPr>
        <w:jc w:val="center"/>
      </w:pPr>
      <w:r>
        <w:t>Şedinţa </w:t>
      </w:r>
      <w:bookmarkStart w:name="tip_sedinta" w:id="1"/>
      <w:r>
        <w:t>publică</w:t>
      </w:r>
      <w:bookmarkEnd w:id="1"/>
      <w:r>
        <w:t xml:space="preserve"> de la </w:t>
      </w:r>
      <w:r w:rsidR="00BF1CC8">
        <w:t>................</w:t>
      </w:r>
      <w:r>
        <w:t xml:space="preserve"> </w:t>
      </w:r>
    </w:p>
    <w:p w:rsidR="004715FA">
      <w:pPr>
        <w:jc w:val="center"/>
      </w:pPr>
      <w:r>
        <w:t>Completul compus din:</w:t>
      </w:r>
    </w:p>
    <w:p w:rsidR="004715FA">
      <w:pPr>
        <w:jc w:val="center"/>
      </w:pPr>
      <w:r>
        <w:t xml:space="preserve">PREŞEDINTE </w:t>
      </w:r>
      <w:r w:rsidR="00BF1CC8">
        <w:t>A0001</w:t>
      </w:r>
    </w:p>
    <w:p w:rsidR="004715FA">
      <w:pPr>
        <w:jc w:val="center"/>
      </w:pPr>
      <w:r>
        <w:t xml:space="preserve">Judecător </w:t>
      </w:r>
      <w:r w:rsidR="00BF1CC8">
        <w:t>................</w:t>
      </w:r>
    </w:p>
    <w:p w:rsidR="004715FA">
      <w:pPr>
        <w:jc w:val="center"/>
      </w:pPr>
      <w:r>
        <w:t xml:space="preserve">Judecător </w:t>
      </w:r>
      <w:r w:rsidR="00BF1CC8">
        <w:t>................</w:t>
      </w:r>
    </w:p>
    <w:p w:rsidR="004715FA">
      <w:pPr>
        <w:jc w:val="center"/>
      </w:pPr>
      <w:r>
        <w:t xml:space="preserve">Grefier </w:t>
      </w:r>
      <w:r w:rsidR="00BF1CC8">
        <w:t>................</w:t>
      </w:r>
    </w:p>
    <w:p w:rsidR="004715FA">
      <w:pPr>
        <w:jc w:val="center"/>
      </w:pPr>
    </w:p>
    <w:p w:rsidR="004715FA">
      <w:pPr>
        <w:jc w:val="center"/>
      </w:pPr>
      <w:bookmarkStart w:name="nume_procuror" w:id="2"/>
      <w:bookmarkEnd w:id="2"/>
    </w:p>
    <w:p w:rsidR="004715FA">
      <w:pPr>
        <w:ind w:firstLine="708"/>
        <w:jc w:val="both"/>
      </w:pPr>
      <w:r>
        <w:t xml:space="preserve">S-a luat în examinare contestaţia în anulare formulată de contestatoarea </w:t>
      </w:r>
      <w:bookmarkStart w:name="_Hlk236662332" w:id="3"/>
      <w:r>
        <w:t xml:space="preserve">SC </w:t>
      </w:r>
      <w:r w:rsidR="00B705E1">
        <w:t>...Z...</w:t>
      </w:r>
      <w:r>
        <w:t xml:space="preserve"> SRL </w:t>
      </w:r>
      <w:r w:rsidR="00B705E1">
        <w:t>...A...</w:t>
      </w:r>
      <w:r>
        <w:t>-DE</w:t>
      </w:r>
      <w:r>
        <w:t xml:space="preserve">NUMIRE ŞI SEDIU SOCIAL SCHIMBATE ÎN SC </w:t>
      </w:r>
      <w:r w:rsidR="00B705E1">
        <w:t>...W...</w:t>
      </w:r>
      <w:r>
        <w:t xml:space="preserve"> SRL</w:t>
      </w:r>
      <w:bookmarkEnd w:id="3"/>
      <w:r>
        <w:t xml:space="preserve"> împotriva deciziei nr. </w:t>
      </w:r>
      <w:r w:rsidR="00B705E1">
        <w:t>..../.............</w:t>
      </w:r>
      <w:r>
        <w:t xml:space="preserve"> pronunţată de Curtea de Apel </w:t>
      </w:r>
      <w:r w:rsidR="00BF1CC8">
        <w:t>...X...</w:t>
      </w:r>
      <w:r>
        <w:t xml:space="preserve"> în </w:t>
      </w:r>
      <w:bookmarkStart w:name="_Hlk236662141" w:id="4"/>
      <w:r>
        <w:t xml:space="preserve">dosarul nr. </w:t>
      </w:r>
      <w:r w:rsidR="00BF1CC8">
        <w:t>..x../..../2018</w:t>
      </w:r>
      <w:bookmarkEnd w:id="4"/>
      <w:r>
        <w:t xml:space="preserve">, în contradictoriu cu intimatul MUNICIPIUL </w:t>
      </w:r>
      <w:r w:rsidR="00B705E1">
        <w:t>...Q...</w:t>
      </w:r>
      <w:r>
        <w:t xml:space="preserve"> REPREZENTATĂ PRIN P</w:t>
      </w:r>
      <w:r>
        <w:t xml:space="preserve">RIMARUL MUNICIPIULUI </w:t>
      </w:r>
      <w:r w:rsidR="00B705E1">
        <w:t>...Q...</w:t>
      </w:r>
      <w:r>
        <w:t>.</w:t>
      </w:r>
    </w:p>
    <w:p w:rsidR="004715FA">
      <w:pPr>
        <w:ind w:firstLine="708"/>
        <w:jc w:val="both"/>
      </w:pPr>
      <w:r>
        <w:t xml:space="preserve">La apelul nominal făcut în şedinţa </w:t>
      </w:r>
      <w:r>
        <w:t>publică</w:t>
      </w:r>
      <w:r>
        <w:t xml:space="preserve"> a răspuns consilier juridic </w:t>
      </w:r>
      <w:r w:rsidR="00BF1CC8">
        <w:t>.................</w:t>
      </w:r>
      <w:r>
        <w:t xml:space="preserve"> pentru intimatul reclamant, lipsă fiind reprezentantul contestatoarei.</w:t>
      </w:r>
    </w:p>
    <w:p w:rsidR="004715FA">
      <w:pPr>
        <w:ind w:firstLine="708"/>
        <w:jc w:val="both"/>
      </w:pPr>
      <w:r>
        <w:t xml:space="preserve">Procedura </w:t>
      </w:r>
      <w:r>
        <w:t>legal</w:t>
      </w:r>
      <w:r>
        <w:t xml:space="preserve"> îndeplinită.</w:t>
      </w:r>
    </w:p>
    <w:p w:rsidR="004715FA">
      <w:pPr>
        <w:ind w:firstLine="708"/>
        <w:jc w:val="both"/>
      </w:pPr>
      <w:r>
        <w:t>S-a făcu</w:t>
      </w:r>
      <w:r>
        <w:t xml:space="preserve">t </w:t>
      </w:r>
      <w:r>
        <w:t>referatul</w:t>
      </w:r>
      <w:r>
        <w:t xml:space="preserve"> cauzei de către </w:t>
      </w:r>
      <w:r>
        <w:t>grefier</w:t>
      </w:r>
      <w:r>
        <w:t xml:space="preserve"> </w:t>
      </w:r>
      <w:r>
        <w:t>care învederează</w:t>
      </w:r>
      <w:r>
        <w:t xml:space="preserve"> că a fost depusă dovada achitării taxei de timbru în cuantum de 100 lei, iar intimata a depus întâmpinare, după care,</w:t>
      </w:r>
    </w:p>
    <w:p w:rsidR="004715FA">
      <w:pPr>
        <w:ind w:firstLine="708"/>
        <w:jc w:val="both"/>
      </w:pPr>
      <w:r>
        <w:t xml:space="preserve">Consilier juridic </w:t>
      </w:r>
      <w:r w:rsidR="00BF1CC8">
        <w:t>.................</w:t>
      </w:r>
      <w:r>
        <w:t xml:space="preserve"> pentru </w:t>
      </w:r>
      <w:r>
        <w:t>intimatul reclamant depune la dosar împuternicire de reprezentare juridică şi precizează că nu are alte cereri de formulat.</w:t>
      </w:r>
    </w:p>
    <w:p w:rsidR="004715FA">
      <w:pPr>
        <w:ind w:firstLine="708"/>
        <w:jc w:val="both"/>
      </w:pPr>
      <w:r>
        <w:t>Curtea, constatând cauza în stare de judecată, declară dezbaterile închise şi acordă cuvântul părţii prezente pentru a pune concluzi</w:t>
      </w:r>
      <w:r>
        <w:t>i.</w:t>
      </w:r>
    </w:p>
    <w:p w:rsidR="004715FA">
      <w:pPr>
        <w:ind w:firstLine="708"/>
        <w:jc w:val="both"/>
      </w:pPr>
      <w:r>
        <w:t xml:space="preserve">Consilier juridic </w:t>
      </w:r>
      <w:r w:rsidR="00BF1CC8">
        <w:t>.................</w:t>
      </w:r>
      <w:r>
        <w:t xml:space="preserve"> pentru intimatul reclamant învederează că motivele invocate în contestaţie nu se circumscriu motivelor prev. de art. 503 C. pr. civ., motiv pentru care solicită respingerea contestaţiei ca inadmisibilă. În situaţia</w:t>
      </w:r>
      <w:r>
        <w:t xml:space="preserve"> în care se va trece peste această apărare, solicită respingerea contestaţiei ca nefondată, întrucât termenul de exercitare a recursului este prev. de Legea nr. 101/2016, respectiv 10 zile, astfel încât calea de atac depusă  la data de 20.12.2019 este în a</w:t>
      </w:r>
      <w:r>
        <w:t>fara termenului prevăzut de lege.</w:t>
      </w:r>
    </w:p>
    <w:p w:rsidR="004715FA">
      <w:pPr>
        <w:ind w:firstLine="720"/>
      </w:pPr>
    </w:p>
    <w:p w:rsidR="004715FA">
      <w:pPr>
        <w:jc w:val="center"/>
      </w:pPr>
      <w:r>
        <w:t>C U R T E A</w:t>
      </w:r>
    </w:p>
    <w:p w:rsidR="004715FA">
      <w:pPr>
        <w:jc w:val="center"/>
      </w:pPr>
    </w:p>
    <w:p w:rsidR="004715FA">
      <w:pPr>
        <w:ind w:firstLine="708"/>
        <w:jc w:val="both"/>
      </w:pPr>
      <w:r>
        <w:t>Asupra contestaţiei în anulare de faţă;</w:t>
      </w:r>
    </w:p>
    <w:p w:rsidR="004715FA">
      <w:pPr>
        <w:ind w:firstLine="708"/>
        <w:jc w:val="both"/>
      </w:pPr>
      <w:r>
        <w:t xml:space="preserve">Prin decizia nr. </w:t>
      </w:r>
      <w:r w:rsidR="00B705E1">
        <w:t>..../.............</w:t>
      </w:r>
      <w:r>
        <w:t xml:space="preserve"> pronunţată de Curtea de Apel </w:t>
      </w:r>
      <w:r w:rsidR="00BF1CC8">
        <w:t>...X...</w:t>
      </w:r>
      <w:r>
        <w:t xml:space="preserve"> în dosarul nr. </w:t>
      </w:r>
      <w:r w:rsidR="00BF1CC8">
        <w:t>..x../..../2018</w:t>
      </w:r>
      <w:r>
        <w:t xml:space="preserve"> s-a anulat recursul formulat de recurenta-pârâtă SC </w:t>
      </w:r>
      <w:r w:rsidR="00B705E1">
        <w:t>...Z...</w:t>
      </w:r>
      <w:r>
        <w:t xml:space="preserve"> </w:t>
      </w:r>
      <w:r>
        <w:t xml:space="preserve">SRL </w:t>
      </w:r>
      <w:r w:rsidR="00B705E1">
        <w:t>...A...</w:t>
      </w:r>
      <w:r>
        <w:t xml:space="preserve"> împotriva sentinţei nr. </w:t>
      </w:r>
      <w:r w:rsidR="00B705E1">
        <w:t>..../.............</w:t>
      </w:r>
      <w:r>
        <w:t xml:space="preserve"> pronunţată de Tribunalul </w:t>
      </w:r>
      <w:r w:rsidR="00B705E1">
        <w:t>...Y...</w:t>
      </w:r>
      <w:r>
        <w:t xml:space="preserve"> Secţia </w:t>
      </w:r>
      <w:r w:rsidR="00B705E1">
        <w:t>......</w:t>
      </w:r>
      <w:r>
        <w:t xml:space="preserve"> Civilă, de Contencios Administrativ şi Fiscal în dosarul nr. </w:t>
      </w:r>
      <w:r w:rsidR="00BF1CC8">
        <w:t>..x../..../2018</w:t>
      </w:r>
      <w:r>
        <w:t xml:space="preserve">, în contradictoriu cu intimatul-reclamant MUNICIPIUL </w:t>
      </w:r>
      <w:r w:rsidR="00B705E1">
        <w:t>...Q...</w:t>
      </w:r>
      <w:r>
        <w:t xml:space="preserve"> REPREZENTAT PRIN PRIMARUL MU</w:t>
      </w:r>
      <w:r>
        <w:t xml:space="preserve">NICIPIULUI </w:t>
      </w:r>
      <w:r w:rsidR="00B705E1">
        <w:t>...Q...</w:t>
      </w:r>
      <w:r>
        <w:t>, ca tardiv.</w:t>
      </w:r>
    </w:p>
    <w:p w:rsidR="004715FA">
      <w:pPr>
        <w:ind w:firstLine="708"/>
        <w:jc w:val="both"/>
        <w:rPr>
          <w:rStyle w:val="Fontdeparagrafimplicit"/>
          <w:i/>
        </w:rPr>
      </w:pPr>
      <w:r>
        <w:t xml:space="preserve">Împotriva acestei decizii a formulat contestaţie în anulare recurenta pârâtă SC </w:t>
      </w:r>
      <w:r w:rsidR="00B705E1">
        <w:t>...Z...</w:t>
      </w:r>
      <w:r>
        <w:t xml:space="preserve"> SRL </w:t>
      </w:r>
      <w:r w:rsidR="00B705E1">
        <w:t>...A...</w:t>
      </w:r>
      <w:r>
        <w:rPr>
          <w:rStyle w:val="Fontdeparagrafimplicit"/>
          <w:i/>
        </w:rPr>
        <w:t xml:space="preserve">. </w:t>
      </w:r>
    </w:p>
    <w:p w:rsidR="004715FA">
      <w:pPr>
        <w:ind w:firstLine="708"/>
        <w:jc w:val="both"/>
        <w:rPr>
          <w:rStyle w:val="Fontdeparagrafimplicit"/>
          <w:i/>
        </w:rPr>
      </w:pPr>
      <w:r>
        <w:t>În motivare, contestatoarea a susţinut următoarele:</w:t>
      </w:r>
      <w:r>
        <w:rPr>
          <w:rStyle w:val="Fontdeparagrafimplicit"/>
          <w:i/>
        </w:rPr>
        <w:t xml:space="preserve"> </w:t>
      </w:r>
    </w:p>
    <w:p w:rsidR="004715FA">
      <w:pPr>
        <w:ind w:firstLine="708"/>
        <w:jc w:val="both"/>
      </w:pPr>
      <w:r>
        <w:t>Instanţa a reţinut ca prin derogare de la dispozițiile de drept</w:t>
      </w:r>
      <w:r>
        <w:t xml:space="preserve"> comun prevăzute de art.485 C.pr.civ., în speță sunt aplicabile dispozițiile art. 55 alin.3 din Legea nr. 101/2016 care prevede ca termenul de recurs este de 10 zile de la data comunicării hotărârii, termen care se calculează potrivit dispozițiilor art. 5 </w:t>
      </w:r>
      <w:r>
        <w:t>alin. l si 2 din Legea nr. 101/2016.</w:t>
      </w:r>
    </w:p>
    <w:p w:rsidR="004715FA">
      <w:pPr>
        <w:ind w:firstLine="708"/>
        <w:jc w:val="both"/>
      </w:pPr>
      <w:r>
        <w:t>Instanța a reţinut că hotărârea a fost comunicată la data de 05.12.2019, iar cererea de recurs a fost depusă la data de 20.12.2019, conform datei de pe plic, fiind astfel in afara termenului procedural de  10 zile.</w:t>
      </w:r>
    </w:p>
    <w:p w:rsidR="004715FA">
      <w:pPr>
        <w:ind w:firstLine="708"/>
        <w:jc w:val="both"/>
      </w:pPr>
      <w:r>
        <w:t>De a</w:t>
      </w:r>
      <w:r>
        <w:t>semenea, instanţa a reţinut că indicarea unui alt termen de recurs in dispozitivul hotărârii recurate este irelevanta, nefiind de natura a proroga termenul legal de recurs.</w:t>
      </w:r>
    </w:p>
    <w:p w:rsidR="004715FA">
      <w:pPr>
        <w:ind w:firstLine="708"/>
        <w:jc w:val="both"/>
      </w:pPr>
      <w:r>
        <w:t>A susţinut că hotărârea instanței este nelegală în raport cu prevederile art. 457 a</w:t>
      </w:r>
      <w:r>
        <w:t>lin. 2 teza a II-a C.pr.civ prin care legiuitorul a prevazut ca ”Mentiunea inexacta din cuprinsul hotararii cu privire la calea dc atac deschisa contra acesteia nu are niciun efect asupra dreptului de a exercita calea de atac prevăzută de lege. Indicarea i</w:t>
      </w:r>
      <w:r>
        <w:t>n mod gresit de catre instanta a termenului pentru exercitarea caii de atac constituie cauza de repunere in termen din oficiu a caii de atac exercitate cu respectarea indicației greșite a instantei”, astfel, instanta din eroare nu a aplicat aceste dispozit</w:t>
      </w:r>
      <w:r>
        <w:t>ii si, in mod gresit, a respins recursul ca tardiv formulat.</w:t>
      </w:r>
    </w:p>
    <w:p w:rsidR="004715FA">
      <w:pPr>
        <w:ind w:firstLine="708"/>
        <w:jc w:val="both"/>
      </w:pPr>
      <w:r>
        <w:t>A arătat că recursul a fost formulat in termenul de 15 zile aşa cum a fost indicat in hotărârea recurată. Hotararea a fost comunicata la data de 05.12.2020 si recursul a fost depus la data de 20.</w:t>
      </w:r>
      <w:r>
        <w:t>12.2020, deci, în interiorul termenului de 15 zile calculat conform dispozițiilor art. 5 alin. 1 si 2 din Legea nr. 101/2016</w:t>
      </w:r>
    </w:p>
    <w:p w:rsidR="004715FA">
      <w:pPr>
        <w:ind w:firstLine="708"/>
        <w:jc w:val="both"/>
      </w:pPr>
      <w:r>
        <w:t>A apreciat că nu sunt incidente prevederile art. 185 alin, 1 C.pr.civ care prevad sancțiunea decăderii din exercitarea dreptului in</w:t>
      </w:r>
      <w:r>
        <w:t xml:space="preserve"> cazul nerespectării termenului in care trebuie exercitat un drept procesual, deoarece legea prevede in mod expres in art. 457 alin. 2 teza a II-a C.pr.civ., că în cazul indicării în mod gresit în hotărârea pronunțată a termenului pentru exercitarea caii d</w:t>
      </w:r>
      <w:r>
        <w:t>e atac instanța are îndatorirea de a repune în termen din oficiu a caii de atac exercitate cu respectarea indicaţiei greşite a instanţei. Instanta a indicat termenul de 15 zile pentru exercitarea recursului in hotărârea nr.</w:t>
      </w:r>
      <w:r w:rsidR="00B705E1">
        <w:t>..../.............</w:t>
      </w:r>
      <w:r>
        <w:t xml:space="preserve"> pronuntata de Trib</w:t>
      </w:r>
      <w:r>
        <w:t xml:space="preserve">unalul </w:t>
      </w:r>
      <w:r w:rsidR="00B705E1">
        <w:t>...Y...</w:t>
      </w:r>
      <w:r>
        <w:t xml:space="preserve">, sectia </w:t>
      </w:r>
      <w:r w:rsidR="00B705E1">
        <w:t>......</w:t>
      </w:r>
      <w:r>
        <w:t xml:space="preserve"> civila de contencios administrativ si fiscal, termen înăuntrul caruia a fost exercitata in mod legal calea de atac.</w:t>
      </w:r>
    </w:p>
    <w:p w:rsidR="004715FA">
      <w:pPr>
        <w:ind w:firstLine="708"/>
        <w:jc w:val="both"/>
      </w:pPr>
      <w:r>
        <w:t xml:space="preserve">A arătat ca, potrivit art. 3 alin.2 C.pr.civ, este prevazut ca ”dispozițiile prezentului cod se aplica si in alte </w:t>
      </w:r>
      <w:r>
        <w:t>materii, in masura in care legile care le reglementează nu cuprind dispoziții contrare", iar in Legea 101/2016 nu sunt dispoziții contrare in ceea ce priveste aplicarea art.457 alin. 2 teza a II-a C..pr.civ.</w:t>
      </w:r>
    </w:p>
    <w:p w:rsidR="004715FA">
      <w:pPr>
        <w:ind w:firstLine="708"/>
        <w:jc w:val="both"/>
      </w:pPr>
      <w:r>
        <w:t>Pentru aceste motive a solicitat admiterea conte</w:t>
      </w:r>
      <w:r>
        <w:t xml:space="preserve">staţiei in anulare declarată împotriva hotărârii nr. </w:t>
      </w:r>
      <w:r w:rsidR="00B705E1">
        <w:t>....</w:t>
      </w:r>
      <w:r>
        <w:t>/</w:t>
      </w:r>
      <w:r w:rsidR="00B705E1">
        <w:t>....</w:t>
      </w:r>
      <w:r>
        <w:t xml:space="preserve"> pronuntata la data de </w:t>
      </w:r>
      <w:r w:rsidR="00B705E1">
        <w:t>..................</w:t>
      </w:r>
      <w:r>
        <w:t xml:space="preserve"> de Curtea de Apel </w:t>
      </w:r>
      <w:r w:rsidR="00BF1CC8">
        <w:t>...X...</w:t>
      </w:r>
      <w:r>
        <w:t xml:space="preserve"> in dosarul nr. </w:t>
      </w:r>
      <w:r w:rsidR="00BF1CC8">
        <w:t>..x../..../2018</w:t>
      </w:r>
      <w:r>
        <w:t>, să fie anulată hotărârea atacata si sa se soluţioneze calea de atac formulata.</w:t>
      </w:r>
    </w:p>
    <w:p w:rsidR="004715FA">
      <w:pPr>
        <w:ind w:firstLine="708"/>
        <w:jc w:val="both"/>
      </w:pPr>
      <w:r>
        <w:t xml:space="preserve">Intimatul Municipiul </w:t>
      </w:r>
      <w:r w:rsidR="00B705E1">
        <w:t>...Q...</w:t>
      </w:r>
      <w:r>
        <w:t xml:space="preserve"> a formulat întâmpinare prin care a solicitat respingerea contestaţiei ca inadmisibilă, întrucât motivele invocate nu se încadrează în motivele prev. de art. 503 C. pr. civ. În situaţia în care se va trece peste această excepţie, a solicitat respingerea </w:t>
      </w:r>
      <w:r>
        <w:t>contestaţiei ca nefondată, motivat de faptul că la pronunţarea deciziei contestate instanţa a avut în vedere şi a analizat toate aspectele referitoare la dosarul cauzei, fiind evident faptul că anularea cererii de recurs nu a fost rezultatul unei erori mat</w:t>
      </w:r>
      <w:r>
        <w:t>eriale.</w:t>
      </w:r>
    </w:p>
    <w:p w:rsidR="004715FA">
      <w:pPr>
        <w:ind w:firstLine="708"/>
        <w:jc w:val="both"/>
        <w:rPr>
          <w:rStyle w:val="Fontdeparagrafimplicit"/>
          <w:b/>
        </w:rPr>
      </w:pPr>
      <w:r>
        <w:rPr>
          <w:rStyle w:val="Fontdeparagrafimplicit"/>
          <w:b/>
        </w:rPr>
        <w:t>Analizând criticile formulate, în raport de dispoziţiile legale aplicabile, Curtea reţine următoarele:</w:t>
      </w:r>
    </w:p>
    <w:p w:rsidR="004715FA">
      <w:pPr>
        <w:ind w:firstLine="708"/>
        <w:jc w:val="both"/>
      </w:pPr>
      <w:r>
        <w:t>Ca temei de drept în susținerea contestației în anulare au fost invocate dispozițiile art.503 alin.2 pct.2 și 4 din c.p.c., respectiv atunci când</w:t>
      </w:r>
      <w:r>
        <w:t xml:space="preserve"> dezlegarea dată recursului este rezultatul unei erori materiale iar instanța de recurs nu s-a pronunțat asupra unuia din recursurile declarate în cauză.</w:t>
      </w:r>
    </w:p>
    <w:p w:rsidR="004715FA">
      <w:pPr>
        <w:ind w:firstLine="708"/>
        <w:jc w:val="both"/>
      </w:pPr>
      <w:r>
        <w:t>În ceea ce privește dispozițiile art.503 alin.2 pct.4 din c.p.c., curtea constată că acesta nu poate f</w:t>
      </w:r>
      <w:r>
        <w:t>i incident în cauză deoarece ipoteza la care se referă este aceea în care instanța de recurs a fost investită cu soluționarea mai multor recursuri, și a omis să se pronunțe asupra tuturor, or în dosarul în care s-a pronunțat decizia nr.</w:t>
      </w:r>
      <w:r w:rsidR="00B705E1">
        <w:t>..../.............</w:t>
      </w:r>
      <w:r>
        <w:t xml:space="preserve"> împot</w:t>
      </w:r>
      <w:r>
        <w:t>riva căreia s-a formulat contestație în anulare în prezenta cauză, instanța a fost investită doar cu soluționarea unui singur recurs.</w:t>
      </w:r>
    </w:p>
    <w:p w:rsidR="004715FA">
      <w:pPr>
        <w:ind w:firstLine="708"/>
        <w:jc w:val="both"/>
      </w:pPr>
      <w:r>
        <w:t>Referitor la dispozițiile art.503 alin.2 pct.2 din c.p.c., doctrina și jurisprudența sunt unanime în a aprecia că prin ,,e</w:t>
      </w:r>
      <w:r>
        <w:t>rori materiale,, în sensul acestui articol trebuie înțelese acele greșeli de fapt, involuntare, în legătură cu aspecte formale ale recursului, care au avut drept consecință soluționarea greșită a acestei căi de atac, iar nu greșeli de judecată, cum ar fi c</w:t>
      </w:r>
      <w:r>
        <w:t>ele de apreciere a probelor, de interpretare a unor dispoziții legale sau de rezolvare a unui incident procedural.</w:t>
      </w:r>
    </w:p>
    <w:p w:rsidR="004715FA">
      <w:pPr>
        <w:ind w:firstLine="708"/>
        <w:jc w:val="both"/>
      </w:pPr>
      <w:r>
        <w:t>În speță, contestatorul pârât a invocat ca și greșeală materială în sensul articolului sus menționat aspectul că instanța de recurs nu a apli</w:t>
      </w:r>
      <w:r>
        <w:t xml:space="preserve">cat dispozițiile art.457 alin.2 teza a II -a din </w:t>
      </w:r>
      <w:r>
        <w:t xml:space="preserve">c.p.c. atunci când a respins recursul ca tardiv formulat, însă curtea apreciază că invocarea acestei critici nu se poate face pe calea contestației în anulare deoarece nu este vorba de o eroare materială în </w:t>
      </w:r>
      <w:r>
        <w:t>sensul art.503 alin.2 pct.2 din c.p.c., ci de o eventuală eroare de judecată deoarece vizează modul de rezolvare de instanță a unui incident procedural.</w:t>
      </w:r>
    </w:p>
    <w:p w:rsidR="004715FA">
      <w:pPr>
        <w:ind w:firstLine="708"/>
        <w:jc w:val="both"/>
      </w:pPr>
      <w:r>
        <w:t xml:space="preserve">De altfel, suplimentar, curtea observă că dispozițiile legale invocate de contestator ca și aplicabile </w:t>
      </w:r>
      <w:r>
        <w:t>în cazul său, respectiv art.457 alin.2 teza a II-a din c.p.c., au fost introduse prin Legea nr.310 din 17.12.2018 publicată în Monitorul Oficial nr.1074 din 18.12.2018 și deci nici nu erau în vigoare la data introducerii acțiunii la instanța de fond (18 iu</w:t>
      </w:r>
      <w:r>
        <w:t xml:space="preserve">lie 2018), neputând fi astfel incidente prin raportare la prevederile art.24 din c.p.c. care prevăd că dispozițiile legii noi de procedură se aplică numai proceselor și executărilor silite începute după intrarea ei în vigoare, iar la stabilirea termenului </w:t>
      </w:r>
      <w:r>
        <w:t>de 10 zile pentru exercitarea căii de atac instanța de recurs a avut în vedere tocmai temeiul de drept al acțiunii introductive și modul în care a fost înregistrat dosarul la tribunal, respectiv litigiu privind achizițiile publice.</w:t>
      </w:r>
    </w:p>
    <w:p w:rsidR="004715FA">
      <w:pPr>
        <w:ind w:firstLine="708"/>
        <w:jc w:val="both"/>
      </w:pPr>
      <w:r>
        <w:t>Având în vedere aceste c</w:t>
      </w:r>
      <w:r>
        <w:t>onsiderente din care nu rezultă existența celor două motive de contestație în anulare invocate, curtea urmează ca în baza art.508 din c.p.c. să respingă contestația ca nefondată.</w:t>
      </w:r>
    </w:p>
    <w:p w:rsidR="004715FA">
      <w:pPr>
        <w:ind w:firstLine="708"/>
        <w:jc w:val="both"/>
      </w:pPr>
    </w:p>
    <w:p w:rsidR="004715FA"/>
    <w:p w:rsidR="004715FA">
      <w:pPr>
        <w:jc w:val="center"/>
      </w:pPr>
      <w:r>
        <w:t>PENTRU ACESTE MOTIVE,</w:t>
      </w:r>
      <w:r>
        <w:br/>
        <w:t>ÎN NUMELE LEGII</w:t>
      </w:r>
    </w:p>
    <w:p w:rsidR="004715FA">
      <w:pPr>
        <w:jc w:val="center"/>
      </w:pPr>
      <w:r>
        <w:t>DECIDE</w:t>
      </w:r>
    </w:p>
    <w:p w:rsidR="004715FA"/>
    <w:p w:rsidR="004715FA">
      <w:pPr>
        <w:ind w:firstLine="708"/>
        <w:jc w:val="both"/>
      </w:pPr>
      <w:r>
        <w:t>Respinge contestaţia în anula</w:t>
      </w:r>
      <w:r>
        <w:t xml:space="preserve">re formulată de contestatoarea SC </w:t>
      </w:r>
      <w:r w:rsidR="00B705E1">
        <w:t>...Z...</w:t>
      </w:r>
      <w:r>
        <w:t xml:space="preserve"> SRL </w:t>
      </w:r>
      <w:r w:rsidR="00B705E1">
        <w:t>...A...</w:t>
      </w:r>
      <w:r>
        <w:t xml:space="preserve">-DENUMIRE ŞI SEDIU SOCIAL SCHIMBATE ÎN SC </w:t>
      </w:r>
      <w:r w:rsidR="00B705E1">
        <w:t>...W...</w:t>
      </w:r>
      <w:r>
        <w:t xml:space="preserve"> SRL împotriva deciziei nr. </w:t>
      </w:r>
      <w:r w:rsidR="00B705E1">
        <w:t>..../.............</w:t>
      </w:r>
      <w:r>
        <w:t xml:space="preserve"> pronunţată de Curtea de Apel </w:t>
      </w:r>
      <w:r w:rsidR="00BF1CC8">
        <w:t>...X...</w:t>
      </w:r>
      <w:r>
        <w:t xml:space="preserve"> în dosarul nr. </w:t>
      </w:r>
      <w:r w:rsidR="00BF1CC8">
        <w:t>..x../..../2018</w:t>
      </w:r>
      <w:r>
        <w:t>, în con</w:t>
      </w:r>
      <w:r>
        <w:t xml:space="preserve">tradictoriu cu intimatul MUNICIPIUL </w:t>
      </w:r>
      <w:r w:rsidR="00B705E1">
        <w:t>...Q...</w:t>
      </w:r>
      <w:r>
        <w:t xml:space="preserve"> REPREZENTATĂ PRIN PRIMARUL MUNICIPIULUI </w:t>
      </w:r>
      <w:r w:rsidR="00B705E1">
        <w:t>...Q...</w:t>
      </w:r>
      <w:r>
        <w:t>, ca nefondată.</w:t>
      </w:r>
    </w:p>
    <w:p w:rsidR="004715FA">
      <w:pPr>
        <w:ind w:firstLine="708"/>
        <w:jc w:val="both"/>
      </w:pPr>
      <w:r>
        <w:t>Definitivă.</w:t>
      </w:r>
    </w:p>
    <w:p w:rsidR="004715FA">
      <w:pPr>
        <w:ind w:firstLine="708"/>
        <w:jc w:val="both"/>
      </w:pPr>
      <w:r>
        <w:t xml:space="preserve">Pronunţată azi, </w:t>
      </w:r>
      <w:r w:rsidR="00B705E1">
        <w:t>...............</w:t>
      </w:r>
      <w:r>
        <w:t>, prin punerea soluţiei la dispoziţia părţilor de către grefa instanţei.</w:t>
      </w:r>
    </w:p>
    <w:p w:rsidR="004715FA"/>
    <w:p w:rsidR="004715FA">
      <w:pPr>
        <w:jc w:val="center"/>
      </w:pPr>
      <w:bookmarkStart w:name="completul_1" w:id="5"/>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tblPrEx>
          <w:tblW w:w="0" w:type="auto"/>
          <w:tblLook w:val="04A0"/>
        </w:tblPrEx>
        <w:tc>
          <w:tcPr>
            <w:tcW w:w="3096" w:type="dxa"/>
          </w:tcPr>
          <w:p w:rsidR="004715FA">
            <w:pPr>
              <w:jc w:val="center"/>
            </w:pPr>
            <w:r>
              <w:t>Preşedinte,</w:t>
            </w:r>
          </w:p>
          <w:p w:rsidR="004715FA">
            <w:pPr>
              <w:jc w:val="center"/>
            </w:pPr>
            <w:r>
              <w:t>A0001</w:t>
            </w:r>
          </w:p>
        </w:tc>
        <w:tc>
          <w:tcPr>
            <w:tcW w:w="3096" w:type="dxa"/>
          </w:tcPr>
          <w:p w:rsidR="004715FA">
            <w:pPr>
              <w:jc w:val="center"/>
            </w:pPr>
            <w:r>
              <w:t>Judecător,</w:t>
            </w:r>
          </w:p>
          <w:p w:rsidR="004715FA">
            <w:pPr>
              <w:jc w:val="center"/>
            </w:pPr>
            <w:r>
              <w:t>................</w:t>
            </w:r>
          </w:p>
        </w:tc>
        <w:tc>
          <w:tcPr>
            <w:tcW w:w="3096" w:type="dxa"/>
          </w:tcPr>
          <w:p w:rsidR="004715FA">
            <w:pPr>
              <w:jc w:val="center"/>
            </w:pPr>
            <w:r>
              <w:t>Judecător,</w:t>
            </w:r>
          </w:p>
          <w:p w:rsidR="004715FA">
            <w:pPr>
              <w:jc w:val="center"/>
            </w:pPr>
            <w:r>
              <w:t>................</w:t>
            </w:r>
          </w:p>
        </w:tc>
      </w:tr>
      <w:tr>
        <w:tblPrEx>
          <w:tblW w:w="0" w:type="auto"/>
          <w:tblLook w:val="04A0"/>
        </w:tblPrEx>
        <w:tc>
          <w:tcPr>
            <w:tcW w:w="3096" w:type="dxa"/>
          </w:tcPr>
          <w:p w:rsidR="004715FA">
            <w:pPr>
              <w:jc w:val="center"/>
            </w:pPr>
          </w:p>
        </w:tc>
        <w:tc>
          <w:tcPr>
            <w:tcW w:w="3096" w:type="dxa"/>
          </w:tcPr>
          <w:p w:rsidR="004715FA">
            <w:pPr>
              <w:jc w:val="center"/>
            </w:pPr>
            <w:r>
              <w:t>Grefier,</w:t>
            </w:r>
          </w:p>
          <w:p w:rsidR="004715FA">
            <w:pPr>
              <w:jc w:val="center"/>
            </w:pPr>
            <w:r>
              <w:t>................</w:t>
            </w:r>
          </w:p>
        </w:tc>
        <w:tc>
          <w:tcPr>
            <w:tcW w:w="3096" w:type="dxa"/>
          </w:tcPr>
          <w:p w:rsidR="004715FA">
            <w:pPr>
              <w:jc w:val="center"/>
            </w:pPr>
          </w:p>
        </w:tc>
      </w:tr>
    </w:tbl>
    <w:p w:rsidR="004715FA">
      <w:pPr>
        <w:jc w:val="center"/>
      </w:pPr>
      <w:bookmarkEnd w:id="5"/>
    </w:p>
    <w:p w:rsidR="004715FA">
      <w:pPr>
        <w:jc w:val="center"/>
      </w:pPr>
    </w:p>
    <w:p w:rsidR="004715FA">
      <w:r>
        <w:t xml:space="preserve">Red. Jud. </w:t>
      </w:r>
      <w:r w:rsidR="00B705E1">
        <w:t>A0001</w:t>
      </w:r>
      <w:r>
        <w:t>/............</w:t>
      </w:r>
      <w:bookmarkStart w:name="_GoBack" w:id="6"/>
      <w:bookmarkEnd w:id="6"/>
    </w:p>
    <w:p w:rsidR="004715FA">
      <w:r>
        <w:t>4 ex.</w:t>
      </w:r>
    </w:p>
    <w:p w:rsidR="004715FA"/>
    <w:sectPr>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5FA"/>
    <w:rsid w:val="00341071"/>
    <w:rsid w:val="004715FA"/>
    <w:rsid w:val="00B705E1"/>
    <w:rsid w:val="00BF1CC8"/>
    <w:rsid w:val="00DC6363"/>
  </w:rsids>
  <w:docVars>
    <w:docVar w:name="url" w:val="http://10.19.48.53:80/ecris_cdms/document_upload.aspx?id_document=5400000001368539&amp;id_departament=5&amp;id_sesiune=1843626&amp;id_user=234&amp;id_institutie=54&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670E1ECA"/>
  <w15:docId w15:val="{0F12520A-B673-4BE6-AA51-144A35EF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15</ap:TotalTime>
  <ap:Pages>3</ap:Pages>
  <ap:Words>1505</ap:Words>
  <ap:Characters>8585</ap:Characters>
  <ap:Application>Microsoft Office Word</ap:Application>
  <ap:DocSecurity>0</ap:DocSecurity>
  <ap:Lines>71</ap:Lines>
  <ap:Paragraphs>20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10070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