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rPr>
      </w:pPr>
      <w:r>
        <w:rPr>
          <w:color w:val="BFBFBF"/>
        </w:rPr>
      </w:r>
    </w:p>
    <w:p>
      <w:pPr>
        <w:pStyle w:val="Normal"/>
        <w:rPr/>
      </w:pPr>
      <w:r>
        <w:rPr/>
        <w:t>Hot. 1</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lang w:val="en-US"/>
        </w:rPr>
      </w:pPr>
      <w:r>
        <w:rPr>
          <w:lang w:val="en-US"/>
        </w:rPr>
      </w:r>
    </w:p>
    <w:p>
      <w:pPr>
        <w:pStyle w:val="Normal"/>
        <w:jc w:val="center"/>
        <w:rPr/>
      </w:pPr>
      <w:r>
        <w:rPr/>
      </w:r>
      <w:r>
        <w:rPr/>
      </w:r>
      <w:r>
        <w:rPr/>
      </w:r>
      <w:r>
        <w:rPr/>
        <w:t>DECIZIE</w:t>
      </w:r>
      <w:r>
        <w:rPr/>
      </w:r>
      <w:r>
        <w:rPr/>
      </w:r>
      <w:r>
        <w:rPr/>
        <w:t xml:space="preserve">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w:t>
      </w:r>
    </w:p>
    <w:p>
      <w:pPr>
        <w:pStyle w:val="Normal"/>
        <w:jc w:val="center"/>
        <w:rPr/>
      </w:pPr>
      <w:r>
        <w:rPr/>
        <w:t>Judecător ...</w:t>
      </w:r>
    </w:p>
    <w:p>
      <w:pPr>
        <w:pStyle w:val="Normal"/>
        <w:jc w:val="center"/>
        <w:rPr/>
      </w:pPr>
      <w:r>
        <w:rPr/>
        <w:t>Judecător A0006</w:t>
      </w:r>
    </w:p>
    <w:p>
      <w:pPr>
        <w:pStyle w:val="Normal"/>
        <w:jc w:val="center"/>
        <w:rPr/>
      </w:pPr>
      <w:r>
        <w:rPr/>
        <w:t>Grefier ...</w:t>
      </w:r>
    </w:p>
    <w:p>
      <w:pPr>
        <w:pStyle w:val="Normal"/>
        <w:jc w:val="center"/>
        <w:rPr/>
      </w:pPr>
      <w:r>
        <w:rPr/>
      </w:r>
    </w:p>
    <w:p>
      <w:pPr>
        <w:pStyle w:val="Normal"/>
        <w:jc w:val="center"/>
        <w:rPr/>
      </w:pPr>
      <w:r>
        <w:rPr/>
      </w:r>
      <w:r>
        <w:rPr/>
      </w:r>
      <w:r>
        <w:rPr/>
      </w:r>
      <w:r>
        <w:rPr/>
      </w:r>
      <w:r>
        <w:rPr>
          <w:lang w:val="en-US" w:eastAsia="en-US"/>
        </w:rPr>
        <w:t>     </w:t>
      </w:r>
      <w:r>
        <w:rPr/>
      </w:r>
      <w:r>
        <w:rPr/>
      </w:r>
    </w:p>
    <w:p>
      <w:pPr>
        <w:pStyle w:val="Normal"/>
        <w:jc w:val="center"/>
        <w:rPr/>
      </w:pPr>
      <w:r>
        <w:rPr/>
      </w:r>
    </w:p>
    <w:p>
      <w:pPr>
        <w:pStyle w:val="Normal"/>
        <w:jc w:val="center"/>
        <w:rPr/>
      </w:pPr>
      <w:r>
        <w:rPr/>
      </w:r>
    </w:p>
    <w:p>
      <w:pPr>
        <w:pStyle w:val="Normal"/>
        <w:ind w:right="0" w:firstLine="709"/>
        <w:jc w:val="both"/>
        <w:rPr/>
      </w:pPr>
      <w:r>
        <w:rPr/>
        <w:t xml:space="preserve">Pe rol judecarea recursului Contencios administrativ şi fiscal formulat de pârâta COMUNA ...-PRIMARIA COMUNEI ..., împotriva sentinţei nr.SP1 din data de ..., pronunţată de Tribunalul ... în dosarul nr.D1, în contradictoriu cu intimata reclamantă SC A1 SRL, având ca obiect contestaţie act administrativ fiscal. </w:t>
      </w:r>
    </w:p>
    <w:p>
      <w:pPr>
        <w:pStyle w:val="Normal"/>
        <w:ind w:right="0" w:firstLine="709"/>
        <w:jc w:val="both"/>
        <w:rPr/>
      </w:pPr>
      <w:r>
        <w:rPr/>
        <w:t xml:space="preserve">La apelul nominal făcut în şedinţa </w:t>
      </w:r>
      <w:r>
        <w:rPr/>
      </w:r>
      <w:r>
        <w:rPr/>
      </w:r>
      <w:r>
        <w:rPr/>
      </w:r>
      <w:r>
        <w:rPr/>
        <w:t>publică</w:t>
      </w:r>
      <w:r>
        <w:rPr/>
      </w:r>
      <w:r>
        <w:rPr/>
      </w:r>
      <w:r>
        <w:rPr/>
        <w:t xml:space="preserve"> a răspuns consilier juridic ... pentru intimata reclamantă SC A1 SRL, lipsind recurenta pârâta COMUNA ...-PRIMARIA COMUNEI ....</w:t>
      </w:r>
    </w:p>
    <w:p>
      <w:pPr>
        <w:pStyle w:val="Normal"/>
        <w:ind w:right="0" w:firstLine="709"/>
        <w:jc w:val="both"/>
        <w:rPr/>
      </w:pPr>
      <w:r>
        <w:rPr/>
        <w:t xml:space="preserve">Procedura </w:t>
      </w:r>
      <w:r>
        <w:rPr/>
      </w:r>
      <w:r>
        <w:rPr/>
      </w:r>
      <w:r>
        <w:rPr/>
      </w:r>
      <w:r>
        <w:rPr/>
        <w:t>legal</w:t>
      </w:r>
      <w:r>
        <w:rPr/>
      </w:r>
      <w:r>
        <w:rPr/>
      </w:r>
      <w:r>
        <w:rPr/>
        <w:t xml:space="preserve"> îndeplinită.</w:t>
      </w:r>
    </w:p>
    <w:p>
      <w:pPr>
        <w:pStyle w:val="Normal"/>
        <w:ind w:right="0" w:firstLine="709"/>
        <w:jc w:val="both"/>
        <w:rPr/>
      </w:pPr>
      <w:r>
        <w:rPr/>
        <w:t xml:space="preserve">S-a făcut </w:t>
      </w:r>
      <w:r>
        <w:rPr/>
      </w:r>
      <w:r>
        <w:rPr/>
      </w:r>
      <w:r>
        <w:rPr/>
      </w:r>
      <w:r>
        <w:rPr/>
        <w:t>referatul</w:t>
      </w:r>
      <w:r>
        <w:rPr/>
      </w:r>
      <w:r>
        <w:rPr/>
      </w:r>
      <w:r>
        <w:rPr/>
        <w:t xml:space="preserve"> cauzei de către </w:t>
      </w:r>
      <w:r>
        <w:rPr/>
      </w:r>
      <w:r>
        <w:rPr/>
      </w:r>
      <w:r>
        <w:rPr/>
      </w:r>
      <w:r>
        <w:rPr/>
        <w:t>grefier</w:t>
      </w:r>
      <w:r>
        <w:rPr/>
      </w:r>
      <w:r>
        <w:rPr/>
      </w:r>
      <w:r>
        <w:rPr/>
        <w:t xml:space="preserve"> </w:t>
      </w:r>
      <w:r>
        <w:rPr/>
      </w:r>
      <w:r>
        <w:rPr/>
      </w:r>
      <w:r>
        <w:rPr/>
      </w:r>
      <w:r>
        <w:rPr/>
        <w:t>care învederează</w:t>
      </w:r>
      <w:r>
        <w:rPr/>
      </w:r>
      <w:r>
        <w:rPr/>
      </w:r>
      <w:r>
        <w:rPr/>
        <w:t xml:space="preserve"> că recursul este declarat şi motivat în termenul prevăzut de lege, după care:</w:t>
      </w:r>
    </w:p>
    <w:p>
      <w:pPr>
        <w:pStyle w:val="Normal"/>
        <w:ind w:right="0" w:firstLine="709"/>
        <w:jc w:val="both"/>
        <w:rPr/>
      </w:pPr>
      <w:r>
        <w:rPr/>
        <w:t>Nemaifiind alte cereri de formulat sau excepţii de invocat, instanţa apreciază cauza în stare de soluţionare şi acordă cuvântul asupra recursului.</w:t>
      </w:r>
    </w:p>
    <w:p>
      <w:pPr>
        <w:pStyle w:val="Normal"/>
        <w:ind w:right="0" w:firstLine="709"/>
        <w:jc w:val="both"/>
        <w:rPr/>
      </w:pPr>
      <w:r>
        <w:rPr/>
        <w:t>Consilier juridic ... pentru intimata reclamantă SC A1 SRL, solicită respingerea recursului şi menţinerea sentinţei de fond ca fiind legală şi temeinică, pentru motivele expuse pe larg prin întâmpinare, fără cheltuieli de judecată.</w:t>
      </w:r>
    </w:p>
    <w:p>
      <w:pPr>
        <w:pStyle w:val="Normal"/>
        <w:jc w:val="both"/>
        <w:rPr/>
      </w:pPr>
      <w:r>
        <w:rPr/>
      </w:r>
      <w:r>
        <w:rPr/>
      </w:r>
      <w:r>
        <w:rPr/>
      </w:r>
      <w:r>
        <w:rPr/>
      </w:r>
      <w:r>
        <w:rPr>
          <w:lang w:val="en-US" w:eastAsia="en-US"/>
        </w:rPr>
        <w:t>     </w:t>
      </w:r>
      <w:r>
        <w:rPr/>
      </w:r>
      <w:r>
        <w:rPr/>
      </w:r>
    </w:p>
    <w:p>
      <w:pPr>
        <w:pStyle w:val="Normal"/>
        <w:jc w:val="center"/>
        <w:rPr/>
      </w:pPr>
      <w:r>
        <w:rPr/>
        <w:t>C U R T E A</w:t>
      </w:r>
    </w:p>
    <w:p>
      <w:pPr>
        <w:pStyle w:val="Normal"/>
        <w:jc w:val="center"/>
        <w:rPr/>
      </w:pPr>
      <w:r>
        <w:rPr/>
      </w:r>
    </w:p>
    <w:p>
      <w:pPr>
        <w:pStyle w:val="Normal"/>
        <w:ind w:right="0" w:firstLine="709"/>
        <w:jc w:val="both"/>
        <w:rPr/>
      </w:pPr>
      <w:r>
        <w:rPr/>
        <w:t>Asupra recursului de faţă,</w:t>
      </w:r>
    </w:p>
    <w:p>
      <w:pPr>
        <w:pStyle w:val="Normal"/>
        <w:ind w:right="0" w:firstLine="708"/>
        <w:jc w:val="both"/>
        <w:rPr/>
      </w:pPr>
      <w:r>
        <w:rPr/>
        <w:t>Prin sentinţa nr.SP1 din data de ..., pronunţată de Tribunalul ... în dosarul nr.D1 s-a admis cererea de chemare în judecată formulată de reclamanta SC A1 SRL, în contradictoriu cu pârâta COMUNA ...-PRIMARIA COMUNEI ....</w:t>
      </w:r>
    </w:p>
    <w:p>
      <w:pPr>
        <w:pStyle w:val="Normal"/>
        <w:jc w:val="both"/>
        <w:rPr/>
      </w:pPr>
      <w:r>
        <w:rPr/>
        <w:tab/>
        <w:t xml:space="preserve">S-a anulat decizia de impunere nr. ...8/13. 11. 2020 şi decizia nr. ...2/30. 12. 2020 emise de emisă de Primăria ..., jud... . </w:t>
      </w:r>
    </w:p>
    <w:p>
      <w:pPr>
        <w:pStyle w:val="Normal"/>
        <w:jc w:val="both"/>
        <w:rPr/>
      </w:pPr>
      <w:r>
        <w:rPr/>
        <w:tab/>
        <w:t>S-a exonerat reclamanta de plata creanţei stabilită prin decizia de impunere nr. ...8/13. 11. 2020.</w:t>
      </w:r>
    </w:p>
    <w:p>
      <w:pPr>
        <w:pStyle w:val="Normal"/>
        <w:ind w:right="0" w:firstLine="708"/>
        <w:jc w:val="both"/>
        <w:rPr/>
      </w:pPr>
      <w:r>
        <w:rPr/>
        <w:t>Împotriva sentinţei nr.SP1 din data de ..., pronunţată de Tribunalul ... în dosarul nr.D1 a formulat recurs pârâta COMUNA ...-PRIMARIA COMUNEI ....</w:t>
      </w:r>
    </w:p>
    <w:p>
      <w:pPr>
        <w:pStyle w:val="Normal"/>
        <w:ind w:right="0" w:firstLine="708"/>
        <w:jc w:val="both"/>
        <w:rPr/>
      </w:pPr>
      <w:r>
        <w:rPr/>
        <w:t>În motivarea recursului, pârâta arată că între COMUNA ... și SC A1 SRL s-a încheiat contractul de lucrări nr. ...0/05.07.2013 având ca obiect executarea de lucrări pentru obiectivul de investitii „Canalizare si statie de epurare in sistem centralizat, in Comuna ..., judetul ...".</w:t>
      </w:r>
    </w:p>
    <w:p>
      <w:pPr>
        <w:pStyle w:val="Normal"/>
        <w:ind w:right="0" w:firstLine="708"/>
        <w:jc w:val="both"/>
        <w:rPr/>
      </w:pPr>
      <w:r>
        <w:rPr/>
        <w:t>În cursul lunii iulie 2019, reprezentanții Curții de Conturi, în urma misiunii de audit cu terna „ Audit financiar asupra conturilor anuale de execuție bugetară", au constatat că anumite componente ale stației de epurare nu se regăseau montate în cadrul instalației, stabilind un prejudiciu în valoare de   lei pentru efectuarea de cheltuieli fără contraprestație. Conform Deciziei Camerei de Conturi ... nr.  .../2019, ordonatorul de credite are obligatia de a stabili întinderea prejudiciului produs ca urmare a efectuării de plăți pentru lucrări neexecutate și recuperarea acestuia, inclusiv a majorărilor calculate conform legii.</w:t>
      </w:r>
    </w:p>
    <w:p>
      <w:pPr>
        <w:pStyle w:val="Normal"/>
        <w:ind w:right="0" w:firstLine="708"/>
        <w:jc w:val="both"/>
        <w:rPr/>
      </w:pPr>
      <w:r>
        <w:rPr/>
        <w:t>Potrivit procesului verbal de montaj nr.  ... din 29.07.2019, acele componente ale stației de epurare au fost montate în data de 26.07.2019, de unde reiese că prejudiciul nu mai exista, dar conform art. 73 1 din Legea nr. 500/2000 privind finanțele publice, cu modificările și completările ulterioare, recuperarea sumelor reprezentând prejudicii/plăti nelegale din fonduri publice, stabilite de organele de control competente, se face cu perceperea de dobânzi si penalități de întârziere sau majorări de întârziere, dupa caz, aplicabile pentru veniturile bugetare, calculate pentru perioada de cand s-a produs prejudiciul/s-a efectuat plata si pana sau recuperat sumele.</w:t>
      </w:r>
    </w:p>
    <w:p>
      <w:pPr>
        <w:pStyle w:val="Normal"/>
        <w:ind w:right="0" w:firstLine="708"/>
        <w:jc w:val="both"/>
        <w:rPr/>
      </w:pPr>
      <w:r>
        <w:rPr/>
        <w:t>Ținând cont de prevederile art. 100 alin (l) și art. 183 alin (2) din Legea 207/2015 privind Codul de Procedura Fiscală, cu modificările si completările ulterioare, Comuna ... a emis decizia de impunere nr....8/13.11.2020, pentru a percepe majorările de întârziere calculate pentru perioada de când s-a efectuat plata si pana au fost montate echipamentele si utilajele, aferente obiectivului de investiții „ Canalizare si statie de epurare in sistem centralizat in comuna ..., judetul ...", la care SC A1 SRL a depus contestația nr.  .../04.12.2020 și respinsă de COMUNA ... prin decizia de soluționare a contestației nr. ...2/30.12.2020.</w:t>
      </w:r>
    </w:p>
    <w:p>
      <w:pPr>
        <w:pStyle w:val="Normal"/>
        <w:ind w:right="0" w:firstLine="708"/>
        <w:jc w:val="both"/>
        <w:rPr/>
      </w:pPr>
      <w:r>
        <w:rPr/>
        <w:t>În dosarul nr. D1, aflat pe rolul Tribunalului  ..., Instanța a reținut ca debitul principal, respectiv contravaloarea componentelor stației de epurare găsite lipsă de reprezentanții Curții de Conturi și montate de SC A1 SRL in timpul controlului, nu poate avea natura unei creanțe fiscale și că obligația este de natura contractuală, caracterul cert și întinderea sa exacta trebuiau stabilite, în lipsa înțelegerii părților, pe calea unui proces civil.</w:t>
      </w:r>
    </w:p>
    <w:p>
      <w:pPr>
        <w:pStyle w:val="Normal"/>
        <w:ind w:right="0" w:firstLine="708"/>
        <w:jc w:val="both"/>
        <w:rPr/>
      </w:pPr>
      <w:r>
        <w:rPr/>
        <w:t>În fapt, prejudiciul în valoare de 94.197,704 lei a fost stabilit în conformitate cu prevederile art. 33 din Legea 94/1992, republicată, privind organizarea si funcționarea Curtii de Conturi, pentru componentele instalației de canalizare și epurare nemontate care se regăseau pe Lista cu cantități de lucrări pe categorii de lucrări aferentă situației de plată din luna iulie 2017, cu o valoare totală de 94.197,704 lei.</w:t>
      </w:r>
    </w:p>
    <w:p>
      <w:pPr>
        <w:pStyle w:val="Normal"/>
        <w:ind w:right="0" w:firstLine="708"/>
        <w:jc w:val="both"/>
        <w:rPr/>
      </w:pPr>
      <w:r>
        <w:rPr/>
        <w:t>Prejudiciul stabilit nu reprezintă o obligație de natură contractuală, acesta nefiind stabilit in conformitate cu contractul de lucrări nr. ...0/05.70.2013, care la pct II prevede sancțiunile pentru neîndeplinirea culpabilă a obligațiilor, ci a fost stabilit conform prevederilor art 100 din Legea nr. 207/2015-Codul de Procedură Fiscală, cu modificările și completările ulterioare și art 33 din Legea 94/1992, republicată</w:t>
      </w:r>
    </w:p>
    <w:p>
      <w:pPr>
        <w:pStyle w:val="Normal"/>
        <w:ind w:right="0" w:firstLine="708"/>
        <w:jc w:val="both"/>
        <w:rPr/>
      </w:pPr>
      <w:r>
        <w:rPr/>
        <w:t>În drept, şi-a întemeiat cererea pe dispozițiile: Art. 33 din Legea 94/1992, republicată.</w:t>
      </w:r>
    </w:p>
    <w:p>
      <w:pPr>
        <w:pStyle w:val="Normal"/>
        <w:ind w:right="0" w:firstLine="708"/>
        <w:jc w:val="both"/>
        <w:rPr/>
      </w:pPr>
      <w:r>
        <w:rPr/>
        <w:t>În fapt, apreciază că instanța trebuia să ia în considerare Regulamentul privind organizarea si desfășurarea activităților specifice Curții de Conturi, precum si valorificarea actelor rezultate din aceste activități, aprobat prin HOTĂRAREA Nr. 155/2014, conform căruia întinderea prejudiciului, inclusiv a dobânzilor și a penalităților de întârziere să fie stabilită de conducerea entității verificate, și nu pe calea unui proces civil conform contractului de lucrări, drept pentru care a fost stabilit prejudiciu în valoare de 94.197,704 și majorări de întârziere in cuantum de 22.608 lei .</w:t>
      </w:r>
    </w:p>
    <w:p>
      <w:pPr>
        <w:pStyle w:val="Normal"/>
        <w:ind w:right="0" w:firstLine="708"/>
        <w:jc w:val="both"/>
        <w:rPr/>
      </w:pPr>
      <w:r>
        <w:rPr/>
        <w:t>Prejudiciul a fost recuperat în sensul că echipamentele au fost montate, conform procesului verbal de montaj nr.  ... din 29.07.2019, dar acest fapt nu înlătură și obligația de achitare a majorărilor de întârziere,</w:t>
      </w:r>
    </w:p>
    <w:p>
      <w:pPr>
        <w:pStyle w:val="Normal"/>
        <w:ind w:right="0" w:firstLine="708"/>
        <w:jc w:val="both"/>
        <w:rPr/>
      </w:pPr>
      <w:r>
        <w:rPr/>
        <w:t>Majorările de întârziere calculate pentru perioada de când s-a efectuat plata si până au fost montate echipamentele si utilajele, aferente obiectivului de investiții „ Canalizare si stație de epurare in sistem centralizat in comuna ..., judetul ..., prin decizia de impunere nr....8/13.1 1.2020, au fost stabilite în conformitate cu prevederile art 73 1 din Legea nr. 500/2002 privind finanțele publice, cu modificările și completările ulterioare, și în conformitate cu prevederile art. 183 alin (2) din Legea 207/2015, respectiv 1% din cuantumul obligațiilor fiscale și nu în conformitate cu pct. 1 1.I din contractul de lucrări nr. ...0/05.07.2013, care prevede că pentru neîndeplinirea obligațiilor contractuale de către executant, achizitorul este îndreptățit de a deduce din prețul contractului, ca penalități 0,2% pentru fiecare zi de întârziere. De unde reiese că obligația care rezultă din decizia de impunere are caracter fiscal și nu este de natură contractuală.</w:t>
      </w:r>
    </w:p>
    <w:p>
      <w:pPr>
        <w:pStyle w:val="Normal"/>
        <w:ind w:right="0" w:firstLine="708"/>
        <w:jc w:val="both"/>
        <w:rPr/>
      </w:pPr>
      <w:r>
        <w:rPr/>
        <w:t>În drept, şi-a întemeiat cererea pe dispozițiile:</w:t>
      </w:r>
    </w:p>
    <w:p>
      <w:pPr>
        <w:pStyle w:val="Normal"/>
        <w:ind w:right="0" w:firstLine="708"/>
        <w:jc w:val="both"/>
        <w:rPr/>
      </w:pPr>
      <w:r>
        <w:rPr/>
        <w:t>Hotărârea Nr. 155/2014 privind aprobarea Regulamentul privind organizarea si desfășurarea activităților specifice Curții de Conturi, precum si valorificarea actelor rezultate din aceste activități.</w:t>
      </w:r>
    </w:p>
    <w:p>
      <w:pPr>
        <w:pStyle w:val="Normal"/>
        <w:ind w:right="0" w:firstLine="708"/>
        <w:jc w:val="both"/>
        <w:rPr/>
      </w:pPr>
      <w:r>
        <w:rPr/>
        <w:t>Art. 73 1 din Legea nr. 500/2002 privind finanțele publice.</w:t>
      </w:r>
    </w:p>
    <w:p>
      <w:pPr>
        <w:pStyle w:val="Normal"/>
        <w:ind w:right="0" w:firstLine="708"/>
        <w:jc w:val="both"/>
        <w:rPr/>
      </w:pPr>
      <w:r>
        <w:rPr/>
        <w:t>Art. 183 alin (2) din Legea 207/2015 privind Codul de procedură Fiscală.</w:t>
      </w:r>
    </w:p>
    <w:p>
      <w:pPr>
        <w:pStyle w:val="Normal"/>
        <w:ind w:right="0" w:firstLine="708"/>
        <w:jc w:val="both"/>
        <w:rPr/>
      </w:pPr>
      <w:r>
        <w:rPr/>
        <w:t>În drept, şi-a întemeiat cererea pe dispozițiile art. 488 alin (l) pct 8 din Legea 134/2010 privind Codul de Pr. Civilă, republicat, cu modificările și completările ulterioare.</w:t>
      </w:r>
    </w:p>
    <w:p>
      <w:pPr>
        <w:pStyle w:val="Normal"/>
        <w:ind w:right="0" w:firstLine="709"/>
        <w:jc w:val="both"/>
        <w:rPr/>
      </w:pPr>
      <w:r>
        <w:rPr/>
        <w:t>La data de 30.09.2021 intimata reclamantă a formulat întâmpinare, prin care a solicitat respingerea recursului, ca neîntemeiat.</w:t>
      </w:r>
    </w:p>
    <w:p>
      <w:pPr>
        <w:pStyle w:val="Normal"/>
        <w:ind w:right="0" w:firstLine="709"/>
        <w:jc w:val="both"/>
        <w:rPr/>
      </w:pPr>
      <w:r>
        <w:rPr/>
        <w:t>Instanța de fond a reținut si argumentat aspectul ca intre părți s-a încheiat un contract de execuție lucrări Nr. ...0/05.07.2013, contract ce a fost încheiat in baza OUG 34/2006 privind atribuirea contractelor de achiziție publica si drept urmare creanța pretinsa nu este una de natura fiscala ci una contractuala.</w:t>
      </w:r>
    </w:p>
    <w:p>
      <w:pPr>
        <w:pStyle w:val="Normal"/>
        <w:ind w:right="0" w:firstLine="709"/>
        <w:jc w:val="both"/>
        <w:rPr/>
      </w:pPr>
      <w:r>
        <w:rPr/>
        <w:t>In cuprinsul cererii de recurs recurenta parata arata ca "Potrivit procesului verbal de montaj Nr: .../29.07.2019, acele componente de stație de epurare au fost montate la data de 26.07.2019, de unde reiese ca prejudiciul nu mai exista". Cu toate acestea in condițiile in care asa cum se susține ca nu exista prejudiciu, recurenta parata uzează de prezenta cale de atac, invocând un raport al Curtii de conturi, raport care pentru recurenta parata reprezintă o sarcina ce trebuie îndeplinita cu orice pret, chiar formulând acțiuni ce nu au nici un temei legal.</w:t>
      </w:r>
    </w:p>
    <w:p>
      <w:pPr>
        <w:pStyle w:val="Normal"/>
        <w:ind w:right="0" w:firstLine="709"/>
        <w:jc w:val="both"/>
        <w:rPr/>
      </w:pPr>
      <w:r>
        <w:rPr/>
        <w:t>In termenul legal au formulat contestație pe cale administrativa si a arătat ca decizia de impunere contestata este nelegala, data cu încălcarea legii, iar parata prin Decizia Nr....2/30.12.2020 a respins contestația, invocând dispozițiile codului fiscal ignorând faptul ca așa zisa creanța pretinsa este una de natura contractuala si nu face parte din categoria: taxe, impozite si alte contribuții sociale.</w:t>
      </w:r>
    </w:p>
    <w:p>
      <w:pPr>
        <w:pStyle w:val="Normal"/>
        <w:ind w:right="0" w:firstLine="709"/>
        <w:jc w:val="both"/>
        <w:rPr/>
      </w:pPr>
      <w:r>
        <w:rPr/>
        <w:t>Textele de lege invocate de recurenta reclamanta exced obiectului cauzei si nu necesita comentarii.</w:t>
      </w:r>
    </w:p>
    <w:p>
      <w:pPr>
        <w:pStyle w:val="Normal"/>
        <w:ind w:right="0" w:firstLine="709"/>
        <w:jc w:val="both"/>
        <w:rPr/>
      </w:pPr>
      <w:r>
        <w:rPr/>
        <w:t>In drept, şi-a întemeiat cererea pe dispozițiile art. 205 cod proc.civ.</w:t>
      </w:r>
    </w:p>
    <w:p>
      <w:pPr>
        <w:pStyle w:val="Normal"/>
        <w:ind w:right="0" w:firstLine="708"/>
        <w:jc w:val="both"/>
        <w:rPr>
          <w:b/>
          <w:bCs/>
        </w:rPr>
      </w:pPr>
      <w:r>
        <w:rPr>
          <w:b/>
          <w:bCs/>
        </w:rPr>
        <w:t>Examinând recursul prin prisma motivelor formulate şi dispoziţiilor legale incidente în cauză, Curtea constată următoarele:</w:t>
      </w:r>
    </w:p>
    <w:p>
      <w:pPr>
        <w:pStyle w:val="Normal"/>
        <w:ind w:right="0" w:firstLine="708"/>
        <w:jc w:val="both"/>
        <w:rPr/>
      </w:pPr>
      <w:r>
        <w:rPr>
          <w:lang w:val="en-US" w:eastAsia="en-US"/>
        </w:rPr>
        <w:t>Considerentele instanţei de recurs în raport de motivele de recurs invocate şi de disp. art. 488 pct. 8 N.C.p.c precum</w:t>
      </w:r>
      <w:r>
        <w:rPr>
          <w:b/>
          <w:lang w:val="en-US" w:eastAsia="en-US"/>
        </w:rPr>
        <w:t xml:space="preserve"> şi ca </w:t>
      </w:r>
      <w:r>
        <w:rPr/>
        <w:t>motiv de ordine publică, motivul de nelegalitate prevăzut de art. 488 alin. 1 pct.5 C.p.civ, în sensul că, hotărârea a fost dată cu încălcarea regulilor de procedură a căror nerespectare atrage sanctiunea nulităţii.</w:t>
      </w:r>
    </w:p>
    <w:p>
      <w:pPr>
        <w:pStyle w:val="Normal"/>
        <w:autoSpaceDE w:val="false"/>
        <w:ind w:right="0" w:firstLine="708"/>
        <w:jc w:val="both"/>
        <w:rPr/>
      </w:pPr>
      <w:r>
        <w:rPr/>
        <w:t xml:space="preserve">În cauză, plecând de la contractul de lucrări nr. ...0/5. 07. 2013, având ca obiect executarea de lucrări pentru obiectivul de investiții "canalizare și stație de epurare în sistem centralizat, în com. ..., jud...", prin decizia nr.  .../2019, Curtea de Conturi a României – Camera de Conturi ... a constatat efectuarea de cheltuieli de capital fără contraprestație, respectiv cheltuieli pentru montaj utilaje la stația de epurare fără ca utilajele să fie montate. </w:t>
      </w:r>
    </w:p>
    <w:p>
      <w:pPr>
        <w:pStyle w:val="Normal"/>
        <w:autoSpaceDE w:val="false"/>
        <w:ind w:right="0" w:firstLine="708"/>
        <w:jc w:val="both"/>
        <w:rPr/>
      </w:pPr>
      <w:r>
        <w:rPr/>
        <w:t xml:space="preserve">Judecătorul fondului a reţinut că pârâta a emis o </w:t>
      </w:r>
      <w:r>
        <w:rPr>
          <w:i/>
        </w:rPr>
        <w:t>factură</w:t>
      </w:r>
      <w:r>
        <w:rPr/>
        <w:t xml:space="preserve"> pentru  a recupera prejudiciul stabilit de Curtea de Conturi , infirmat de instanțele judecătorești, în cadrul dosarului nr. D2 al Judecătoriei .... </w:t>
      </w:r>
    </w:p>
    <w:p>
      <w:pPr>
        <w:pStyle w:val="Normal"/>
        <w:autoSpaceDE w:val="false"/>
        <w:ind w:right="0" w:firstLine="708"/>
        <w:jc w:val="both"/>
        <w:rPr/>
      </w:pPr>
      <w:r>
        <w:rPr/>
        <w:t>Curtea de Apel constată că în completul care a pronunţat decizia nr.... a participat acelaşi judecător, fila 9-14 fond.</w:t>
      </w:r>
    </w:p>
    <w:p>
      <w:pPr>
        <w:pStyle w:val="Normal"/>
        <w:autoSpaceDE w:val="false"/>
        <w:ind w:right="0" w:firstLine="708"/>
        <w:jc w:val="both"/>
        <w:rPr/>
      </w:pPr>
      <w:r>
        <w:rPr/>
        <w:t xml:space="preserve">Decizia de impunere pentru anul 2020, menţinută prin decizia nr. ...2/30. 12. 2020 de către pârâtă, fac obiectul prezentei cauze, instanţa de fond constatând că reclamanta a montat echipamentele constatate ca fiind lipsă cu ocazia controlului Curții de Conturi conform procesului-verbal de montaj nr.  .../29. 07. 2019. </w:t>
      </w:r>
    </w:p>
    <w:p>
      <w:pPr>
        <w:pStyle w:val="Normal"/>
        <w:ind w:right="0" w:firstLine="708"/>
        <w:jc w:val="both"/>
        <w:rPr/>
      </w:pPr>
      <w:r>
        <w:rPr/>
        <w:t>Cum judecătorul fondului reţine că debitul principal, respectiv contravaloarea componentelor instalației de canalizare și epurare găsite lipsă de reprezentanții Curții de Conturi și montate de reclamantă imediat după emiterea raportului de control și mai înainte de întocmirea deciziei nr.  .../2019, nu poate avea natura unei creanțe fiscale, fiind la latitudinea instanţei civile, aspecte pe care nu le reţine în baza efectului puterii de lucru judecat conferit de decizia ..., ci în baza unui silogism propriu rezultat din prezentului litigiu , Curtea constată incident motivul de nelegalitate prevăzut de art. 488 alin. 1 pct.5 C.p.civ, în sensul că, hotărârea a fost dată cu încălcarea regulilor de procedură a căror nerespectare atrage sanctiunea nulităţii.</w:t>
      </w:r>
    </w:p>
    <w:p>
      <w:pPr>
        <w:pStyle w:val="Normal"/>
        <w:ind w:right="0" w:firstLine="720"/>
        <w:jc w:val="both"/>
        <w:rPr/>
      </w:pPr>
      <w:r>
        <w:rPr/>
        <w:t xml:space="preserve">În cauză, în raport de criticile formulate,vizând natura obligaţiilor  </w:t>
      </w:r>
      <w:r>
        <w:rPr>
          <w:bCs/>
        </w:rPr>
        <w:t>Curtea constată că, raportat la susţinerile şi apărările părţilor, recursul este fondat astfel că, în raport de prevederile art. 496 alin.2, art. 498 alin.2 şi art. 488 alin.1 pct. 5 NCPC, admiţând recursul formulat, va casa sentinţa şi va trimite cauza spre rejudecare la aceeaşi instanţă de fond.</w:t>
      </w:r>
    </w:p>
    <w:p>
      <w:pPr>
        <w:pStyle w:val="Normal"/>
        <w:ind w:right="0" w:firstLine="708"/>
        <w:jc w:val="both"/>
        <w:rPr/>
      </w:pPr>
      <w:r>
        <w:rPr/>
        <w:t>Cu ocazia rejudecării, instanţa de fond va proceda la analiza efectivă actelor administrative cu care este învestită, cu luarea în considerare  atât a apărarilor recurentului cât şi a apărărilor intimatei.</w:t>
      </w:r>
    </w:p>
    <w:p>
      <w:pPr>
        <w:pStyle w:val="Normal"/>
        <w:rPr/>
      </w:pPr>
      <w:r>
        <w:rPr/>
      </w:r>
    </w:p>
    <w:p>
      <w:pPr>
        <w:pStyle w:val="Normal"/>
        <w:jc w:val="center"/>
        <w:rPr/>
      </w:pPr>
      <w:r>
        <w:rPr/>
        <w:t>PENTRU ACESTE MOTIVE,</w:t>
        <w:br/>
        <w:t>ÎN NUMELE LEGII</w:t>
      </w:r>
    </w:p>
    <w:p>
      <w:pPr>
        <w:pStyle w:val="Normal"/>
        <w:jc w:val="center"/>
        <w:rPr/>
      </w:pPr>
      <w:r>
        <w:rPr/>
      </w:r>
    </w:p>
    <w:p>
      <w:pPr>
        <w:pStyle w:val="Normal"/>
        <w:jc w:val="center"/>
        <w:rPr/>
      </w:pPr>
      <w:r>
        <w:rPr/>
        <w:t>D E C I D E</w:t>
      </w:r>
    </w:p>
    <w:p>
      <w:pPr>
        <w:pStyle w:val="Normal"/>
        <w:rPr/>
      </w:pPr>
      <w:r>
        <w:rPr/>
      </w:r>
    </w:p>
    <w:p>
      <w:pPr>
        <w:pStyle w:val="Normal"/>
        <w:ind w:right="0" w:firstLine="709"/>
        <w:jc w:val="both"/>
        <w:rPr/>
      </w:pPr>
      <w:r>
        <w:rPr/>
        <w:t>Admite recursul formulat de pârâta COMUNA ...-PRIMARIA COMUNEI ..., împotriva sentinţei nr.SP1 din data de ..., pronunţată de Tribunalul ... în dosarul nr.D1, în contradictoriu cu intimata reclamantă SC A1 SRL, având ca obiect contestaţie act administrativ fiscal.</w:t>
      </w:r>
    </w:p>
    <w:p>
      <w:pPr>
        <w:pStyle w:val="Normal"/>
        <w:ind w:right="0" w:firstLine="709"/>
        <w:rPr/>
      </w:pPr>
      <w:r>
        <w:rPr/>
        <w:t>Casează sentinţa şi trimite cauza spre rejudecare aceleaşi instanţe.</w:t>
      </w:r>
    </w:p>
    <w:p>
      <w:pPr>
        <w:pStyle w:val="Normal"/>
        <w:ind w:right="0" w:firstLine="709"/>
        <w:rPr/>
      </w:pPr>
      <w:r>
        <w:rPr/>
        <w:t>Definitivă.</w:t>
      </w:r>
    </w:p>
    <w:p>
      <w:pPr>
        <w:pStyle w:val="Normal"/>
        <w:ind w:right="0" w:firstLine="709"/>
        <w:rPr/>
      </w:pPr>
      <w:r>
        <w:rPr/>
        <w:t>Pronunţată la ..., prin punerea soluţiei la dispoziţia părţilor de către grefa instanţei, conform art.402 Cod pr.civ.</w:t>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A0006</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rPr/>
      </w:pPr>
      <w:r>
        <w:rPr/>
        <w:t>Red.jud. A0006./....</w:t>
      </w:r>
    </w:p>
    <w:p>
      <w:pPr>
        <w:pStyle w:val="Normal"/>
        <w:rPr/>
      </w:pPr>
      <w:r>
        <w:rPr/>
        <w:t>Tehnored. .... 4 ex.</w:t>
      </w:r>
    </w:p>
    <w:p>
      <w:pPr>
        <w:pStyle w:val="Normal"/>
        <w:rPr/>
      </w:pPr>
      <w:r>
        <w:rPr/>
        <w:t>Jud.fond......</w:t>
      </w:r>
    </w:p>
    <w:sectPr>
      <w:footerReference w:type="default" r:id="rId2"/>
      <w:type w:val="nextPage"/>
      <w:pgSz w:w="11906" w:h="16838"/>
      <w:pgMar w:top="851" w:right="851"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511014&amp;id_departament=5&amp;id_sesiune=2138252&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DefaultParagraphFont">
    <w:name w:val="Default Paragraph Font"/>
    <w:qFormat/>
    <w:rPr/>
  </w:style>
  <w:style w:type="character" w:styleId="HeaderChar">
    <w:name w:val="Header Char"/>
    <w:qFormat/>
    <w:rPr>
      <w:sz w:val="24"/>
      <w:szCs w:val="24"/>
      <w:lang w:val="ro-RO"/>
    </w:rPr>
  </w:style>
  <w:style w:type="character" w:styleId="FooterChar">
    <w:name w:val="Footer Char"/>
    <w:qFormat/>
    <w:rPr>
      <w:sz w:val="24"/>
      <w:szCs w:val="24"/>
      <w:lang w:val="ro-RO"/>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703" w:leader="none"/>
        <w:tab w:val="right" w:pos="9406" w:leader="none"/>
      </w:tabs>
    </w:pPr>
    <w:rPr/>
  </w:style>
  <w:style w:type="paragraph" w:styleId="Footer">
    <w:name w:val="Footer"/>
    <w:basedOn w:val="Normal"/>
    <w:pPr>
      <w:tabs>
        <w:tab w:val="clear" w:pos="709"/>
        <w:tab w:val="center" w:pos="4703" w:leader="none"/>
        <w:tab w:val="right" w:pos="9406"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67</ap:TotalTime>
  <ap:Application>LibreOffice/24.2.7.2$Linux_X86_64 LibreOffice_project/420$Build-2</ap:Application>
  <ap:AppVersion>15.0000</ap:AppVersion>
  <ap:Pages>4</ap:Pages>
  <ap:Words>1932</ap:Words>
  <ap:Characters>10993</ap:Characters>
  <ap:CharactersWithSpaces>12889</ap:CharactersWithSpaces>
  <ap:Paragraphs>77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lastPrinted>2021-12-03T16:11:00.0000000Z</lastPrinted>
  <revision/>
  <dc:subject/>
  <dc:title/>
  <category/>
  <contentStatus/>
  <dc:identifier/>
  <version/>
</coreProperties>
</file>