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488E2" w14:textId="77777777" w:rsidR="00A02B16" w:rsidRPr="00A02B16" w:rsidRDefault="00A02B16" w:rsidP="00A02B16">
      <w:pPr>
        <w:spacing w:after="0" w:line="240" w:lineRule="auto"/>
        <w:rPr>
          <w:rFonts w:ascii="Times New Roman" w:eastAsia="Times New Roman" w:hAnsi="Times New Roman" w:cs="Times New Roman"/>
          <w:color w:val="BFBFBF"/>
          <w:kern w:val="0"/>
          <w:sz w:val="20"/>
          <w:szCs w:val="20"/>
          <w:lang w:val="ro-RO" w:eastAsia="en-GB"/>
          <w14:ligatures w14:val="none"/>
        </w:rPr>
      </w:pPr>
      <w:r w:rsidRPr="00A02B16">
        <w:rPr>
          <w:rFonts w:ascii="Times New Roman" w:eastAsia="Times New Roman" w:hAnsi="Times New Roman" w:cs="Times New Roman"/>
          <w:color w:val="BFBFBF"/>
          <w:kern w:val="0"/>
          <w:sz w:val="20"/>
          <w:szCs w:val="20"/>
          <w:lang w:val="ro-RO" w:eastAsia="en-GB"/>
          <w14:ligatures w14:val="none"/>
        </w:rPr>
        <w:t>Document finalizat</w:t>
      </w:r>
    </w:p>
    <w:p w14:paraId="1D240C03" w14:textId="018DA0BB" w:rsidR="00A02B16" w:rsidRPr="00A02B16" w:rsidRDefault="00A02B16" w:rsidP="00A02B16">
      <w:pPr>
        <w:spacing w:after="0" w:line="240" w:lineRule="auto"/>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Cod ECLI    ECLI:RO:</w:t>
      </w:r>
      <w:r>
        <w:rPr>
          <w:rFonts w:ascii="Times New Roman" w:eastAsia="Times New Roman" w:hAnsi="Times New Roman" w:cs="Times New Roman"/>
          <w:kern w:val="0"/>
          <w:sz w:val="24"/>
          <w:szCs w:val="20"/>
          <w:lang w:val="ro-RO" w:eastAsia="en-GB"/>
          <w14:ligatures w14:val="none"/>
        </w:rPr>
        <w:t>...........</w:t>
      </w:r>
    </w:p>
    <w:p w14:paraId="0AED94A0" w14:textId="3A2D8F12" w:rsidR="00A02B16" w:rsidRPr="00A02B16" w:rsidRDefault="00A02B16" w:rsidP="00A02B16">
      <w:pPr>
        <w:spacing w:after="0" w:line="240" w:lineRule="auto"/>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Dosar nr. </w:t>
      </w:r>
      <w:r>
        <w:rPr>
          <w:rFonts w:ascii="Times New Roman" w:eastAsia="Times New Roman" w:hAnsi="Times New Roman" w:cs="Times New Roman"/>
          <w:kern w:val="0"/>
          <w:sz w:val="24"/>
          <w:szCs w:val="20"/>
          <w:lang w:val="ro-RO" w:eastAsia="en-GB"/>
          <w14:ligatures w14:val="none"/>
        </w:rPr>
        <w:t>..........</w:t>
      </w:r>
    </w:p>
    <w:p w14:paraId="576B872E"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R O M Â N I A</w:t>
      </w:r>
    </w:p>
    <w:p w14:paraId="532DCD5F"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p>
    <w:p w14:paraId="1F2C914D" w14:textId="4B98ADE1"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CURTEA DE APEL </w:t>
      </w:r>
      <w:r>
        <w:rPr>
          <w:rFonts w:ascii="Times New Roman" w:eastAsia="Times New Roman" w:hAnsi="Times New Roman" w:cs="Times New Roman"/>
          <w:kern w:val="0"/>
          <w:sz w:val="24"/>
          <w:szCs w:val="20"/>
          <w:lang w:val="ro-RO" w:eastAsia="en-GB"/>
          <w14:ligatures w14:val="none"/>
        </w:rPr>
        <w:t>..........</w:t>
      </w:r>
    </w:p>
    <w:p w14:paraId="0BCEFE02" w14:textId="4B916C41" w:rsidR="00A02B16" w:rsidRPr="00A02B16" w:rsidRDefault="00A02B16" w:rsidP="00A02B16">
      <w:pPr>
        <w:spacing w:after="0" w:line="240" w:lineRule="auto"/>
        <w:jc w:val="center"/>
        <w:rPr>
          <w:rFonts w:ascii="Times New Roman" w:eastAsia="Times New Roman" w:hAnsi="Times New Roman" w:cs="Times New Roman"/>
          <w:kern w:val="0"/>
          <w:sz w:val="24"/>
          <w:szCs w:val="20"/>
          <w:lang w:val="it-IT"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SECŢIA </w:t>
      </w:r>
      <w:r>
        <w:rPr>
          <w:rFonts w:ascii="Times New Roman" w:eastAsia="Times New Roman" w:hAnsi="Times New Roman" w:cs="Times New Roman"/>
          <w:kern w:val="0"/>
          <w:sz w:val="24"/>
          <w:szCs w:val="20"/>
          <w:lang w:val="ro-RO" w:eastAsia="en-GB"/>
          <w14:ligatures w14:val="none"/>
        </w:rPr>
        <w:t>............</w:t>
      </w:r>
    </w:p>
    <w:p w14:paraId="1EF34DB3" w14:textId="77777777" w:rsidR="00A02B16" w:rsidRPr="00A02B16" w:rsidRDefault="00A02B16" w:rsidP="00A02B16">
      <w:pPr>
        <w:spacing w:after="0" w:line="240" w:lineRule="auto"/>
        <w:rPr>
          <w:rFonts w:ascii="Times New Roman" w:eastAsia="Times New Roman" w:hAnsi="Times New Roman" w:cs="Times New Roman"/>
          <w:kern w:val="0"/>
          <w:sz w:val="24"/>
          <w:szCs w:val="20"/>
          <w:lang w:val="ro-RO" w:eastAsia="en-GB"/>
          <w14:ligatures w14:val="none"/>
        </w:rPr>
      </w:pPr>
    </w:p>
    <w:p w14:paraId="76F87DA0" w14:textId="748A5ECD"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HOTĂRÂREA NR. 26</w:t>
      </w:r>
    </w:p>
    <w:p w14:paraId="35F86CC5" w14:textId="1B527D5A"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Şedinţa </w:t>
      </w:r>
      <w:bookmarkStart w:id="0" w:name="tip_sedinta"/>
      <w:r w:rsidRPr="00A02B16">
        <w:rPr>
          <w:rFonts w:ascii="Times New Roman" w:eastAsia="Times New Roman" w:hAnsi="Times New Roman" w:cs="Times New Roman"/>
          <w:kern w:val="0"/>
          <w:sz w:val="24"/>
          <w:szCs w:val="20"/>
          <w:lang w:val="ro-RO" w:eastAsia="en-GB"/>
          <w14:ligatures w14:val="none"/>
        </w:rPr>
        <w:t>publică</w:t>
      </w:r>
      <w:bookmarkEnd w:id="0"/>
      <w:r w:rsidRPr="00A02B16">
        <w:rPr>
          <w:rFonts w:ascii="Times New Roman" w:eastAsia="Times New Roman" w:hAnsi="Times New Roman" w:cs="Times New Roman"/>
          <w:kern w:val="0"/>
          <w:sz w:val="24"/>
          <w:szCs w:val="20"/>
          <w:lang w:val="ro-RO" w:eastAsia="en-GB"/>
          <w14:ligatures w14:val="none"/>
        </w:rPr>
        <w:t xml:space="preserve"> de la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w:t>
      </w:r>
    </w:p>
    <w:p w14:paraId="16718EF8"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Completul compus din:</w:t>
      </w:r>
    </w:p>
    <w:p w14:paraId="1D868BEC" w14:textId="1BDEB4F2"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PREŞEDINTE </w:t>
      </w:r>
      <w:r>
        <w:rPr>
          <w:rFonts w:ascii="Times New Roman" w:eastAsia="Times New Roman" w:hAnsi="Times New Roman" w:cs="Times New Roman"/>
          <w:kern w:val="0"/>
          <w:sz w:val="24"/>
          <w:szCs w:val="20"/>
          <w:lang w:val="ro-RO" w:eastAsia="en-GB"/>
          <w14:ligatures w14:val="none"/>
        </w:rPr>
        <w:t>........</w:t>
      </w:r>
    </w:p>
    <w:p w14:paraId="4DB2AFAE" w14:textId="02442F3B"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Judecător </w:t>
      </w:r>
      <w:r>
        <w:rPr>
          <w:rFonts w:ascii="Times New Roman" w:eastAsia="Times New Roman" w:hAnsi="Times New Roman" w:cs="Times New Roman"/>
          <w:kern w:val="0"/>
          <w:sz w:val="24"/>
          <w:szCs w:val="20"/>
          <w:lang w:val="ro-RO" w:eastAsia="en-GB"/>
          <w14:ligatures w14:val="none"/>
        </w:rPr>
        <w:t>...............</w:t>
      </w:r>
    </w:p>
    <w:p w14:paraId="5B0A82F9" w14:textId="7938C1D4"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Judecător </w:t>
      </w:r>
      <w:r>
        <w:rPr>
          <w:rFonts w:ascii="Times New Roman" w:eastAsia="Times New Roman" w:hAnsi="Times New Roman" w:cs="Times New Roman"/>
          <w:kern w:val="0"/>
          <w:sz w:val="24"/>
          <w:szCs w:val="20"/>
          <w:lang w:val="ro-RO" w:eastAsia="en-GB"/>
          <w14:ligatures w14:val="none"/>
        </w:rPr>
        <w:t>A0010</w:t>
      </w:r>
    </w:p>
    <w:p w14:paraId="3D4F5F5A" w14:textId="02639520"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Grefier </w:t>
      </w:r>
      <w:r>
        <w:rPr>
          <w:rFonts w:ascii="Times New Roman" w:eastAsia="Times New Roman" w:hAnsi="Times New Roman" w:cs="Times New Roman"/>
          <w:kern w:val="0"/>
          <w:sz w:val="24"/>
          <w:szCs w:val="20"/>
          <w:lang w:val="ro-RO" w:eastAsia="en-GB"/>
          <w14:ligatures w14:val="none"/>
        </w:rPr>
        <w:t>..............</w:t>
      </w:r>
    </w:p>
    <w:p w14:paraId="2909D1D2"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p>
    <w:p w14:paraId="78C31BC2"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p>
    <w:p w14:paraId="700CE3B3" w14:textId="258694C2" w:rsidR="00A02B16" w:rsidRPr="00A02B16" w:rsidRDefault="00A02B16" w:rsidP="00A02B1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Pe rol fiind pronunţarea cauzei contencios administrativ şi fiscal privind recurenta Direcţia Generală de Asistenţă Socială şi Protecţia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în contradictoriu cu intimata </w:t>
      </w:r>
      <w:r>
        <w:rPr>
          <w:rFonts w:ascii="Times New Roman" w:eastAsia="Times New Roman" w:hAnsi="Times New Roman" w:cs="Times New Roman"/>
          <w:kern w:val="0"/>
          <w:sz w:val="24"/>
          <w:szCs w:val="20"/>
          <w:lang w:val="ro-RO" w:eastAsia="en-GB"/>
          <w14:ligatures w14:val="none"/>
        </w:rPr>
        <w:t>A</w:t>
      </w:r>
      <w:r w:rsidRPr="00A02B16">
        <w:rPr>
          <w:rFonts w:ascii="Times New Roman" w:eastAsia="Times New Roman" w:hAnsi="Times New Roman" w:cs="Times New Roman"/>
          <w:kern w:val="0"/>
          <w:sz w:val="24"/>
          <w:szCs w:val="20"/>
          <w:lang w:val="ro-RO" w:eastAsia="en-GB"/>
          <w14:ligatures w14:val="none"/>
        </w:rPr>
        <w:t xml:space="preserve">, având ca obiect drepturi băneşti, recurs declarat împotriva sentinţei nr.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pronunţată de Tribunalul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w:t>
      </w:r>
    </w:p>
    <w:p w14:paraId="39883E8B" w14:textId="36672CFA" w:rsidR="00A02B16" w:rsidRPr="00A02B16" w:rsidRDefault="00A02B16" w:rsidP="00A02B1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Dezbaterile au avut loc în şedinţa publică din data de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susţinerile părţilor fiind consemnate în încheierea de şedinţă din acea zi, care face parte integrantă din prezenta hotărâre şi când, din lipsă de timp pentru deliberare, instanţa a amânat pronunţarea la data de astăzi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când: </w:t>
      </w:r>
    </w:p>
    <w:p w14:paraId="3AD41F5B"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p>
    <w:p w14:paraId="76C3BD1F"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INSTANŢA</w:t>
      </w:r>
    </w:p>
    <w:p w14:paraId="4E3B5103"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549FB894" w14:textId="789DEE0B" w:rsidR="00A02B16" w:rsidRPr="00A02B16" w:rsidRDefault="00A02B16" w:rsidP="00A02B1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Prin cererea de chemare în judecată înregistrată pe rolul Tribunalului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reclamanta</w:t>
      </w:r>
      <w:r w:rsidRPr="00A02B16">
        <w:rPr>
          <w:rFonts w:ascii="Times New Roman" w:eastAsia="Times New Roman" w:hAnsi="Times New Roman" w:cs="Times New Roman"/>
          <w:b/>
          <w:i/>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A</w:t>
      </w:r>
      <w:r w:rsidRPr="00A02B16">
        <w:rPr>
          <w:rFonts w:ascii="Times New Roman" w:eastAsia="Times New Roman" w:hAnsi="Times New Roman" w:cs="Times New Roman"/>
          <w:kern w:val="0"/>
          <w:sz w:val="24"/>
          <w:szCs w:val="20"/>
          <w:lang w:val="ro-RO" w:eastAsia="en-GB"/>
          <w14:ligatures w14:val="none"/>
        </w:rPr>
        <w:t xml:space="preserve"> a solicitat, în contradictoriu cu pârâta Direcţia Generală de Asistenţă Socială şi Protecţia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obligarea pârâtei la stabilirea salariului la nivelul de salarizare corespunzător funcţiei publice teritoriale, astfel cum a fost stabilită conform Anexei nr. l: Familia Ocupaţională de Funcţii Bugetare „Administraţie” Capitolul 1, Secţiunea 1: A. Salarizarea funcţionarilor publici, lit. b şi c - Funcţii publice de conducere şi funcţii publice generale de execuţie din Legea nr. 284/2010, începând cu data de 01.04.2015 şi până la data încetării raporturilor de serviciu, la calculul şi plata despăgubirilor băneşti ca diferenţă între salariul de care ar fi trebuit să beneficieze prin raportare la principiile de bază regăsite în Legea nr. 284/2010, ca urmare a neacordării salariului corespunzător noii funcţii teritoriale înfiinţate potrivit Anexei nr. l: Familia Ocupaţională de Funcţii Bugetare „Administraţie” Capitolul 1, Secţiunea 1: A. Salarizarea funcţionarilor publici, lit. b şi c - Funcţii publice de conducere şi funcţii publice generale de execuţie şi drepturile efectiv plătite de pârâtă începând cu data de 01.04.2015, precum si actualizarea despăgubirilor prevăzute la capătul 2 de cerere al prezentei acţiuni, în funcţie de rata inflaţiei şi dobânda legală penalizatoare, începând cu data scadenţei fiecărei sume şi până la data plăţii efective. </w:t>
      </w:r>
    </w:p>
    <w:p w14:paraId="0E78F377"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5120CCB5" w14:textId="3E4939E9" w:rsidR="00A02B16" w:rsidRPr="00A02B16" w:rsidRDefault="00A02B16" w:rsidP="00A02B1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color w:val="000000"/>
          <w:kern w:val="0"/>
          <w:sz w:val="24"/>
          <w:szCs w:val="20"/>
          <w:lang w:val="ro-RO" w:eastAsia="en-GB"/>
          <w14:ligatures w14:val="none"/>
        </w:rPr>
        <w:t xml:space="preserve">Prin sentinţa civilă nr.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din data de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Tribunalul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a admis în parte cererea formulată de reclamantă în contradictoriu cu pârâta Direcția Generală de Asistență Socială și Protecția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obligând pârâta la stabilirea salariului reclamantei la nivelul de salarizare corespunzător funcțiilor publice teritoriale prevăzute în anexa I: Familia ocupațională de funcții bugetare ”Administrație”, capitolul I, secțiunea A. Salarizarea </w:t>
      </w:r>
      <w:r w:rsidRPr="00A02B16">
        <w:rPr>
          <w:rFonts w:ascii="Times New Roman" w:eastAsia="Times New Roman" w:hAnsi="Times New Roman" w:cs="Times New Roman"/>
          <w:kern w:val="0"/>
          <w:sz w:val="24"/>
          <w:szCs w:val="20"/>
          <w:lang w:val="ro-RO" w:eastAsia="en-GB"/>
          <w14:ligatures w14:val="none"/>
        </w:rPr>
        <w:lastRenderedPageBreak/>
        <w:t>funcționarilor publici, lit. b) și c) din Legea nr. 284/2010, corespunzător funcției/clasei/gradației deținute de reclamantă, începând cu data de 09.04.2015 și până la data de 01.07.2017, inclusiv, precum și la plata diferențelor salariale rezultate, începând cu data de 01.09.2015 și până la data de 01.07.2017, inclusiv, sume ce vor fi actualizate cu indicele de inflaţie până la data plăţii efective.</w:t>
      </w:r>
    </w:p>
    <w:p w14:paraId="725A2999" w14:textId="77777777" w:rsidR="00A02B16" w:rsidRPr="00A02B16" w:rsidRDefault="00A02B16" w:rsidP="00A02B16">
      <w:pPr>
        <w:spacing w:after="0" w:line="240" w:lineRule="auto"/>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ab/>
        <w:t>Prin aceeaşi hotărâre judecătorească, instanţa de fond a obligat pârâta la plata către reclamantă a dobânzii legale aferente diferențelor salariale de la data naşterii fiecărui drept în parte până la data plăţii efective, luând act de faptul că reclamanta nu a solicitat cheltuieli de judecată.</w:t>
      </w:r>
    </w:p>
    <w:p w14:paraId="07FAB75D"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38592A1A" w14:textId="7340D063"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Împotriva sentinţei nr.</w:t>
      </w:r>
      <w:r w:rsidRPr="00A02B16">
        <w:rPr>
          <w:rFonts w:ascii="Times New Roman" w:eastAsia="Times New Roman" w:hAnsi="Times New Roman" w:cs="Times New Roman"/>
          <w:color w:val="000000"/>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din data de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a Tribunalului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a promovat recurs pârâta Direcția Generală de Asistență Socială și Protecția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criticând-o pentru netemeinicie şi nelegalitate. </w:t>
      </w:r>
    </w:p>
    <w:p w14:paraId="4FB0ED94"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În motivarea recursului s-a arătat că pârâta a respectat întocmai prevederile Legii nr. 284/2010 şi a reîncadrat corect personalul prevăzut în Anexa I, Cap. I, Secţiunea A- Salarizarea funcţionarilor publici, lit. b - funcţii publice de conducere şi lit. c - funcţii publice generale de execuţie, acordând intimatei clasa de salarizare 39, aferentă funcţiei publice de consilier, grad profesional superior, la care s-au adăugat cele 9 clase succesive corespunzătoare gradaţiei 5 de vechime, totalizând clasa de salarizare 48. </w:t>
      </w:r>
    </w:p>
    <w:p w14:paraId="51972134"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De asemenea, recurenta a arătat că motivul care a stat la baza stabilirii salariului la nivelul respectiv a fost aplicarea prevederilor legale din art. 4 alin. (2) al Legii nr. 285/2010 care prevăd că „în anul 2011 nu se aplică valoarea de referinţă şi coeficienţii de ierarhizare corespunzători claselor de salarizare prevăzuţi în anexele la Legea-cadru privind salarizarea unitară a personalului plătit din fonduri publice."</w:t>
      </w:r>
    </w:p>
    <w:p w14:paraId="2DE1AAF2"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A mai susținut recurenta că nu putea salariza personalul regăsit în Anexa 4 la egalitate cu personalul regăsit în Anexa 3 din simplul motiv că Direcţia Generală de Asistenţă Socială şi Protecţia Copilului este o instituţie subordonată Consiliului Judeţean.</w:t>
      </w:r>
    </w:p>
    <w:p w14:paraId="4567E4B3"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Criticile recurentei se circumscriu motivului de casare reglementat de art.488 alin.1 pct.8 C.pr.civ..</w:t>
      </w:r>
    </w:p>
    <w:p w14:paraId="3DBD7840"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28BB0532" w14:textId="4BFDC358" w:rsidR="00A02B16" w:rsidRPr="00A02B16" w:rsidRDefault="00A02B16" w:rsidP="00A02B1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În recurs, intimata </w:t>
      </w:r>
      <w:r>
        <w:rPr>
          <w:rFonts w:ascii="Times New Roman" w:eastAsia="Times New Roman" w:hAnsi="Times New Roman" w:cs="Times New Roman"/>
          <w:kern w:val="0"/>
          <w:sz w:val="24"/>
          <w:szCs w:val="20"/>
          <w:lang w:val="ro-RO" w:eastAsia="en-GB"/>
          <w14:ligatures w14:val="none"/>
        </w:rPr>
        <w:t>A</w:t>
      </w:r>
      <w:r w:rsidRPr="00A02B16">
        <w:rPr>
          <w:rFonts w:ascii="Times New Roman" w:eastAsia="Times New Roman" w:hAnsi="Times New Roman" w:cs="Times New Roman"/>
          <w:kern w:val="0"/>
          <w:sz w:val="24"/>
          <w:szCs w:val="20"/>
          <w:lang w:val="ro-RO" w:eastAsia="en-GB"/>
          <w14:ligatures w14:val="none"/>
        </w:rPr>
        <w:t xml:space="preserve"> a formulat întâmpinare prin care a solicitat respingerea recursului ca nefondat întrucât instanţa de fond a făcut o corectă aplicare a prevederilor art.1 alin.5</w:t>
      </w:r>
      <w:r w:rsidRPr="00A02B16">
        <w:rPr>
          <w:rFonts w:ascii="Times New Roman" w:eastAsia="Times New Roman" w:hAnsi="Times New Roman" w:cs="Times New Roman"/>
          <w:kern w:val="0"/>
          <w:sz w:val="24"/>
          <w:szCs w:val="20"/>
          <w:vertAlign w:val="superscript"/>
          <w:lang w:val="ro-RO" w:eastAsia="en-GB"/>
          <w14:ligatures w14:val="none"/>
        </w:rPr>
        <w:t>1</w:t>
      </w:r>
      <w:r w:rsidRPr="00A02B16">
        <w:rPr>
          <w:rFonts w:ascii="Times New Roman" w:eastAsia="Times New Roman" w:hAnsi="Times New Roman" w:cs="Times New Roman"/>
          <w:kern w:val="0"/>
          <w:sz w:val="24"/>
          <w:szCs w:val="20"/>
          <w:lang w:val="ro-RO" w:eastAsia="en-GB"/>
          <w14:ligatures w14:val="none"/>
        </w:rPr>
        <w:t xml:space="preserve"> din OUG 83/2014, astfel cum a fost modificată şi aprobată prin Legea nr.71/2015, stabilind corect încadrarea funcţiei publice în funcţii publice teritoriale.</w:t>
      </w:r>
    </w:p>
    <w:p w14:paraId="29C30FC1" w14:textId="77777777" w:rsidR="00A02B16" w:rsidRPr="00A02B16" w:rsidRDefault="00A02B16" w:rsidP="00A02B1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3B40289E" w14:textId="77777777" w:rsidR="00A02B16" w:rsidRPr="00A02B16" w:rsidRDefault="00A02B16" w:rsidP="00A02B16">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A02B16">
        <w:rPr>
          <w:rFonts w:ascii="Times New Roman" w:eastAsia="Times New Roman" w:hAnsi="Times New Roman" w:cs="Times New Roman"/>
          <w:b/>
          <w:kern w:val="0"/>
          <w:sz w:val="24"/>
          <w:szCs w:val="20"/>
          <w:lang w:val="ro-RO" w:eastAsia="en-GB"/>
          <w14:ligatures w14:val="none"/>
        </w:rPr>
        <w:t>Analizând recursul declarat în cauză se constată că este fondat având în vedere considerentele ce succed, expuse în condiţiile art.499 C.pr.civ.:</w:t>
      </w:r>
    </w:p>
    <w:p w14:paraId="27631682" w14:textId="77777777" w:rsidR="00A02B16" w:rsidRPr="00A02B16" w:rsidRDefault="00A02B16" w:rsidP="00A02B16">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p>
    <w:p w14:paraId="1F633C4A" w14:textId="7630A265" w:rsidR="00A02B16" w:rsidRPr="00A02B16" w:rsidRDefault="00A02B16" w:rsidP="00A02B16">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Reclamanta-intimată, angajată a recurentei pârâte Direcţia Generală de Asistenţă Socială şi Protecţia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a susținut, în esență, faptul că în mod eronat i s-a acordat un salariu ce are ca reper venitul salarial calculat pentru funcțiile publice locale prin raportare la Anexa nr. 4 a </w:t>
      </w:r>
      <w:hyperlink r:id="rId4" w:history="1">
        <w:r w:rsidRPr="00A02B16">
          <w:rPr>
            <w:rFonts w:ascii="Times New Roman" w:eastAsia="Times New Roman" w:hAnsi="Times New Roman" w:cs="Times New Roman"/>
            <w:color w:val="000000"/>
            <w:kern w:val="0"/>
            <w:sz w:val="24"/>
            <w:szCs w:val="20"/>
            <w:u w:val="single"/>
            <w:lang w:val="ro-RO" w:eastAsia="en-GB"/>
            <w14:ligatures w14:val="none"/>
          </w:rPr>
          <w:t>Ordonan</w:t>
        </w:r>
      </w:hyperlink>
      <w:hyperlink r:id="rId5" w:history="1">
        <w:r w:rsidRPr="00A02B16">
          <w:rPr>
            <w:rFonts w:ascii="Times New Roman" w:eastAsia="Times New Roman" w:hAnsi="Times New Roman" w:cs="Times New Roman"/>
            <w:color w:val="000000"/>
            <w:kern w:val="0"/>
            <w:sz w:val="24"/>
            <w:szCs w:val="20"/>
            <w:u w:val="single"/>
            <w:lang w:val="ro-RO" w:eastAsia="en-GB"/>
            <w14:ligatures w14:val="none"/>
          </w:rPr>
          <w:t>ţ</w:t>
        </w:r>
      </w:hyperlink>
      <w:hyperlink r:id="rId6" w:history="1">
        <w:r w:rsidRPr="00A02B16">
          <w:rPr>
            <w:rFonts w:ascii="Times New Roman" w:eastAsia="Times New Roman" w:hAnsi="Times New Roman" w:cs="Times New Roman"/>
            <w:color w:val="000000"/>
            <w:kern w:val="0"/>
            <w:sz w:val="24"/>
            <w:szCs w:val="20"/>
            <w:u w:val="single"/>
            <w:lang w:val="ro-RO" w:eastAsia="en-GB"/>
            <w14:ligatures w14:val="none"/>
          </w:rPr>
          <w:t>ei</w:t>
        </w:r>
      </w:hyperlink>
      <w:r w:rsidRPr="00A02B16">
        <w:rPr>
          <w:rFonts w:ascii="Times New Roman" w:eastAsia="Times New Roman" w:hAnsi="Times New Roman" w:cs="Times New Roman"/>
          <w:kern w:val="0"/>
          <w:sz w:val="24"/>
          <w:szCs w:val="20"/>
          <w:lang w:val="ro-RO" w:eastAsia="en-GB"/>
          <w14:ligatures w14:val="none"/>
        </w:rPr>
        <w:t xml:space="preserve"> Guvernului nr. 6/2007 și că ar fi trebuit să primească un salariu mai mare prin aplicarea coeficienților și claselor de salarizare stabilite prin Anexa nr. 3  din același act normativ, corespunzătoare funcției publice teritoriale înființate prin Legea nr. 284/2010. </w:t>
      </w:r>
    </w:p>
    <w:p w14:paraId="3D0CAC2A" w14:textId="77777777" w:rsidR="00A02B16" w:rsidRPr="00A02B16" w:rsidRDefault="00A02B16" w:rsidP="00A02B16">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Curtea de Apel reține că până în decembrie 2009, nivelul de salarizare a funcționarilor publici ai direcţiilor generale de asistenţă socială şi protecţia copilului era stabilit în Anexa 4 a </w:t>
      </w:r>
      <w:hyperlink r:id="rId7" w:history="1">
        <w:r w:rsidRPr="00A02B16">
          <w:rPr>
            <w:rFonts w:ascii="Times New Roman" w:eastAsia="Times New Roman" w:hAnsi="Times New Roman" w:cs="Times New Roman"/>
            <w:color w:val="000000"/>
            <w:kern w:val="0"/>
            <w:sz w:val="24"/>
            <w:szCs w:val="20"/>
            <w:u w:val="single"/>
            <w:lang w:val="ro-RO" w:eastAsia="en-GB"/>
            <w14:ligatures w14:val="none"/>
          </w:rPr>
          <w:t>Ordonan</w:t>
        </w:r>
      </w:hyperlink>
      <w:hyperlink r:id="rId8" w:history="1">
        <w:r w:rsidRPr="00A02B16">
          <w:rPr>
            <w:rFonts w:ascii="Times New Roman" w:eastAsia="Times New Roman" w:hAnsi="Times New Roman" w:cs="Times New Roman"/>
            <w:color w:val="000000"/>
            <w:kern w:val="0"/>
            <w:sz w:val="24"/>
            <w:szCs w:val="20"/>
            <w:u w:val="single"/>
            <w:lang w:val="ro-RO" w:eastAsia="en-GB"/>
            <w14:ligatures w14:val="none"/>
          </w:rPr>
          <w:t>ţ</w:t>
        </w:r>
      </w:hyperlink>
      <w:hyperlink r:id="rId9" w:history="1">
        <w:r w:rsidRPr="00A02B16">
          <w:rPr>
            <w:rFonts w:ascii="Times New Roman" w:eastAsia="Times New Roman" w:hAnsi="Times New Roman" w:cs="Times New Roman"/>
            <w:color w:val="000000"/>
            <w:kern w:val="0"/>
            <w:sz w:val="24"/>
            <w:szCs w:val="20"/>
            <w:u w:val="single"/>
            <w:lang w:val="ro-RO" w:eastAsia="en-GB"/>
            <w14:ligatures w14:val="none"/>
          </w:rPr>
          <w:t>ei</w:t>
        </w:r>
      </w:hyperlink>
      <w:r w:rsidRPr="00A02B16">
        <w:rPr>
          <w:rFonts w:ascii="Times New Roman" w:eastAsia="Times New Roman" w:hAnsi="Times New Roman" w:cs="Times New Roman"/>
          <w:kern w:val="0"/>
          <w:sz w:val="24"/>
          <w:szCs w:val="20"/>
          <w:lang w:val="ro-RO" w:eastAsia="en-GB"/>
          <w14:ligatures w14:val="none"/>
        </w:rPr>
        <w:t xml:space="preserve"> Guvernului nr. 6/2007. </w:t>
      </w:r>
      <w:r w:rsidRPr="00A02B16">
        <w:rPr>
          <w:rFonts w:ascii="Times New Roman" w:eastAsia="Times New Roman" w:hAnsi="Times New Roman" w:cs="Times New Roman"/>
          <w:color w:val="000000"/>
          <w:kern w:val="0"/>
          <w:sz w:val="24"/>
          <w:szCs w:val="20"/>
          <w:shd w:val="clear" w:color="auto" w:fill="FFFFFF"/>
          <w:lang w:val="ro-RO" w:eastAsia="en-GB"/>
          <w14:ligatures w14:val="none"/>
        </w:rPr>
        <w:t xml:space="preserve">Prin legislația adoptată după anul 2009, drepturile salariale s-au calculat pornind de la cuantumul stabilit potrivit legislaţiei anterioare, prin fiecare din legile speciale anuale făcându-se trimitere la cuantumul drepturilor salariale din anul precedent. </w:t>
      </w:r>
      <w:r w:rsidRPr="00A02B16">
        <w:rPr>
          <w:rFonts w:ascii="Times New Roman" w:eastAsia="Times New Roman" w:hAnsi="Times New Roman" w:cs="Times New Roman"/>
          <w:color w:val="000000"/>
          <w:kern w:val="0"/>
          <w:sz w:val="24"/>
          <w:szCs w:val="20"/>
          <w:shd w:val="clear" w:color="auto" w:fill="FFFFFF"/>
          <w:lang w:val="ro-RO" w:eastAsia="en-GB"/>
          <w14:ligatures w14:val="none"/>
        </w:rPr>
        <w:lastRenderedPageBreak/>
        <w:t>L</w:t>
      </w:r>
      <w:r w:rsidRPr="00A02B16">
        <w:rPr>
          <w:rFonts w:ascii="Times New Roman" w:eastAsia="Times New Roman" w:hAnsi="Times New Roman" w:cs="Times New Roman"/>
          <w:kern w:val="0"/>
          <w:sz w:val="24"/>
          <w:szCs w:val="20"/>
          <w:lang w:val="ro-RO" w:eastAsia="en-GB"/>
          <w14:ligatures w14:val="none"/>
        </w:rPr>
        <w:t>egiuitorul a continuat să se raporteze la acest cuantum chiar și după intrarea în vigoare a Legii nr. 153/2017.</w:t>
      </w:r>
    </w:p>
    <w:p w14:paraId="2A359376" w14:textId="1C5BFD79" w:rsidR="00A02B16" w:rsidRPr="00A02B16" w:rsidRDefault="00A02B16" w:rsidP="00A02B16">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Având de aplicat legislația în materie de salarizare, Direcţia Generală de Asistenţă Socială şi Protecţia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a respectat prevederile Legii nr. 284/2010 şi a reîncadrat corect personalul prevăzut în Anexa I, Cap. I, Secţiunea A- Salarizarea funcţionarilor publici, lit. b - funcţii publice de conducere şi lit. c - funcţii publice generale de execuţie, acordându-i intimatei clasa de salarizare 24, aferentă funcției publice teritoriale pentru funcția de consilier.</w:t>
      </w:r>
    </w:p>
    <w:p w14:paraId="6466E54A" w14:textId="77777777" w:rsidR="00A02B16" w:rsidRPr="00A02B16" w:rsidRDefault="00A02B16" w:rsidP="00A02B16">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Împrejurarea că reîncadrarea s-a făcut pe o funcție publică teritorială nu prezintă relevanță sub aspectul salarizării deoarece trebuie făcută distincţie între reîncadrarea făcută potrivit Legii nr. 284/2010 și a actelor normative ulterioare şi plata efectivă a drepturilor salariale deoarece, așa cum corect a arătat și recurentul, în art. 4 alin. (2) din Legea nr. 285/2010 este prevăzut expres faptul că în anul 2011 nu se aplică valoarea de referinţă şi coeficienţii de ierarhizare corespunzători claselor de salarizare prevăzuţi în anexele la Legea-cadru nr. 284/2010.</w:t>
      </w:r>
    </w:p>
    <w:p w14:paraId="5A773667" w14:textId="77777777" w:rsidR="00A02B16" w:rsidRPr="00A02B16" w:rsidRDefault="00A02B16" w:rsidP="00A02B16">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Având în vedere că dispoziții similare care opresc </w:t>
      </w:r>
      <w:r w:rsidRPr="00A02B16">
        <w:rPr>
          <w:rFonts w:ascii="Times New Roman" w:eastAsia="Times New Roman" w:hAnsi="Times New Roman" w:cs="Times New Roman"/>
          <w:color w:val="000000"/>
          <w:kern w:val="0"/>
          <w:sz w:val="24"/>
          <w:szCs w:val="20"/>
          <w:shd w:val="clear" w:color="auto" w:fill="FFFFFF"/>
          <w:lang w:val="ro-RO" w:eastAsia="en-GB"/>
          <w14:ligatures w14:val="none"/>
        </w:rPr>
        <w:t xml:space="preserve">aplicarea efectivă a valorii de referinţă şi a coeficienţilor de ierarhizare corespunzători claselor de salarizare din anexele Legii-cadru nr. 284/2010 </w:t>
      </w:r>
      <w:r w:rsidRPr="00A02B16">
        <w:rPr>
          <w:rFonts w:ascii="Times New Roman" w:eastAsia="Times New Roman" w:hAnsi="Times New Roman" w:cs="Times New Roman"/>
          <w:kern w:val="0"/>
          <w:sz w:val="24"/>
          <w:szCs w:val="20"/>
          <w:lang w:val="ro-RO" w:eastAsia="en-GB"/>
          <w14:ligatures w14:val="none"/>
        </w:rPr>
        <w:t>se regăsesc şi în legile anuale de salarizare ulterioare, inclusiv în Legea nr. 153/2017, ținând seama și de faptul că Înalta Curtea de Casație și Justiție prin decizia nr. 32 din 19 octombrie 2015, pronunțată în recurs în interesul legii, a stabilit că se va face distincţie între reîncadrare, potrivit legii-cadru de salarizare, şi plata efectivă a drepturilor salariale, Curtea de Apel constată că solicitările reclamantei nu pot fi primite, drepturile salariale ale funcţionarului public neputând fi decât cele prevăzute în sistemul de salarizare, aprobat prin lege, specific categoriei profesionale din care face parte.</w:t>
      </w:r>
    </w:p>
    <w:p w14:paraId="2A6EE430" w14:textId="7BE8835C" w:rsidR="00A02B16" w:rsidRPr="00A02B16" w:rsidRDefault="00A02B16" w:rsidP="00A02B16">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De asemenea, nu pot fi primite susținerile reclamantei intimate în sensul că în raport de decizia nr. 23/2016, pronunţată de</w:t>
      </w:r>
      <w:r w:rsidRPr="00A02B16">
        <w:rPr>
          <w:rFonts w:ascii="Times New Roman" w:eastAsia="Times New Roman" w:hAnsi="Times New Roman" w:cs="Times New Roman"/>
          <w:i/>
          <w:kern w:val="0"/>
          <w:sz w:val="24"/>
          <w:szCs w:val="20"/>
          <w:lang w:val="ro-RO" w:eastAsia="en-GB"/>
          <w14:ligatures w14:val="none"/>
        </w:rPr>
        <w:t xml:space="preserve"> </w:t>
      </w:r>
      <w:r w:rsidRPr="00A02B16">
        <w:rPr>
          <w:rFonts w:ascii="Times New Roman" w:eastAsia="Times New Roman" w:hAnsi="Times New Roman" w:cs="Times New Roman"/>
          <w:kern w:val="0"/>
          <w:sz w:val="24"/>
          <w:szCs w:val="20"/>
          <w:lang w:val="ro-RO" w:eastAsia="en-GB"/>
          <w14:ligatures w14:val="none"/>
        </w:rPr>
        <w:t>Înalta Curte de Casație și Justiție - Completul pentru dezlegarea unor chestiuni de drept, şi principiul „la funcţie egală, salariu egal” se impune stabilirea echitabilă, nediscriminatorie, a salariului său ca şi în cazul funcţiilor similare din Consiliul Judeţean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w:t>
      </w:r>
    </w:p>
    <w:p w14:paraId="7B34C5F3" w14:textId="77777777" w:rsidR="00A02B16" w:rsidRPr="00A02B16" w:rsidRDefault="00A02B16" w:rsidP="00A02B16">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Înalta Curte de Casație și Justiție – Completul pentru dezlegarea unor chestiuni de drept, a decis, în şedinţa din 26 septembrie 2016, că admite sesizarea formulată de Curtea de Apel Bucureşti – Secţia a VIII-a contencios administrativ şi fiscal, în dosarul nr. 28.884/3/2015, privind pronunţarea unei hotărâri prealabile şi, în consecinţă, stabileşte că: ”În interpretarea şi aplicarea dispoziţiilor art. 1 alin. (5 ind. 1) din Ordonanţa de urgenţă a  Guvernului nr. 83/2014 privind salarizarea personalului plătit din fonduri publice în anul 2015, precum şi alte măsuri în domeniul cheltuielilor publice, aprobată cu modificări şi completări prin Legea nr. 71/2015, cu modificările şi completările ulterioare, sintagma „salarizat la acelaşi nivel” are în vedere personalul din cadrul aparatului de lucru al Parlamentului, personalul din cadrul Consiliului Concurenţei, al Curţii de Conturi, precum şi din cadrul celorlalte autorităţi şi instituţii publice enumerate de art. 2 alin. (1) lit. a) din Legea-cadru nr. 284/2010 privind salarizarea unitară a personalului plătit din fonduri publice, cu modificările şi completările ulterioare; nivelul de salarizare ce va fi avut în vedere în interpretarea şi aplicarea aceleiaşi norme este cel determinat prin aplicarea prevederilor art. 1 alin. (1) şi (2) din Ordonanţa de urgenţă a  Guvernului nr. 83/2014, aprobată cu modificări şi completări prin Legea nr. 71/2015, cu modificările şi completările ulterioare, </w:t>
      </w:r>
      <w:r w:rsidRPr="00A02B16">
        <w:rPr>
          <w:rFonts w:ascii="Times New Roman" w:eastAsia="Times New Roman" w:hAnsi="Times New Roman" w:cs="Times New Roman"/>
          <w:b/>
          <w:i/>
          <w:kern w:val="0"/>
          <w:sz w:val="24"/>
          <w:szCs w:val="20"/>
          <w:u w:val="single"/>
          <w:lang w:val="ro-RO" w:eastAsia="en-GB"/>
          <w14:ligatures w14:val="none"/>
        </w:rPr>
        <w:t>în cadrul aceleiaşi autorităţi sau instituţii publice</w:t>
      </w:r>
      <w:r w:rsidRPr="00A02B16">
        <w:rPr>
          <w:rFonts w:ascii="Times New Roman" w:eastAsia="Times New Roman" w:hAnsi="Times New Roman" w:cs="Times New Roman"/>
          <w:kern w:val="0"/>
          <w:sz w:val="24"/>
          <w:szCs w:val="20"/>
          <w:lang w:val="ro-RO" w:eastAsia="en-GB"/>
          <w14:ligatures w14:val="none"/>
        </w:rPr>
        <w:t>”.</w:t>
      </w:r>
    </w:p>
    <w:p w14:paraId="329AE42E" w14:textId="77777777" w:rsidR="00A02B16" w:rsidRPr="00A02B16" w:rsidRDefault="00A02B16" w:rsidP="00A02B16">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Prin urmare, pentru a se putea reţine necesitatea unei salarizări egale se impune ca funcționarul public reclamant și funcționarii publici cu care se compară să facă parte din aceeași autoritate sau instituție publică, ceea ce nu este cazul în prezentul litigiu întrucât consiliile județene și direcţiile generale de asistenţă socială şi protecţia copilului sunt, în mod evident, structuri administrative diferite cu competențe diferite.</w:t>
      </w:r>
    </w:p>
    <w:p w14:paraId="7B307793" w14:textId="408B69E8" w:rsidR="00A02B16" w:rsidRPr="00A02B16" w:rsidRDefault="00A02B16" w:rsidP="00A02B1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lastRenderedPageBreak/>
        <w:t>Faţă de considerentele arătate mai sus, în baza dispozițiilor art. 493 raportat la art. 488 pct. 8 din Codul de procedură civilă şi art. 20 din Legea nr. 554/2004, constatând că soluţia primei instanţe nu este legală şi temeinică şi că instanţa de fond a aplicat eronat dispozițiile legale situaţiei de fapt deduse judecăţii, Curtea de Apel va admite recursul declarat de recurenta  Direcţia Generală de Asistenţă Socială şi Protecţia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împotriva sentinţei civile nr.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a Tribunalului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pe care o va casa în tot, și va respinge, ca neîntemeiată, cererea de chemare în judecată formulată de reclamanta </w:t>
      </w:r>
      <w:r>
        <w:rPr>
          <w:rFonts w:ascii="Times New Roman" w:eastAsia="Times New Roman" w:hAnsi="Times New Roman" w:cs="Times New Roman"/>
          <w:kern w:val="0"/>
          <w:sz w:val="24"/>
          <w:szCs w:val="20"/>
          <w:lang w:val="ro-RO" w:eastAsia="en-GB"/>
          <w14:ligatures w14:val="none"/>
        </w:rPr>
        <w:t>A</w:t>
      </w:r>
      <w:r w:rsidRPr="00A02B16">
        <w:rPr>
          <w:rFonts w:ascii="Times New Roman" w:eastAsia="Times New Roman" w:hAnsi="Times New Roman" w:cs="Times New Roman"/>
          <w:kern w:val="0"/>
          <w:sz w:val="24"/>
          <w:szCs w:val="20"/>
          <w:lang w:val="ro-RO" w:eastAsia="en-GB"/>
          <w14:ligatures w14:val="none"/>
        </w:rPr>
        <w:t xml:space="preserve"> în contradictoriu cu pârâta Direcţia Generală de Asistenţă Socială şi Protecţia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w:t>
      </w:r>
    </w:p>
    <w:p w14:paraId="0D682B75"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7057CE17"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738A3719"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1870A5E8" w14:textId="77777777" w:rsidR="00A02B16" w:rsidRPr="00A02B16" w:rsidRDefault="00A02B16" w:rsidP="00A02B16">
      <w:pPr>
        <w:spacing w:after="0" w:line="240" w:lineRule="auto"/>
        <w:jc w:val="center"/>
        <w:rPr>
          <w:rFonts w:ascii="Times New Roman" w:eastAsia="Times New Roman" w:hAnsi="Times New Roman" w:cs="Times New Roman"/>
          <w:kern w:val="0"/>
          <w:sz w:val="26"/>
          <w:szCs w:val="20"/>
          <w:lang w:val="ro-RO" w:eastAsia="en-GB"/>
          <w14:ligatures w14:val="none"/>
        </w:rPr>
      </w:pPr>
      <w:r w:rsidRPr="00A02B16">
        <w:rPr>
          <w:rFonts w:ascii="Times New Roman" w:eastAsia="Times New Roman" w:hAnsi="Times New Roman" w:cs="Times New Roman"/>
          <w:kern w:val="0"/>
          <w:sz w:val="26"/>
          <w:szCs w:val="20"/>
          <w:lang w:val="ro-RO" w:eastAsia="en-GB"/>
          <w14:ligatures w14:val="none"/>
        </w:rPr>
        <w:t>PENTRU ACESTE MOTIVE,</w:t>
      </w:r>
      <w:r w:rsidRPr="00A02B16">
        <w:rPr>
          <w:rFonts w:ascii="Times New Roman" w:eastAsia="Times New Roman" w:hAnsi="Times New Roman" w:cs="Times New Roman"/>
          <w:kern w:val="0"/>
          <w:sz w:val="26"/>
          <w:szCs w:val="20"/>
          <w:lang w:val="ro-RO" w:eastAsia="en-GB"/>
          <w14:ligatures w14:val="none"/>
        </w:rPr>
        <w:br/>
        <w:t>ÎN NUMELE LEGII</w:t>
      </w:r>
    </w:p>
    <w:p w14:paraId="34997772"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DECIDE:</w:t>
      </w:r>
    </w:p>
    <w:p w14:paraId="7E8812CC" w14:textId="77777777" w:rsidR="00A02B16" w:rsidRPr="00A02B16" w:rsidRDefault="00A02B16" w:rsidP="00A02B16">
      <w:pPr>
        <w:spacing w:after="0" w:line="240" w:lineRule="auto"/>
        <w:rPr>
          <w:rFonts w:ascii="Times New Roman" w:eastAsia="Times New Roman" w:hAnsi="Times New Roman" w:cs="Times New Roman"/>
          <w:kern w:val="0"/>
          <w:sz w:val="24"/>
          <w:szCs w:val="20"/>
          <w:lang w:val="ro-RO" w:eastAsia="en-GB"/>
          <w14:ligatures w14:val="none"/>
        </w:rPr>
      </w:pPr>
    </w:p>
    <w:p w14:paraId="454619C4" w14:textId="1E89D5F6"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Admite recursul declarat de recurenta Direcţia Generală de Asistenţă Socială şi Protecţia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împotriva sentinţei civile nr.</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pronunţată de Tribunalul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sentinţă pe care o casează.</w:t>
      </w:r>
    </w:p>
    <w:p w14:paraId="2D573F35" w14:textId="0157E281"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Respinge în tot acţiunea formulată de reclamanta </w:t>
      </w:r>
      <w:r>
        <w:rPr>
          <w:rFonts w:ascii="Times New Roman" w:eastAsia="Times New Roman" w:hAnsi="Times New Roman" w:cs="Times New Roman"/>
          <w:kern w:val="0"/>
          <w:sz w:val="24"/>
          <w:szCs w:val="20"/>
          <w:lang w:val="ro-RO" w:eastAsia="en-GB"/>
          <w14:ligatures w14:val="none"/>
        </w:rPr>
        <w:t>A</w:t>
      </w:r>
      <w:r w:rsidRPr="00A02B16">
        <w:rPr>
          <w:rFonts w:ascii="Times New Roman" w:eastAsia="Times New Roman" w:hAnsi="Times New Roman" w:cs="Times New Roman"/>
          <w:kern w:val="0"/>
          <w:sz w:val="24"/>
          <w:szCs w:val="20"/>
          <w:lang w:val="ro-RO" w:eastAsia="en-GB"/>
          <w14:ligatures w14:val="none"/>
        </w:rPr>
        <w:t xml:space="preserve"> în contradictoriu cu pârâta Direcţia Generală de Asistenţă Socială şi Protecţia Copilului V</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ca neîntemeiată. </w:t>
      </w:r>
    </w:p>
    <w:p w14:paraId="0720A747" w14:textId="77777777"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Definitivă.</w:t>
      </w:r>
    </w:p>
    <w:p w14:paraId="0ABE0C2A" w14:textId="61806D60" w:rsidR="00A02B16" w:rsidRPr="00A02B16" w:rsidRDefault="00A02B16" w:rsidP="00A02B1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Pronunţată în şedinţă publică, azi,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w:t>
      </w:r>
    </w:p>
    <w:p w14:paraId="0180043F" w14:textId="16F0E800" w:rsid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p>
    <w:p w14:paraId="485A61E1" w14:textId="27A2AF4C" w:rsidR="00A02B16" w:rsidRDefault="00A02B16" w:rsidP="00A02B16">
      <w:pPr>
        <w:spacing w:after="0" w:line="240" w:lineRule="auto"/>
        <w:jc w:val="both"/>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Președinte                                           Judecător                                       Judecător</w:t>
      </w:r>
    </w:p>
    <w:p w14:paraId="525991F4" w14:textId="4BEEE1AB" w:rsidR="00A02B16" w:rsidRDefault="00A02B16" w:rsidP="00A02B16">
      <w:pPr>
        <w:spacing w:after="0" w:line="240" w:lineRule="auto"/>
        <w:jc w:val="both"/>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                                             .............                                            A0010</w:t>
      </w:r>
    </w:p>
    <w:p w14:paraId="09C45669" w14:textId="77777777" w:rsidR="00A02B16" w:rsidRDefault="00A02B16" w:rsidP="00A02B16">
      <w:pPr>
        <w:spacing w:after="0" w:line="240" w:lineRule="auto"/>
        <w:jc w:val="both"/>
        <w:rPr>
          <w:rFonts w:ascii="Times New Roman" w:eastAsia="Times New Roman" w:hAnsi="Times New Roman" w:cs="Times New Roman"/>
          <w:kern w:val="0"/>
          <w:sz w:val="24"/>
          <w:szCs w:val="20"/>
          <w:lang w:val="ro-RO" w:eastAsia="en-GB"/>
          <w14:ligatures w14:val="none"/>
        </w:rPr>
      </w:pPr>
    </w:p>
    <w:p w14:paraId="76AF51E3" w14:textId="7D8833D6" w:rsid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Grefier</w:t>
      </w:r>
    </w:p>
    <w:p w14:paraId="550F34B3" w14:textId="19E9FDB3" w:rsid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w:t>
      </w:r>
    </w:p>
    <w:p w14:paraId="72E07D64"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p>
    <w:p w14:paraId="272FA1F5" w14:textId="77777777" w:rsidR="00A02B16" w:rsidRPr="00A02B16" w:rsidRDefault="00A02B16" w:rsidP="00A02B16">
      <w:pPr>
        <w:spacing w:after="0" w:line="240" w:lineRule="auto"/>
        <w:jc w:val="center"/>
        <w:rPr>
          <w:rFonts w:ascii="Times New Roman" w:eastAsia="Times New Roman" w:hAnsi="Times New Roman" w:cs="Times New Roman"/>
          <w:kern w:val="0"/>
          <w:sz w:val="24"/>
          <w:szCs w:val="20"/>
          <w:lang w:val="ro-RO" w:eastAsia="en-GB"/>
          <w14:ligatures w14:val="none"/>
        </w:rPr>
      </w:pPr>
    </w:p>
    <w:p w14:paraId="6964E8E7" w14:textId="303C820C" w:rsidR="00A02B16" w:rsidRPr="00A02B16" w:rsidRDefault="00A02B16" w:rsidP="00A02B16">
      <w:pPr>
        <w:spacing w:after="0" w:line="240" w:lineRule="auto"/>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Red. / Tehnored. Jud </w:t>
      </w:r>
      <w:r>
        <w:rPr>
          <w:rFonts w:ascii="Times New Roman" w:eastAsia="Times New Roman" w:hAnsi="Times New Roman" w:cs="Times New Roman"/>
          <w:kern w:val="0"/>
          <w:sz w:val="24"/>
          <w:szCs w:val="20"/>
          <w:lang w:val="ro-RO" w:eastAsia="en-GB"/>
          <w14:ligatures w14:val="none"/>
        </w:rPr>
        <w:t>A001</w:t>
      </w:r>
      <w:r w:rsidR="00AA67EC">
        <w:rPr>
          <w:rFonts w:ascii="Times New Roman" w:eastAsia="Times New Roman" w:hAnsi="Times New Roman" w:cs="Times New Roman"/>
          <w:kern w:val="0"/>
          <w:sz w:val="24"/>
          <w:szCs w:val="20"/>
          <w:lang w:val="ro-RO" w:eastAsia="en-GB"/>
          <w14:ligatures w14:val="none"/>
        </w:rPr>
        <w:t>0</w:t>
      </w:r>
    </w:p>
    <w:p w14:paraId="5F47D466" w14:textId="250184DB" w:rsidR="00A02B16" w:rsidRPr="00A02B16" w:rsidRDefault="00A02B16" w:rsidP="00A02B16">
      <w:pPr>
        <w:spacing w:after="0" w:line="240" w:lineRule="auto"/>
        <w:rPr>
          <w:rFonts w:ascii="Times New Roman" w:eastAsia="Times New Roman" w:hAnsi="Times New Roman" w:cs="Times New Roman"/>
          <w:kern w:val="0"/>
          <w:sz w:val="24"/>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2 ex./</w:t>
      </w:r>
      <w:r>
        <w:rPr>
          <w:rFonts w:ascii="Times New Roman" w:eastAsia="Times New Roman" w:hAnsi="Times New Roman" w:cs="Times New Roman"/>
          <w:kern w:val="0"/>
          <w:sz w:val="24"/>
          <w:szCs w:val="20"/>
          <w:lang w:val="ro-RO" w:eastAsia="en-GB"/>
          <w14:ligatures w14:val="none"/>
        </w:rPr>
        <w:t>..........</w:t>
      </w:r>
    </w:p>
    <w:p w14:paraId="61AC338E" w14:textId="5EEB40E6" w:rsidR="00A02B16" w:rsidRPr="00A02B16" w:rsidRDefault="00A02B16" w:rsidP="00A02B16">
      <w:pPr>
        <w:spacing w:after="0" w:line="240" w:lineRule="auto"/>
        <w:rPr>
          <w:rFonts w:ascii="Times New Roman" w:eastAsia="Times New Roman" w:hAnsi="Times New Roman" w:cs="Times New Roman"/>
          <w:kern w:val="0"/>
          <w:sz w:val="16"/>
          <w:szCs w:val="20"/>
          <w:lang w:val="ro-RO" w:eastAsia="en-GB"/>
          <w14:ligatures w14:val="none"/>
        </w:rPr>
      </w:pPr>
      <w:r w:rsidRPr="00A02B16">
        <w:rPr>
          <w:rFonts w:ascii="Times New Roman" w:eastAsia="Times New Roman" w:hAnsi="Times New Roman" w:cs="Times New Roman"/>
          <w:kern w:val="0"/>
          <w:sz w:val="24"/>
          <w:szCs w:val="20"/>
          <w:lang w:val="ro-RO" w:eastAsia="en-GB"/>
          <w14:ligatures w14:val="none"/>
        </w:rPr>
        <w:t xml:space="preserve">Tribunalul </w:t>
      </w:r>
      <w:r>
        <w:rPr>
          <w:rFonts w:ascii="Times New Roman" w:eastAsia="Times New Roman" w:hAnsi="Times New Roman" w:cs="Times New Roman"/>
          <w:kern w:val="0"/>
          <w:sz w:val="24"/>
          <w:szCs w:val="20"/>
          <w:lang w:val="ro-RO" w:eastAsia="en-GB"/>
          <w14:ligatures w14:val="none"/>
        </w:rPr>
        <w:t>.........</w:t>
      </w:r>
      <w:r w:rsidRPr="00A02B16">
        <w:rPr>
          <w:rFonts w:ascii="Times New Roman" w:eastAsia="Times New Roman" w:hAnsi="Times New Roman" w:cs="Times New Roman"/>
          <w:kern w:val="0"/>
          <w:sz w:val="24"/>
          <w:szCs w:val="20"/>
          <w:lang w:val="ro-RO" w:eastAsia="en-GB"/>
          <w14:ligatures w14:val="none"/>
        </w:rPr>
        <w:t xml:space="preserve"> – Judecător </w:t>
      </w:r>
      <w:r>
        <w:rPr>
          <w:rFonts w:ascii="Times New Roman" w:eastAsia="Times New Roman" w:hAnsi="Times New Roman" w:cs="Times New Roman"/>
          <w:kern w:val="0"/>
          <w:sz w:val="24"/>
          <w:szCs w:val="20"/>
          <w:lang w:val="ro-RO" w:eastAsia="en-GB"/>
          <w14:ligatures w14:val="none"/>
        </w:rPr>
        <w:t>..............</w:t>
      </w:r>
    </w:p>
    <w:p w14:paraId="2642BB02" w14:textId="77777777" w:rsidR="00A02B16" w:rsidRPr="00A02B16" w:rsidRDefault="00A02B16" w:rsidP="00A02B16">
      <w:pPr>
        <w:spacing w:after="0" w:line="240" w:lineRule="auto"/>
        <w:rPr>
          <w:rFonts w:ascii="Times New Roman" w:eastAsia="Times New Roman" w:hAnsi="Times New Roman" w:cs="Times New Roman"/>
          <w:kern w:val="0"/>
          <w:sz w:val="16"/>
          <w:szCs w:val="20"/>
          <w:lang w:val="ro-RO" w:eastAsia="en-GB"/>
          <w14:ligatures w14:val="none"/>
        </w:rPr>
      </w:pPr>
    </w:p>
    <w:p w14:paraId="313AAAE3" w14:textId="77777777" w:rsidR="000C1B57" w:rsidRPr="00A02B16" w:rsidRDefault="000C1B57">
      <w:pPr>
        <w:rPr>
          <w:lang w:val="fr-FR"/>
        </w:rPr>
      </w:pPr>
    </w:p>
    <w:sectPr w:rsidR="000C1B57" w:rsidRPr="00A02B1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CA7"/>
    <w:rsid w:val="00085EB6"/>
    <w:rsid w:val="000C1B57"/>
    <w:rsid w:val="000D553B"/>
    <w:rsid w:val="00104E31"/>
    <w:rsid w:val="001A5039"/>
    <w:rsid w:val="002219AE"/>
    <w:rsid w:val="0041047C"/>
    <w:rsid w:val="00446AF8"/>
    <w:rsid w:val="008C6057"/>
    <w:rsid w:val="00A02B16"/>
    <w:rsid w:val="00AA67EC"/>
    <w:rsid w:val="00B65F2B"/>
    <w:rsid w:val="00BA3CA7"/>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8BEB7"/>
  <w15:chartTrackingRefBased/>
  <w15:docId w15:val="{EF33D263-3827-4596-9C08-72B6C835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A3C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A3C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A3CA7"/>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A3CA7"/>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A3CA7"/>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A3CA7"/>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A3CA7"/>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A3CA7"/>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A3CA7"/>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A3CA7"/>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BA3CA7"/>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BA3CA7"/>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BA3CA7"/>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BA3CA7"/>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BA3CA7"/>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A3CA7"/>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A3CA7"/>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A3CA7"/>
    <w:rPr>
      <w:rFonts w:eastAsiaTheme="majorEastAsia" w:cstheme="majorBidi"/>
      <w:color w:val="272727" w:themeColor="text1" w:themeTint="D8"/>
    </w:rPr>
  </w:style>
  <w:style w:type="paragraph" w:styleId="Titlu">
    <w:name w:val="Title"/>
    <w:basedOn w:val="Normal"/>
    <w:next w:val="Normal"/>
    <w:link w:val="TitluCaracter"/>
    <w:uiPriority w:val="10"/>
    <w:qFormat/>
    <w:rsid w:val="00BA3C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A3CA7"/>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A3CA7"/>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A3CA7"/>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A3CA7"/>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A3CA7"/>
    <w:rPr>
      <w:i/>
      <w:iCs/>
      <w:color w:val="404040" w:themeColor="text1" w:themeTint="BF"/>
    </w:rPr>
  </w:style>
  <w:style w:type="paragraph" w:styleId="Listparagraf">
    <w:name w:val="List Paragraph"/>
    <w:basedOn w:val="Normal"/>
    <w:uiPriority w:val="34"/>
    <w:qFormat/>
    <w:rsid w:val="00BA3CA7"/>
    <w:pPr>
      <w:ind w:left="720"/>
      <w:contextualSpacing/>
    </w:pPr>
  </w:style>
  <w:style w:type="character" w:styleId="Accentuareintens">
    <w:name w:val="Intense Emphasis"/>
    <w:basedOn w:val="Fontdeparagrafimplicit"/>
    <w:uiPriority w:val="21"/>
    <w:qFormat/>
    <w:rsid w:val="00BA3CA7"/>
    <w:rPr>
      <w:i/>
      <w:iCs/>
      <w:color w:val="2F5496" w:themeColor="accent1" w:themeShade="BF"/>
    </w:rPr>
  </w:style>
  <w:style w:type="paragraph" w:styleId="Citatintens">
    <w:name w:val="Intense Quote"/>
    <w:basedOn w:val="Normal"/>
    <w:next w:val="Normal"/>
    <w:link w:val="CitatintensCaracter"/>
    <w:uiPriority w:val="30"/>
    <w:qFormat/>
    <w:rsid w:val="00BA3C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A3CA7"/>
    <w:rPr>
      <w:i/>
      <w:iCs/>
      <w:color w:val="2F5496" w:themeColor="accent1" w:themeShade="BF"/>
    </w:rPr>
  </w:style>
  <w:style w:type="character" w:styleId="Referireintens">
    <w:name w:val="Intense Reference"/>
    <w:basedOn w:val="Fontdeparagrafimplicit"/>
    <w:uiPriority w:val="32"/>
    <w:qFormat/>
    <w:rsid w:val="00BA3CA7"/>
    <w:rPr>
      <w:b/>
      <w:bCs/>
      <w:smallCaps/>
      <w:color w:val="2F5496" w:themeColor="accent1" w:themeShade="BF"/>
      <w:spacing w:val="5"/>
    </w:rPr>
  </w:style>
  <w:style w:type="table" w:customStyle="1" w:styleId="TabelNormal1">
    <w:name w:val="Tabel Normal1"/>
    <w:rsid w:val="00A02B16"/>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DocumentView(218386,%203986358);" TargetMode="External"/><Relationship Id="rId3" Type="http://schemas.openxmlformats.org/officeDocument/2006/relationships/webSettings" Target="webSettings.xml"/><Relationship Id="rId7" Type="http://schemas.openxmlformats.org/officeDocument/2006/relationships/hyperlink" Target="javascript:OpenDocumentView(218386,%20398635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OpenDocumentView(218386,%203986358);" TargetMode="External"/><Relationship Id="rId11" Type="http://schemas.openxmlformats.org/officeDocument/2006/relationships/theme" Target="theme/theme1.xml"/><Relationship Id="rId5" Type="http://schemas.openxmlformats.org/officeDocument/2006/relationships/hyperlink" Target="javascript:OpenDocumentView(218386,%203986358);" TargetMode="External"/><Relationship Id="rId10" Type="http://schemas.openxmlformats.org/officeDocument/2006/relationships/fontTable" Target="fontTable.xml"/><Relationship Id="rId4" Type="http://schemas.openxmlformats.org/officeDocument/2006/relationships/hyperlink" Target="javascript:OpenDocumentView(218386,%203986358);" TargetMode="External"/><Relationship Id="rId9" Type="http://schemas.openxmlformats.org/officeDocument/2006/relationships/hyperlink" Target="javascript:OpenDocumentView(218386,%2039863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1902</Words>
  <Characters>11036</Characters>
  <Application>Microsoft Office Word</Application>
  <DocSecurity>0</DocSecurity>
  <Lines>91</Lines>
  <Paragraphs>25</Paragraphs>
  <ScaleCrop>false</ScaleCrop>
  <Manager/>
  <Company/>
  <LinksUpToDate>false</LinksUpToDate>
  <CharactersWithSpaces>12913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2026-09-04T07:55:00Z</dcterms:created>
  <dcterms:modified xsi:type="dcterms:W3CDTF">2026-09-04T07:56:00Z</dcterms:modified>
  <cp:category/>
  <dc:identifier/>
  <cp:contentStatus/>
  <dc:language/>
  <cp:version/>
</cp:coreProperties>
</file>