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F04844" w:rsidR="006C7C1A" w14:paraId="01B621BA" w14:textId="77777777">
      <w:pPr>
        <w:rPr>
          <w:rStyle w:val="Fontdeparagrafimplicit"/>
          <w:rFonts w:ascii="Bookman Old Style" w:hAnsi="Bookman Old Style"/>
          <w:lang w:val="ro-RO"/>
        </w:rPr>
      </w:pPr>
    </w:p>
    <w:p w:rsidRPr="00F04844" w:rsidR="006C7C1A" w14:paraId="433886E8" w14:textId="77777777">
      <w:pPr>
        <w:pStyle w:val="Titlu3"/>
        <w:jc w:val="center"/>
        <w:rPr>
          <w:rStyle w:val="Fontdeparagrafimplicit"/>
          <w:rFonts w:ascii="Bookman Old Style" w:hAnsi="Bookman Old Style"/>
          <w:sz w:val="24"/>
          <w:lang w:val="ro-RO"/>
        </w:rPr>
      </w:pPr>
      <w:r w:rsidRPr="00F04844">
        <w:rPr>
          <w:rStyle w:val="Fontdeparagrafimplicit"/>
          <w:rFonts w:ascii="Bookman Old Style" w:hAnsi="Bookman Old Style"/>
          <w:b w:val="0"/>
          <w:sz w:val="24"/>
          <w:lang w:val="ro-RO"/>
        </w:rPr>
        <w:t>R O M Â N I A</w:t>
      </w:r>
    </w:p>
    <w:p w:rsidRPr="00F04844" w:rsidR="006C7C1A" w14:paraId="6A9C3DCF"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 xml:space="preserve">CURTEA DE APEL </w:t>
      </w:r>
      <w:r w:rsidRPr="00F04844" w:rsidR="008F26DA">
        <w:rPr>
          <w:rStyle w:val="Fontdeparagrafimplicit"/>
          <w:rFonts w:ascii="Bookman Old Style" w:hAnsi="Bookman Old Style"/>
          <w:lang w:val="ro-RO"/>
        </w:rPr>
        <w:t xml:space="preserve">......... </w:t>
      </w:r>
    </w:p>
    <w:p w:rsidRPr="00F04844" w:rsidR="006C7C1A" w14:paraId="06FC22A4"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 xml:space="preserve">SECŢIA </w:t>
      </w:r>
      <w:r w:rsidRPr="00F04844" w:rsidR="008F26DA">
        <w:rPr>
          <w:rStyle w:val="Fontdeparagrafimplicit"/>
          <w:rFonts w:ascii="Bookman Old Style" w:hAnsi="Bookman Old Style"/>
          <w:lang w:val="ro-RO"/>
        </w:rPr>
        <w:t xml:space="preserve">......... </w:t>
      </w:r>
    </w:p>
    <w:p w:rsidRPr="00F04844" w:rsidR="006C7C1A" w14:paraId="11C9AB66" w14:textId="77777777">
      <w:pPr>
        <w:jc w:val="center"/>
        <w:rPr>
          <w:rStyle w:val="Fontdeparagrafimplicit"/>
          <w:rFonts w:ascii="Bookman Old Style" w:hAnsi="Bookman Old Style"/>
          <w:lang w:val="ro-RO"/>
        </w:rPr>
      </w:pPr>
    </w:p>
    <w:p w:rsidRPr="00F04844" w:rsidR="006C7C1A" w14:paraId="00C115EA" w14:textId="77777777">
      <w:pPr>
        <w:rPr>
          <w:rStyle w:val="Fontdeparagrafimplicit"/>
          <w:rFonts w:ascii="Bookman Old Style" w:hAnsi="Bookman Old Style"/>
          <w:lang w:val="ro-RO"/>
        </w:rPr>
      </w:pPr>
      <w:r w:rsidRPr="00F04844">
        <w:rPr>
          <w:rStyle w:val="Fontdeparagrafimplicit"/>
          <w:rFonts w:ascii="Bookman Old Style" w:hAnsi="Bookman Old Style"/>
          <w:lang w:val="ro-RO"/>
        </w:rPr>
        <w:t xml:space="preserve">Dosar nr. </w:t>
      </w:r>
      <w:r w:rsidRPr="00F04844" w:rsidR="00EB1DFB">
        <w:rPr>
          <w:rStyle w:val="Fontdeparagrafimplicit"/>
          <w:rFonts w:ascii="Bookman Old Style" w:hAnsi="Bookman Old Style"/>
          <w:lang w:val="ro-RO"/>
        </w:rPr>
        <w:t>19</w:t>
      </w:r>
    </w:p>
    <w:p w:rsidRPr="00F04844" w:rsidR="006C7C1A" w14:paraId="0A726BC8" w14:textId="77777777">
      <w:pPr>
        <w:pStyle w:val="Titlu2"/>
        <w:jc w:val="center"/>
        <w:rPr>
          <w:rStyle w:val="Fontdeparagrafimplicit"/>
          <w:rFonts w:ascii="Bookman Old Style" w:hAnsi="Bookman Old Style"/>
          <w:lang w:val="ro-RO"/>
        </w:rPr>
      </w:pPr>
      <w:r w:rsidRPr="00F04844">
        <w:rPr>
          <w:rStyle w:val="Fontdeparagrafimplicit"/>
          <w:rFonts w:ascii="Bookman Old Style" w:hAnsi="Bookman Old Style"/>
          <w:lang w:val="ro-RO"/>
        </w:rPr>
        <w:t xml:space="preserve">DECIZIA CIVILĂ Nr. </w:t>
      </w:r>
      <w:r w:rsidRPr="00F04844" w:rsidR="00EB1DFB">
        <w:rPr>
          <w:rStyle w:val="Fontdeparagrafimplicit"/>
          <w:rFonts w:ascii="Bookman Old Style" w:hAnsi="Bookman Old Style"/>
          <w:lang w:val="ro-RO"/>
        </w:rPr>
        <w:t>19</w:t>
      </w:r>
    </w:p>
    <w:p w:rsidRPr="00F04844" w:rsidR="006C7C1A" w14:paraId="629D8CDB"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 xml:space="preserve">Şedinţa publică din data de </w:t>
      </w:r>
      <w:r w:rsidRPr="00F04844" w:rsidR="008F26DA">
        <w:rPr>
          <w:rStyle w:val="Fontdeparagrafimplicit"/>
          <w:rFonts w:ascii="Bookman Old Style" w:hAnsi="Bookman Old Style"/>
          <w:lang w:val="ro-RO"/>
        </w:rPr>
        <w:t xml:space="preserve">.......... </w:t>
      </w:r>
    </w:p>
    <w:p w:rsidRPr="00F04844" w:rsidR="006C7C1A" w14:paraId="5131918D"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Instanţa constituită din:</w:t>
      </w:r>
    </w:p>
    <w:p w:rsidRPr="00F04844" w:rsidR="006C7C1A" w14:paraId="75A9A43D"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 xml:space="preserve">PREŞEDINTE: </w:t>
      </w:r>
      <w:r w:rsidRPr="00F04844" w:rsidR="008F26DA">
        <w:rPr>
          <w:rStyle w:val="Fontdeparagrafimplicit"/>
          <w:rFonts w:ascii="Bookman Old Style" w:hAnsi="Bookman Old Style"/>
          <w:lang w:val="ro-RO"/>
        </w:rPr>
        <w:t xml:space="preserve">.............. </w:t>
      </w:r>
    </w:p>
    <w:p w:rsidRPr="00F04844" w:rsidR="006C7C1A" w14:paraId="080EA615"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 xml:space="preserve">JUDECĂTOR: </w:t>
      </w:r>
      <w:r w:rsidRPr="00F04844" w:rsidR="008F26DA">
        <w:rPr>
          <w:rStyle w:val="Fontdeparagrafimplicit"/>
          <w:rFonts w:ascii="Bookman Old Style" w:hAnsi="Bookman Old Style"/>
          <w:lang w:val="ro-RO"/>
        </w:rPr>
        <w:t>A0019</w:t>
      </w:r>
    </w:p>
    <w:p w:rsidRPr="00F04844" w:rsidR="006C7C1A" w14:paraId="35063917"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 xml:space="preserve">JUDECĂTOR: </w:t>
      </w:r>
      <w:r w:rsidRPr="00F04844" w:rsidR="008F26DA">
        <w:rPr>
          <w:rStyle w:val="Fontdeparagrafimplicit"/>
          <w:rFonts w:ascii="Bookman Old Style" w:hAnsi="Bookman Old Style"/>
          <w:lang w:val="ro-RO"/>
        </w:rPr>
        <w:t xml:space="preserve">............... </w:t>
      </w:r>
    </w:p>
    <w:p w:rsidRPr="00F04844" w:rsidR="006C7C1A" w14:paraId="4AC8E971"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 xml:space="preserve">GREFIER: </w:t>
      </w:r>
      <w:r w:rsidRPr="00F04844" w:rsidR="008F26DA">
        <w:rPr>
          <w:rStyle w:val="Fontdeparagrafimplicit"/>
          <w:rFonts w:ascii="Bookman Old Style" w:hAnsi="Bookman Old Style"/>
          <w:lang w:val="ro-RO"/>
        </w:rPr>
        <w:t xml:space="preserve">............... </w:t>
      </w:r>
    </w:p>
    <w:p w:rsidRPr="00F04844" w:rsidR="006C7C1A" w14:paraId="18B075D6" w14:textId="77777777">
      <w:pPr>
        <w:jc w:val="center"/>
        <w:rPr>
          <w:rStyle w:val="Fontdeparagrafimplicit"/>
          <w:rFonts w:ascii="Bookman Old Style" w:hAnsi="Bookman Old Style"/>
          <w:lang w:val="ro-RO"/>
        </w:rPr>
      </w:pPr>
    </w:p>
    <w:p w:rsidRPr="00F04844" w:rsidR="006C7C1A" w14:paraId="44A547CB" w14:textId="7AD9C0A0">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S-a luat în examinare recursul declarat de reclamantul </w:t>
      </w:r>
      <w:r w:rsidRPr="00F04844" w:rsidR="008F26DA">
        <w:rPr>
          <w:rStyle w:val="Fontdeparagrafimplicit"/>
          <w:rFonts w:ascii="Bookman Old Style" w:hAnsi="Bookman Old Style"/>
          <w:lang w:val="ro-RO"/>
        </w:rPr>
        <w:t>1</w:t>
      </w:r>
      <w:r w:rsidR="0035144E">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 xml:space="preserve">împotriva sentinţei civile nr. </w:t>
      </w:r>
      <w:r w:rsidRPr="00F04844" w:rsidR="008F26DA">
        <w:rPr>
          <w:rStyle w:val="Fontdeparagrafimplicit"/>
          <w:rFonts w:ascii="Bookman Old Style" w:hAnsi="Bookman Old Style"/>
          <w:lang w:val="ro-RO"/>
        </w:rPr>
        <w:t>.....</w:t>
      </w:r>
      <w:r w:rsidRPr="00F04844">
        <w:rPr>
          <w:rStyle w:val="Fontdeparagrafimplicit"/>
          <w:rFonts w:ascii="Bookman Old Style" w:hAnsi="Bookman Old Style"/>
          <w:lang w:val="ro-RO"/>
        </w:rPr>
        <w:t xml:space="preserve">din </w:t>
      </w:r>
      <w:r w:rsidRPr="00F04844" w:rsidR="008F26DA">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 xml:space="preserve"> pronunţate de Tribunalul </w:t>
      </w:r>
      <w:r w:rsidRPr="00F04844" w:rsidR="008F26DA">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 xml:space="preserve">, în dosar nr. </w:t>
      </w:r>
      <w:r w:rsidRPr="00F04844" w:rsidR="00EB1DFB">
        <w:rPr>
          <w:rStyle w:val="Fontdeparagrafimplicit"/>
          <w:rFonts w:ascii="Bookman Old Style" w:hAnsi="Bookman Old Style"/>
          <w:lang w:val="ro-RO"/>
        </w:rPr>
        <w:t>19</w:t>
      </w:r>
      <w:r w:rsidRPr="00F04844">
        <w:rPr>
          <w:rStyle w:val="Fontdeparagrafimplicit"/>
          <w:rFonts w:ascii="Bookman Old Style" w:hAnsi="Bookman Old Style"/>
          <w:lang w:val="ro-RO"/>
        </w:rPr>
        <w:t xml:space="preserve">, privind şi pe intimata pârâtă CASA JUDEŢEANĂ DE PENSII </w:t>
      </w:r>
      <w:r w:rsidRPr="00F04844" w:rsidR="008F26DA">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 având ca obiect recalculare pensie.</w:t>
      </w:r>
    </w:p>
    <w:p w:rsidRPr="00F04844" w:rsidR="006C7C1A" w14:paraId="13C0014E"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La apelul nominal făcut în şedinţă publică se prezintă reprezentanta reclamantului recurent – avocat </w:t>
      </w:r>
      <w:r w:rsidRPr="00F04844" w:rsidR="008F26DA">
        <w:rPr>
          <w:rStyle w:val="Fontdeparagrafimplicit"/>
          <w:rFonts w:ascii="Bookman Old Style" w:hAnsi="Bookman Old Style"/>
          <w:lang w:val="ro-RO"/>
        </w:rPr>
        <w:t>3</w:t>
      </w:r>
      <w:r w:rsidRPr="00F04844">
        <w:rPr>
          <w:rStyle w:val="Fontdeparagrafimplicit"/>
          <w:rFonts w:ascii="Bookman Old Style" w:hAnsi="Bookman Old Style"/>
          <w:lang w:val="ro-RO"/>
        </w:rPr>
        <w:t xml:space="preserve"> din cadrul Baroului </w:t>
      </w:r>
      <w:r w:rsidRPr="00F04844" w:rsidR="008F26DA">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w:t>
      </w:r>
    </w:p>
    <w:p w:rsidRPr="00F04844" w:rsidR="006C7C1A" w14:paraId="47FEB68C"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Procedura de citare este legal îndeplinită.</w:t>
      </w:r>
    </w:p>
    <w:p w:rsidRPr="00F04844" w:rsidR="006C7C1A" w14:paraId="11ADEEF5"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Recursul este declarat şi motivat în termen legal, a fost comunicat intimatei şi este scutit de plata taxei judiciare de timbru şi a timbrului judiciar.</w:t>
      </w:r>
    </w:p>
    <w:p w:rsidRPr="00F04844" w:rsidR="006C7C1A" w14:paraId="58B4D52A"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S-a făcut referatul cauzei, după care reprezentanta reclamantului arată că a solicitat cauza la amânări întrucât s-a efectuat un raport suplimentar la raportul de expertiză contabilă, raport pe care îl depune la dosar şi solicită comunicarea lui cu pârâta.</w:t>
      </w:r>
    </w:p>
    <w:p w:rsidRPr="00F04844" w:rsidR="006C7C1A" w14:paraId="2C6293E3"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Curtea, în urma deliberării, respinge cererea de amânare pentru comunicarea raportului de expertiză, având în vedere stadiul procesual în care se află cauza de faţă, respectiv recurs şi lasă cauza la ordine.</w:t>
      </w:r>
    </w:p>
    <w:p w:rsidRPr="00F04844" w:rsidR="006C7C1A" w14:paraId="5CD026F5"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La reluarea cauzei se prezintă şi reclamantul recurent.</w:t>
      </w:r>
    </w:p>
    <w:p w:rsidRPr="00F04844" w:rsidR="006C7C1A" w14:paraId="38736763"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Reprezentanta reclamantului depune la dosar o adeverinţă şi o notă de calcul din care ar rezulta că în momentul pensionării reclamantul beneficia de un stagiu de cotizare de 30 de ani şi 6 luni.</w:t>
      </w:r>
    </w:p>
    <w:p w:rsidRPr="00F04844" w:rsidR="006C7C1A" w14:paraId="3E520766"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La întrebarea instanţei cu privire la momentul acordării punctajului suplimentar, reprezentanta reclamantului arată că acesta ar trebui să fie anul 2010, că reclamantul a solicitat recalcularea pensiei dar pârâta a aplicat procentul de 25 % pentru a nu face aplicările creşterilor de punctaj conform cu adeverinţele depuse.</w:t>
      </w:r>
    </w:p>
    <w:p w:rsidRPr="00F04844" w:rsidR="006C7C1A" w14:paraId="6BF2A400"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Nefiind formulate cereri în probaţiune Curtea declară închise dezbaterile şi acordă cuvântul asupra recursului.</w:t>
      </w:r>
    </w:p>
    <w:p w:rsidRPr="00F04844" w:rsidR="006C7C1A" w14:paraId="568A8CEF"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Reprezentanta reclamantului susţine recursul astfel cum a fost formulat în scris solicitând admiterea lui, modificarea hotărârii în sensul admiterii acţiunii reclamantului, fără cheltuieli de judecată.</w:t>
      </w:r>
    </w:p>
    <w:p w:rsidRPr="00F04844" w:rsidR="006C7C1A" w14:paraId="1C4D8D42"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Curtea reţine cauza în pronunţare.</w:t>
      </w:r>
    </w:p>
    <w:p w:rsidRPr="00F04844" w:rsidR="006C7C1A" w14:paraId="6630EE0C" w14:textId="77777777">
      <w:pPr>
        <w:jc w:val="center"/>
        <w:rPr>
          <w:rStyle w:val="Fontdeparagrafimplicit"/>
          <w:rFonts w:ascii="Bookman Old Style" w:hAnsi="Bookman Old Style"/>
          <w:lang w:val="ro-RO"/>
        </w:rPr>
      </w:pPr>
    </w:p>
    <w:p w:rsidRPr="00F04844" w:rsidR="006C7C1A" w14:paraId="7E2930BA"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C U R T E A</w:t>
      </w:r>
    </w:p>
    <w:p w:rsidRPr="00F04844" w:rsidR="006C7C1A" w14:paraId="0D3F3EC4" w14:textId="77777777">
      <w:pPr>
        <w:jc w:val="center"/>
        <w:rPr>
          <w:rStyle w:val="Fontdeparagrafimplicit"/>
          <w:rFonts w:ascii="Bookman Old Style" w:hAnsi="Bookman Old Style"/>
          <w:i/>
          <w:lang w:val="ro-RO"/>
        </w:rPr>
      </w:pPr>
    </w:p>
    <w:p w:rsidRPr="00F04844" w:rsidR="006C7C1A" w14:paraId="4E57ADF5"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i/>
          <w:lang w:val="ro-RO"/>
        </w:rPr>
        <w:t xml:space="preserve">Prin sentinţa civilă nr. </w:t>
      </w:r>
      <w:r w:rsidRPr="00F04844" w:rsidR="008F26DA">
        <w:rPr>
          <w:rStyle w:val="Fontdeparagrafimplicit"/>
          <w:rFonts w:ascii="Bookman Old Style" w:hAnsi="Bookman Old Style"/>
          <w:i/>
          <w:lang w:val="ro-RO"/>
        </w:rPr>
        <w:t>.....</w:t>
      </w:r>
      <w:r w:rsidRPr="00F04844">
        <w:rPr>
          <w:rStyle w:val="Fontdeparagrafimplicit"/>
          <w:rFonts w:ascii="Bookman Old Style" w:hAnsi="Bookman Old Style"/>
          <w:i/>
          <w:lang w:val="ro-RO"/>
        </w:rPr>
        <w:t xml:space="preserve">din </w:t>
      </w:r>
      <w:r w:rsidRPr="00F04844" w:rsidR="008F26DA">
        <w:rPr>
          <w:rStyle w:val="Fontdeparagrafimplicit"/>
          <w:rFonts w:ascii="Bookman Old Style" w:hAnsi="Bookman Old Style"/>
          <w:i/>
          <w:lang w:val="ro-RO"/>
        </w:rPr>
        <w:t xml:space="preserve">............. </w:t>
      </w:r>
      <w:r w:rsidRPr="00F04844">
        <w:rPr>
          <w:rStyle w:val="Fontdeparagrafimplicit"/>
          <w:rFonts w:ascii="Bookman Old Style" w:hAnsi="Bookman Old Style"/>
          <w:i/>
          <w:lang w:val="ro-RO"/>
        </w:rPr>
        <w:t xml:space="preserve"> pronunţată de Tribunalul </w:t>
      </w:r>
      <w:r w:rsidRPr="00F04844" w:rsidR="008F26DA">
        <w:rPr>
          <w:rStyle w:val="Fontdeparagrafimplicit"/>
          <w:rFonts w:ascii="Bookman Old Style" w:hAnsi="Bookman Old Style"/>
          <w:i/>
          <w:lang w:val="ro-RO"/>
        </w:rPr>
        <w:t xml:space="preserve">......... </w:t>
      </w:r>
      <w:r w:rsidRPr="00F04844">
        <w:rPr>
          <w:rStyle w:val="Fontdeparagrafimplicit"/>
          <w:rFonts w:ascii="Bookman Old Style" w:hAnsi="Bookman Old Style"/>
          <w:i/>
          <w:lang w:val="ro-RO"/>
        </w:rPr>
        <w:t xml:space="preserve"> în dosarul nr. </w:t>
      </w:r>
      <w:r w:rsidRPr="00F04844" w:rsidR="00EB1DFB">
        <w:rPr>
          <w:rStyle w:val="Fontdeparagrafimplicit"/>
          <w:rFonts w:ascii="Bookman Old Style" w:hAnsi="Bookman Old Style"/>
          <w:i/>
          <w:lang w:val="ro-RO"/>
        </w:rPr>
        <w:t>19</w:t>
      </w:r>
      <w:r w:rsidRPr="00F04844">
        <w:rPr>
          <w:rStyle w:val="Fontdeparagrafimplicit"/>
          <w:rFonts w:ascii="Bookman Old Style" w:hAnsi="Bookman Old Style"/>
          <w:lang w:val="ro-RO"/>
        </w:rPr>
        <w:t xml:space="preserve"> s-a respins acţiunea formulată de reclamantul </w:t>
      </w:r>
      <w:r w:rsidRPr="00F04844" w:rsidR="008F26DA">
        <w:rPr>
          <w:rStyle w:val="Fontdeparagrafimplicit"/>
          <w:rFonts w:ascii="Bookman Old Style" w:hAnsi="Bookman Old Style"/>
          <w:b/>
          <w:lang w:val="ro-RO"/>
        </w:rPr>
        <w:t xml:space="preserve">1 </w:t>
      </w:r>
      <w:r w:rsidRPr="00F04844">
        <w:rPr>
          <w:rStyle w:val="Fontdeparagrafimplicit"/>
          <w:rFonts w:ascii="Bookman Old Style" w:hAnsi="Bookman Old Style"/>
          <w:lang w:val="ro-RO"/>
        </w:rPr>
        <w:t xml:space="preserve">împotriva pârâtei </w:t>
      </w:r>
      <w:r w:rsidRPr="00F04844">
        <w:rPr>
          <w:rStyle w:val="Fontdeparagrafimplicit"/>
          <w:rFonts w:ascii="Bookman Old Style" w:hAnsi="Bookman Old Style"/>
          <w:b/>
          <w:lang w:val="ro-RO"/>
        </w:rPr>
        <w:t xml:space="preserve">Casa Judeţeană de Pensii </w:t>
      </w:r>
      <w:r w:rsidRPr="00F04844" w:rsidR="008F26DA">
        <w:rPr>
          <w:rStyle w:val="Fontdeparagrafimplicit"/>
          <w:rFonts w:ascii="Bookman Old Style" w:hAnsi="Bookman Old Style"/>
          <w:b/>
          <w:lang w:val="ro-RO"/>
        </w:rPr>
        <w:t xml:space="preserve">......... </w:t>
      </w:r>
      <w:r w:rsidRPr="00F04844">
        <w:rPr>
          <w:rStyle w:val="Fontdeparagrafimplicit"/>
          <w:rFonts w:ascii="Bookman Old Style" w:hAnsi="Bookman Old Style"/>
          <w:lang w:val="ro-RO"/>
        </w:rPr>
        <w:t xml:space="preserve"> având ca obiect drepturi de asigurări sociale.</w:t>
      </w:r>
    </w:p>
    <w:p w:rsidRPr="00F04844" w:rsidR="006C7C1A" w14:paraId="14B97828"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Pentru a hotărî astfel prima instantă a retinut că reclamantul a fost pensionat în baza Legii nr. 3/1977 începând cu data de 01.11.1997.</w:t>
      </w:r>
    </w:p>
    <w:p w:rsidRPr="00F04844" w:rsidR="006C7C1A" w14:paraId="2A435C71"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Reclamantului i-a fost recalculată pensia în baza actelor normative începând cu data de 01.12.2005, utilizându-se un stagiu complet de cotizare de 25 ani, în loc de stagiul complet de cotizare de 30 ani prevăzut de Legea nr. 3/1977 pentru bărbaţi.</w:t>
      </w:r>
    </w:p>
    <w:p w:rsidRPr="00F04844" w:rsidR="006C7C1A" w14:paraId="753E2095"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Ori, potrivit art. 169 din Legea nr. 263/2010 nu se poate acorda majorarea punctajelor anuale pentru perioada cât au desfăşurat activitate în grupa I-a şi a II-a de muncă persoanelor care au beneficiat de un alt stagiu de cotizare, stagiu care a fost prevăzut de o lege specială.</w:t>
      </w:r>
    </w:p>
    <w:p w:rsidRPr="00F04844" w:rsidR="006C7C1A" w14:paraId="6B74E38C"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Reclamantului i s-a recalculat pensia prin utilizarea unui stagiu redus de cotizare de 25 de ani în loc de stagiul complet de cotizare de 30 de ani.</w:t>
      </w:r>
    </w:p>
    <w:p w:rsidRPr="00F04844" w:rsidR="006C7C1A" w14:paraId="7E4A4F97"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În ceea ce priveşte luarea în calcul a stagiului asimilat – facultatea – se poate observa din datele privitoare la activitatea în muncă că a fost luată în calculul drepturilor de pensie ale reclamantului.</w:t>
      </w:r>
    </w:p>
    <w:p w:rsidRPr="00F04844" w:rsidR="006C7C1A" w14:paraId="03DC5D0E"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Art. 78 alin. 8 din Legea nr. 19/2000 prevedea că ¨Asiguraţii care, după îndeplinirea condiţiilor de pensionare pentru limită de vârstă, reglementate de prezenta lege, contribuie o anumită perioadă la sistemul public, regăsindu-se în una dintre situaţiile prevăzute la art. 5, beneficiază de majorarea punctajului realizat în această perioadă cu 0,3% pentru fiecare lună, respectiv cu 3,6% pentru fiecare an suplimentar¨.</w:t>
      </w:r>
    </w:p>
    <w:p w:rsidRPr="00F04844" w:rsidR="006C7C1A" w14:paraId="37EA85AD"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Astfel, potrivit prevederilor legale au fost necesare îndeplinirea a două condiţii cumulative, respectiv stagiu complet de cotizare şi împlinirea vârstei standard, pentru a putea beneficia de majorarea punctajului realizat cu 0,3% pentru fiecare lună, respectiv cu 3,6% pentru fiecare an suplimentar.</w:t>
      </w:r>
    </w:p>
    <w:p w:rsidRPr="00F04844" w:rsidR="006C7C1A" w14:paraId="3B172267"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Reclamantul nu a făcut dovada că a contribuit la sistemul public de pensii după îndeplinirea cumulativă a condiţiilor de pensionare pentru limită de vârstă, respectiv împlinirea vârstei standard de pensionare şi stagiul complet de cotizare, situaţie în care nu a putut beneficia de majorarea de 0,3% pentru fiecare lună prevăzută de lege.</w:t>
      </w:r>
    </w:p>
    <w:p w:rsidRPr="00F04844" w:rsidR="006C7C1A" w14:paraId="018F9A1F"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Raportat la considerentele arătate mai sus, în temeiul art.153 din Legea nr.263/2010, a fost respinsă acţiunea reclamantului.</w:t>
      </w:r>
    </w:p>
    <w:p w:rsidRPr="00F04844" w:rsidR="006C7C1A" w14:paraId="7D183C6C"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i/>
          <w:lang w:val="ro-RO"/>
        </w:rPr>
        <w:t xml:space="preserve">Împotriva acestei hotărâri a declarat recurs reclamantul </w:t>
      </w:r>
      <w:r w:rsidRPr="00F04844" w:rsidR="008F26DA">
        <w:rPr>
          <w:rStyle w:val="Fontdeparagrafimplicit"/>
          <w:rFonts w:ascii="Bookman Old Style" w:hAnsi="Bookman Old Style"/>
          <w:i/>
          <w:lang w:val="ro-RO"/>
        </w:rPr>
        <w:t xml:space="preserve">1 </w:t>
      </w:r>
      <w:r w:rsidRPr="00F04844">
        <w:rPr>
          <w:rStyle w:val="Fontdeparagrafimplicit"/>
          <w:rFonts w:ascii="Bookman Old Style" w:hAnsi="Bookman Old Style"/>
          <w:i/>
          <w:lang w:val="ro-RO"/>
        </w:rPr>
        <w:t xml:space="preserve">solicitând </w:t>
      </w:r>
      <w:r w:rsidRPr="00F04844">
        <w:rPr>
          <w:rStyle w:val="Fontdeparagrafimplicit"/>
          <w:rFonts w:ascii="Bookman Old Style" w:hAnsi="Bookman Old Style"/>
          <w:lang w:val="ro-RO"/>
        </w:rPr>
        <w:t>admiterea recursului, modificarea hotărârii atacate în sensul admiterii cererii de chemare în judecată, respectiv, obligarea pârâtei la recalcularea pensiei prin adăugarea punctajelor majorate pentru perioada în care şi-a desfăşurat activitatea în grupa I de muncă de 7 ani 8 luni, iar în grupa II de muncă de 18 ani 2 luni, obligarea pârâtei la acordarea punctajului mediu anual prin stabilirea corectă a pensiei reclamantului prin includerea stagiului asimilat de facultate şi acordarea sporului de 3,6% pe an pentru depăşirea stagiului complet de cotizare şi plata cheltuielilor de judecată.</w:t>
      </w:r>
    </w:p>
    <w:p w:rsidRPr="00F04844" w:rsidR="006C7C1A" w14:paraId="25D2FF09"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În motivarea recursului, recurentul a arătat că prin Sentinţa civilă nr. </w:t>
      </w:r>
      <w:r w:rsidRPr="00F04844" w:rsidR="008F26DA">
        <w:rPr>
          <w:rStyle w:val="Fontdeparagrafimplicit"/>
          <w:rFonts w:ascii="Bookman Old Style" w:hAnsi="Bookman Old Style"/>
          <w:lang w:val="ro-RO"/>
        </w:rPr>
        <w:t>........</w:t>
      </w:r>
      <w:r w:rsidRPr="00F04844">
        <w:rPr>
          <w:rStyle w:val="Fontdeparagrafimplicit"/>
          <w:rFonts w:ascii="Bookman Old Style" w:hAnsi="Bookman Old Style"/>
          <w:lang w:val="ro-RO"/>
        </w:rPr>
        <w:t xml:space="preserve">pronunţată la data de </w:t>
      </w:r>
      <w:r w:rsidRPr="00F04844" w:rsidR="008F26DA">
        <w:rPr>
          <w:rStyle w:val="Fontdeparagrafimplicit"/>
          <w:rFonts w:ascii="Bookman Old Style" w:hAnsi="Bookman Old Style"/>
          <w:lang w:val="ro-RO"/>
        </w:rPr>
        <w:t>........</w:t>
      </w:r>
      <w:r w:rsidRPr="00F04844">
        <w:rPr>
          <w:rStyle w:val="Fontdeparagrafimplicit"/>
          <w:rFonts w:ascii="Bookman Old Style" w:hAnsi="Bookman Old Style"/>
          <w:lang w:val="ro-RO"/>
        </w:rPr>
        <w:t xml:space="preserve">, Tribunalul </w:t>
      </w:r>
      <w:r w:rsidRPr="00F04844" w:rsidR="008F26DA">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 xml:space="preserve"> a respins acţiunea formulată de reclamantul </w:t>
      </w:r>
      <w:r w:rsidRPr="00F04844" w:rsidR="008F26DA">
        <w:rPr>
          <w:rStyle w:val="Fontdeparagrafimplicit"/>
          <w:rFonts w:ascii="Bookman Old Style" w:hAnsi="Bookman Old Style"/>
          <w:lang w:val="ro-RO"/>
        </w:rPr>
        <w:t>1</w:t>
      </w:r>
      <w:r w:rsidRPr="00F04844">
        <w:rPr>
          <w:rStyle w:val="Fontdeparagrafimplicit"/>
          <w:rFonts w:ascii="Bookman Old Style" w:hAnsi="Bookman Old Style"/>
          <w:lang w:val="ro-RO"/>
        </w:rPr>
        <w:t>.</w:t>
      </w:r>
    </w:p>
    <w:p w:rsidRPr="00F04844" w:rsidR="006C7C1A" w14:paraId="2A8ECEC4"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În motivare, instanţa de fond a reţinut că reclamantul nu a făcut dovada că a contribuit la sistemul public de pensii după îndeplinirea cumulativă a condiţiilor de pensionare pentru limită de vârstă, respectiv împlinirea vârstei standard de pensionare şi stagiul complet de cotizare, situaţie în care nu poate beneficia de majorarea de 0,3% pentru fiecare lună prevăzută de lege.</w:t>
      </w:r>
    </w:p>
    <w:p w:rsidRPr="00F04844" w:rsidR="006C7C1A" w14:paraId="439F0E85"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Apreciază hotărârea instanţei de fond ca nelegală prin prisma prevederilor art. 304 pct. 7 şi 9, art. 3041, coroborat cu prevederile art. 312 alin (3) Cod procedură civilă pentru motivele expuse în cele ce urmează.</w:t>
      </w:r>
    </w:p>
    <w:p w:rsidRPr="00F04844" w:rsidR="006C7C1A" w14:paraId="47FCCB93" w14:textId="1314B493">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În primul rând, apreciază că instanţa de fond a pronunţat hotărârea cu aplicarea greşită a dispoziţiilor art. 78 alin. 8 din Legea nr. 19/2000 care prevedea că "Asiguraţii care, după îndeplinirea condiţiilor de pensionare pentru limită de vârstă reglementate de prezenta lege, contribuie o anumită perioadă la sistemul public, regăsindu-se în una dintre situaţiile prevăzute la art. 5, beneficiază de majorarea punctajului realizat cu 0,3% pentru fiecare lună, respectiv cu 3,6% pentru f</w:t>
      </w:r>
      <w:r w:rsidR="00621C98">
        <w:rPr>
          <w:rStyle w:val="Fontdeparagrafimplicit"/>
          <w:rFonts w:ascii="Bookman Old Style" w:hAnsi="Bookman Old Style"/>
          <w:lang w:val="ro-RO"/>
        </w:rPr>
        <w:t>i</w:t>
      </w:r>
      <w:r w:rsidRPr="00F04844">
        <w:rPr>
          <w:rStyle w:val="Fontdeparagrafimplicit"/>
          <w:rFonts w:ascii="Bookman Old Style" w:hAnsi="Bookman Old Style"/>
          <w:lang w:val="ro-RO"/>
        </w:rPr>
        <w:t>ecare an suplimentar ".</w:t>
      </w:r>
    </w:p>
    <w:p w:rsidRPr="00F04844" w:rsidR="006C7C1A" w14:paraId="481A9647"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În virtutea acestor prevederi legale, recurentul este îndreptăţit să i se acorde sporul de 3,6% pe fiecare an de depăşire a stagiului complet de cotizare întrucât a avut un stagiu complet de cotizare de 43 ani 9 luni şi 4 zile, faţă de cei 30 ani stabiliţi de Legea nr. 19/2000 şi a lucrat peste vârsta standard de pensionare de 62 ani. Prin urmare, situaţia reclamantului îndeplineşte cele două condiţii cumulative necesare, respectiv stagiul complet de cotizare şi împlinirea vârstei standard de pensionare de 62 de ani, deşi instanţa nu a observat îndeplinirea acestor condiţii.</w:t>
      </w:r>
    </w:p>
    <w:p w:rsidRPr="00F04844" w:rsidR="006C7C1A" w14:paraId="3F03ED65"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Prin H.G. nr. 1346/2004 s-a stabilit majorarea pensiilor începând cu 01 septembrie 2004 prin majorarea punctajului mediu anual aferent pensiilor din sistemul public de pensii ale căror drepturi s-au deschis anterior datei de 01 aprilie 2001, iar art. 2 stabileşte că pensiile se majorează cu 5,25%.</w:t>
      </w:r>
    </w:p>
    <w:p w:rsidRPr="00F04844" w:rsidR="006C7C1A" w14:paraId="14B72019"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Reclamantul este pensionar conform Deciziei nr. </w:t>
      </w:r>
      <w:r w:rsidRPr="00F04844" w:rsidR="008F26DA">
        <w:rPr>
          <w:rStyle w:val="Fontdeparagrafimplicit"/>
          <w:rFonts w:ascii="Bookman Old Style" w:hAnsi="Bookman Old Style"/>
          <w:lang w:val="ro-RO"/>
        </w:rPr>
        <w:t>4</w:t>
      </w:r>
      <w:r w:rsidRPr="00F04844">
        <w:rPr>
          <w:rStyle w:val="Fontdeparagrafimplicit"/>
          <w:rFonts w:ascii="Bookman Old Style" w:hAnsi="Bookman Old Style"/>
          <w:lang w:val="ro-RO"/>
        </w:rPr>
        <w:t xml:space="preserve"> din 01.11.1997, pensie calculata în baza Legii nr. 3/1977 în vigoare la acea data. La data respectivă avea o vechime în muncă de 30 ani 9 luni 3 zile după calculele recurentului, fapt recunoscut chiar de intimată la data pensionării, cât şi la 16.11.2004 când a reţinut că avea o vechime de 30 de ani. De asemenea, s-a reţinut că avea un stagiu complet de cotizare în grupa I-a de 7 ani 8 luni, iar în grupa a II-a de 18 ani 2 luni. Cu toate acestea, ulterior datei ieşirii la pensie, pensia s-a recalculat, acordându-i-se punctajul în baza notelor de calcul aflate la dosar, cuantificat în sumele din acea perioada.</w:t>
      </w:r>
    </w:p>
    <w:p w:rsidRPr="00F04844" w:rsidR="006C7C1A" w14:paraId="505721D8"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Atât intimata, cât şi instanţa, nu înţelege de ce au avut în vedere, când s-au referit la baza de calcul, perioada de 25 de ani stagiu complet de cotizare, deşi în realitate acest stagiu era de 30 de ani la data pensionării.</w:t>
      </w:r>
    </w:p>
    <w:p w:rsidRPr="00F04844" w:rsidR="006C7C1A" w14:paraId="39BA2F3D" w14:textId="1BA87718">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Astfel, după intrarea în vigoare a Legii nr. 19/2000, punctajul pensiei reclamantului ar fi trebuit să fie modificat prin adăugarea stagiului asimilat calculat la anii în care a urmat studiile superioare, beneficiind de un punctaj superior de 0,07791. Instanţa reţine că această perioadă a fost asimilată, însă din notele de calcul comunicate de intimată şi verificate de domnul expert </w:t>
      </w:r>
      <w:r w:rsidR="00621C98">
        <w:rPr>
          <w:rStyle w:val="Fontdeparagrafimplicit"/>
          <w:rFonts w:ascii="Bookman Old Style" w:hAnsi="Bookman Old Style"/>
          <w:lang w:val="ro-RO"/>
        </w:rPr>
        <w:t>6</w:t>
      </w:r>
      <w:r w:rsidRPr="00F04844">
        <w:rPr>
          <w:rStyle w:val="Fontdeparagrafimplicit"/>
          <w:rFonts w:ascii="Bookman Old Style" w:hAnsi="Bookman Old Style"/>
          <w:lang w:val="ro-RO"/>
        </w:rPr>
        <w:t>, rezultă că nu a fost inclusă această perioadă, nerespectându-se prevederile art. 38 alin. l lit. b) şi art. 163 alin. 1 coroborat cu art. 78 alin. 5 din Legea nr. 19/2000.</w:t>
      </w:r>
    </w:p>
    <w:p w:rsidRPr="00F04844" w:rsidR="006C7C1A" w14:paraId="36B313D9" w14:textId="4D484990">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Instanţa apoi printr-o noua recalculare, în baza adeverinţelor suplimentare de venituri depuse la Casa Judeţeană </w:t>
      </w:r>
      <w:r w:rsidR="00F144B5">
        <w:rPr>
          <w:rStyle w:val="Fontdeparagrafimplicit"/>
          <w:rFonts w:ascii="Bookman Old Style" w:hAnsi="Bookman Old Style"/>
          <w:lang w:val="ro-RO"/>
        </w:rPr>
        <w:t>d</w:t>
      </w:r>
      <w:r w:rsidRPr="00F04844">
        <w:rPr>
          <w:rStyle w:val="Fontdeparagrafimplicit"/>
          <w:rFonts w:ascii="Bookman Old Style" w:hAnsi="Bookman Old Style"/>
          <w:lang w:val="ro-RO"/>
        </w:rPr>
        <w:t xml:space="preserve">e Pensii </w:t>
      </w:r>
      <w:r w:rsidRPr="00F04844" w:rsidR="008F26DA">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 reprezentând sporuri acordate şi pentru care s-au plătit asigurările sociale, punctajul pensiei după cum rezultă din buletinul decalcul şi pensia în plată este de 1,81225.</w:t>
      </w:r>
    </w:p>
    <w:p w:rsidRPr="00F04844" w:rsidR="006C7C1A" w14:paraId="0F0D39C3" w14:textId="177D5A99">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Prin Ordonanţa de Urgenta a Guvernului nr. 100/2008 se stipulează că se acordă punctaje suplimentare pentru sporul de vechime calculat conform Legii nr. 3/</w:t>
      </w:r>
      <w:r w:rsidR="00F144B5">
        <w:rPr>
          <w:rStyle w:val="Fontdeparagrafimplicit"/>
          <w:rFonts w:ascii="Bookman Old Style" w:hAnsi="Bookman Old Style"/>
          <w:lang w:val="ro-RO"/>
        </w:rPr>
        <w:t>1</w:t>
      </w:r>
      <w:r w:rsidRPr="00F04844">
        <w:rPr>
          <w:rStyle w:val="Fontdeparagrafimplicit"/>
          <w:rFonts w:ascii="Bookman Old Style" w:hAnsi="Bookman Old Style"/>
          <w:lang w:val="ro-RO"/>
        </w:rPr>
        <w:t xml:space="preserve">977, pentru stagiile lucrate înainte de 01.04.2001 în grupele I şi II de muncă. Conform art. 16 din Legea nr. 3/1977 se acorda sporuri de 6 luni pentru 1 an complet în grupa I şi 3 luni pentru fiecare stagiu de 1 an complet în grupa a II-a, dar numai pentru stagii ce depăşeau 5 ani cumulate în grupa I şi II. Punctajele suplimentare au fost de 0,04166 puncte pentru o luna spor grupa I, adică 0,5 puncte pentru un spor de 1 an, corespunzător unui stagiu de 2 ani în </w:t>
      </w:r>
      <w:r w:rsidRPr="00F04844">
        <w:rPr>
          <w:rStyle w:val="Fontdeparagrafimplicit"/>
          <w:rFonts w:ascii="Bookman Old Style" w:hAnsi="Bookman Old Style"/>
          <w:lang w:val="ro-RO"/>
        </w:rPr>
        <w:t>grupa I-a şi de 0,02083 puncte pentru o lună, adică 0,25 puncte pentru un spor de 1 an corespunzător unui stagiu de 4 ani în grupa a II-a.</w:t>
      </w:r>
    </w:p>
    <w:p w:rsidRPr="00F04844" w:rsidR="006C7C1A" w14:paraId="096D9DB9"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Legea nr. 218/2008, modifică Legea nr. 19/2000 în sensul că pentru lucrul în grupa I-a punctajul se majorează cu 50 %, iar pentru lucrul în grupa a II-a cu 25 %.</w:t>
      </w:r>
    </w:p>
    <w:p w:rsidRPr="00F04844" w:rsidR="006C7C1A" w14:paraId="4D48784E"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Menţionează că reclamantul nu a beneficiat la ieşirea la pensie de reducerea stagiului complet de cotizare, având un stagiu de cotizare realizat de 43 ani 9 luni şi 4 zile, iar adăugirile ulterioare la punctajul de care beneficiază în prezent sunt datorate exclusiv din cele rezultate din anii când a urmat cursurile universitare şi cele rezultate din adeverinţele de venit privind sporurile acordate şi pentru care s-au plătit contribuţiile de asigurări sociale şi menţionate în buletinul de calcul.</w:t>
      </w:r>
    </w:p>
    <w:p w:rsidRPr="00F04844" w:rsidR="006C7C1A" w14:paraId="703C27B8"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Prin Ordonanţa de Urgenta a Guvernului României nr. 209/2008 s-au preluat prevederile din Legea 218/2008 care stabilea etapele de acordare a majorării punctajelor astfel:</w:t>
      </w:r>
    </w:p>
    <w:p w:rsidRPr="00F04844" w:rsidR="006C7C1A" w14:paraId="4ECCA073"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 celor pensionaţi înainte de 02.11.2008, majorările se acordă în 4 etape astfel,</w:t>
      </w:r>
    </w:p>
    <w:p w:rsidRPr="00F04844" w:rsidR="006C7C1A" w14:paraId="1B34371E"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a)</w:t>
      </w:r>
      <w:r w:rsidRPr="00F04844">
        <w:rPr>
          <w:rStyle w:val="Fontdeparagrafimplicit"/>
          <w:rFonts w:ascii="Bookman Old Style" w:hAnsi="Bookman Old Style"/>
          <w:lang w:val="ro-RO"/>
        </w:rPr>
        <w:tab/>
        <w:t>în octombrie 2008 celor pensionaţi până în anul 1990.</w:t>
      </w:r>
    </w:p>
    <w:p w:rsidRPr="00F04844" w:rsidR="006C7C1A" w14:paraId="3D333D7C"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b)</w:t>
      </w:r>
      <w:r w:rsidRPr="00F04844">
        <w:rPr>
          <w:rStyle w:val="Fontdeparagrafimplicit"/>
          <w:rFonts w:ascii="Bookman Old Style" w:hAnsi="Bookman Old Style"/>
          <w:lang w:val="ro-RO"/>
        </w:rPr>
        <w:tab/>
        <w:t>în februarie 2009 celor pensionaţi în perioada 1991-1996.</w:t>
      </w:r>
    </w:p>
    <w:p w:rsidRPr="00F04844" w:rsidR="006C7C1A" w14:paraId="71CA91BD"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c)</w:t>
      </w:r>
      <w:r w:rsidRPr="00F04844">
        <w:rPr>
          <w:rStyle w:val="Fontdeparagrafimplicit"/>
          <w:rFonts w:ascii="Bookman Old Style" w:hAnsi="Bookman Old Style"/>
          <w:lang w:val="ro-RO"/>
        </w:rPr>
        <w:tab/>
        <w:t>în iunie 2009 celor pensionaţi în perioada 1997-2001.</w:t>
      </w:r>
    </w:p>
    <w:p w:rsidRPr="00F04844" w:rsidR="006C7C1A" w14:paraId="0345FBBF"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d)</w:t>
      </w:r>
      <w:r w:rsidRPr="00F04844">
        <w:rPr>
          <w:rStyle w:val="Fontdeparagrafimplicit"/>
          <w:rFonts w:ascii="Bookman Old Style" w:hAnsi="Bookman Old Style"/>
          <w:lang w:val="ro-RO"/>
        </w:rPr>
        <w:tab/>
        <w:t>în octombrie 2009 celor pensionaţi în perioada 2001-2008.</w:t>
      </w:r>
    </w:p>
    <w:p w:rsidRPr="00F04844" w:rsidR="006C7C1A" w14:paraId="2ED77A12"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dar s-a stabilit că datorita dificultăţilor economice, termenul de acordare a diferenţelor de punctaje să se facă începând cu 01.01.2010, termen prorogat apoi prin Ordonanţa de Urgenta nr. 114/2009, începând cu 01.01.2011.</w:t>
      </w:r>
    </w:p>
    <w:p w:rsidRPr="00F04844" w:rsidR="006C7C1A" w14:paraId="1B72DA69"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Arătă că şi Legea nr. 263/2010 privind sistemul unitar de pensii a preluat prevederile O.U. nr. 209/2008.</w:t>
      </w:r>
    </w:p>
    <w:p w:rsidRPr="00F04844" w:rsidR="006C7C1A" w14:paraId="2031BEC5"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Menţionează că la începutul lunii februarie 2011 a intervenit la Casa de Pensii </w:t>
      </w:r>
      <w:r w:rsidRPr="00F04844" w:rsidR="008F26DA">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 xml:space="preserve"> pentru recalcularea prin majorare a punctajului pensiei, iar la data de 08.03.2011 prin adresa nr. </w:t>
      </w:r>
      <w:r w:rsidRPr="00F04844" w:rsidR="008F26DA">
        <w:rPr>
          <w:rStyle w:val="Fontdeparagrafimplicit"/>
          <w:rFonts w:ascii="Bookman Old Style" w:hAnsi="Bookman Old Style"/>
          <w:lang w:val="ro-RO"/>
        </w:rPr>
        <w:t>4</w:t>
      </w:r>
      <w:r w:rsidRPr="00F04844">
        <w:rPr>
          <w:rStyle w:val="Fontdeparagrafimplicit"/>
          <w:rFonts w:ascii="Bookman Old Style" w:hAnsi="Bookman Old Style"/>
          <w:lang w:val="ro-RO"/>
        </w:rPr>
        <w:t>, aceasta îi face cunoscut că reclamantul nu are dreptul la acordarea punctajului suplimentar întrucât la calculul acestuia s-a utilizat stagiul complet de cotizare de 25 de ani şi nu de 30 cel prevăzut de Legea nr. 3/1977. Or, se poate observa în mod indubitabil că la punctul F de pe decizia de pensie este menţionat ca stagiu complet de cotizare 30 ani şi 0 luni, iar recalculare ulterioară aşa după cum a arătat şi mai sus s-au efectuat în anul 2004 ca stagiu asimilat pentru anii de studii universitare iar în 2005 în baza OUG nr. 4/2005 în baza adeverinţelor de sporuri şi evidenţiate în buletinul de calcul pe care îl anexează.</w:t>
      </w:r>
    </w:p>
    <w:p w:rsidRPr="00F04844" w:rsidR="006C7C1A" w14:paraId="2F705021"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Văzând că alţi colegi din aceleaşi feluri de locuri de muncă şi cu vechime în grupe de muncă aproximative cu a reclamantului au beneficiat de majorările suplimentare prevăzute de lege, a revenit cu o noua solicitare la Casa de Pensii </w:t>
      </w:r>
      <w:r w:rsidRPr="00F04844" w:rsidR="008F26DA">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 xml:space="preserve">, la data de 28.03.2011, iar aceasta la data de 28.04.2011 prin adresa nr. </w:t>
      </w:r>
      <w:r w:rsidRPr="00F04844" w:rsidR="008F26DA">
        <w:rPr>
          <w:rStyle w:val="Fontdeparagrafimplicit"/>
          <w:rFonts w:ascii="Bookman Old Style" w:hAnsi="Bookman Old Style"/>
          <w:lang w:val="ro-RO"/>
        </w:rPr>
        <w:t xml:space="preserve">5 </w:t>
      </w:r>
      <w:r w:rsidRPr="00F04844">
        <w:rPr>
          <w:rStyle w:val="Fontdeparagrafimplicit"/>
          <w:rFonts w:ascii="Bookman Old Style" w:hAnsi="Bookman Old Style"/>
          <w:lang w:val="ro-RO"/>
        </w:rPr>
        <w:t>îşi menţine punctul de vedere anterior, cu o justificare evazivă şi în afara considerentelor legale din primul răspuns, cat şi prin perseverenta uluitoare din cel de al doilea.</w:t>
      </w:r>
    </w:p>
    <w:p w:rsidRPr="00F04844" w:rsidR="006C7C1A" w14:paraId="02BEBD30"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Faţă de cele sus arătate şi a menţiunii că reclamantul a realizat un stagiu de cotizare în grupa I de muncă de 7 ani şi 8 luni, în grupa a II-a , 18 ani şi 2 luni, iar în condiţii normale 4 ani, 11 luni şi 4 zile şi un total stagiu de cotizare de 43 ani 9 luni şi 4 zile, după cum se poate constata şi din documentele de la dosarul de pensie aflat în evidenta casei de pensii, apreciază că în mod nelegal instanţa de fond a respins cererea de chemare în judecată.</w:t>
      </w:r>
    </w:p>
    <w:p w:rsidRPr="00F04844" w:rsidR="006C7C1A" w14:paraId="6A6C7A94"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În Decizia de pensionare se face menţiunea că reclamantul a desfăşurat munca în grupa I, conform Legii 3/1977, timp de 7 ani şi 8 luni de zile. Potrivit Legii 100/2008 al cărei scop a fost înlăturarea unor echităţi apărute la aplicarea </w:t>
      </w:r>
      <w:r w:rsidRPr="00F04844">
        <w:rPr>
          <w:rStyle w:val="Fontdeparagrafimplicit"/>
          <w:rFonts w:ascii="Bookman Old Style" w:hAnsi="Bookman Old Style"/>
          <w:lang w:val="ro-RO"/>
        </w:rPr>
        <w:t>legii 19/2000 pentru categoriile de pensionari care, până la data de 01.04.2001 au lucrat în fostele grupe I şi a II-a de muncă. În acest sens, pentru stabilirea stagiului de cotizare de 1 an şi 6 luni pentru grupa întâia şi 3 luni pentru grupa a doua, unui asigurat i se calculează punctajul doar pentru un an drept contribuţie la asigurările sociale.</w:t>
      </w:r>
    </w:p>
    <w:p w:rsidRPr="00F04844" w:rsidR="006C7C1A" w14:paraId="5EA77D0C"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Ţine să precizeze că reclamantul a avut în grupa a I-a un stagiu de 7 ani şi 8 luni prin urmare ar fi trebuit să beneficieze 0,50 pentru fiecare an de spor. Iar pentru grupa a II-a, unde a desfăşurat o activitate de 18 ani, 2 luni trebuia să se adauge un spor de 0,25 pe fiecare an de muncă. Din Decizia de pensionare şi modificările aduse ulterior nu s-a făcut aceste calcule motiv pentru care a solicitat să fie avute în vedere.</w:t>
      </w:r>
    </w:p>
    <w:p w:rsidRPr="00F04844" w:rsidR="006C7C1A" w14:paraId="5A751AD0"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În ce priveşte anii de facultate, din datele de evaluare rezultă că nu s-a făcut aplicarea prevederilor art. 78 al. 5 lit. b coroborat cu art. 38 al. l lit. b din Legea 19/2000, motiv pentru care a solicitat a se avea în vedere şi aceste aspecte.</w:t>
      </w:r>
    </w:p>
    <w:p w:rsidRPr="00F04844" w:rsidR="006C7C1A" w14:paraId="59927527"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De altfel, instanţa nu a făcut nicio referire la actele normative invocate de reclamant, mulţumindu-se să redea doar susţinerile intimatei din întâmpinare, referindu-se la art. 169 din Legea nr. 263/2010, motiv pentru care apreciază că cele 9 paragrafe din considerente nu pot fi avute în vedere ca şi o motivare în drept a respingerii cererii formulate, motiv pentru care se impune admiterea recursului formulat în temeiul art. 304 pct. 7 Cod procedură civilă.</w:t>
      </w:r>
    </w:p>
    <w:p w:rsidRPr="00F04844" w:rsidR="006C7C1A" w14:paraId="62A53FF8" w14:textId="77777777">
      <w:pPr>
        <w:ind w:firstLine="720"/>
        <w:jc w:val="both"/>
        <w:rPr>
          <w:rStyle w:val="Fontdeparagrafimplicit"/>
          <w:rFonts w:ascii="Bookman Old Style" w:hAnsi="Bookman Old Style"/>
          <w:lang w:val="ro-RO"/>
        </w:rPr>
      </w:pPr>
      <w:r w:rsidRPr="00F04844">
        <w:rPr>
          <w:rStyle w:val="Fontdeparagrafimplicit"/>
          <w:rFonts w:ascii="Bookman Old Style" w:hAnsi="Bookman Old Style"/>
          <w:lang w:val="ro-RO"/>
        </w:rPr>
        <w:t>Pentru toate aceste motive, apreciază că instanţa de fond nu a făcut corect aplicarea prevederilor art. 78 alin. 8 din Legea 19/2000, respectiv nu i s-a acordat sporul de 3,6% pe fiecare an de depăşire a stagiului complet de cotizare, motiv pentru care solicită admiterea recursului şi modificarea hotărârii atacate în sensul admiterii cererii de chemare în judecată.</w:t>
      </w:r>
    </w:p>
    <w:p w:rsidRPr="00F04844" w:rsidR="006C7C1A" w14:paraId="7893EF06" w14:textId="77777777">
      <w:pPr>
        <w:ind w:firstLine="851"/>
        <w:jc w:val="both"/>
        <w:rPr>
          <w:rStyle w:val="Fontdeparagrafimplicit"/>
          <w:rFonts w:ascii="Bookman Old Style" w:hAnsi="Bookman Old Style"/>
          <w:i/>
          <w:lang w:val="ro-RO"/>
        </w:rPr>
      </w:pPr>
      <w:r w:rsidRPr="00F04844">
        <w:rPr>
          <w:rStyle w:val="Fontdeparagrafimplicit"/>
          <w:rFonts w:ascii="Bookman Old Style" w:hAnsi="Bookman Old Style"/>
          <w:i/>
          <w:lang w:val="ro-RO"/>
        </w:rPr>
        <w:t>Analizând actele şi lucrările dosarului, din perspectiva criticilor formulate în cererea de recurs, Curtea reţine următoarele:</w:t>
      </w:r>
    </w:p>
    <w:p w:rsidRPr="00F04844" w:rsidR="006C7C1A" w14:paraId="5E45A287" w14:textId="77777777">
      <w:pPr>
        <w:jc w:val="both"/>
        <w:rPr>
          <w:rStyle w:val="Fontdeparagrafimplicit"/>
          <w:rFonts w:ascii="Bookman Old Style" w:hAnsi="Bookman Old Style"/>
          <w:lang w:val="ro-RO"/>
        </w:rPr>
      </w:pPr>
      <w:r w:rsidRPr="00F04844">
        <w:rPr>
          <w:rStyle w:val="Fontdeparagrafimplicit"/>
          <w:rFonts w:ascii="Bookman Old Style" w:hAnsi="Bookman Old Style"/>
          <w:b/>
          <w:sz w:val="20"/>
          <w:lang w:val="ro-RO"/>
        </w:rPr>
        <w:tab/>
      </w:r>
      <w:r w:rsidRPr="00F04844">
        <w:rPr>
          <w:rStyle w:val="Fontdeparagrafimplicit"/>
          <w:rFonts w:ascii="Bookman Old Style" w:hAnsi="Bookman Old Style"/>
          <w:lang w:val="ro-RO"/>
        </w:rPr>
        <w:t>Recursul este nefondat şi urmează a fi respins ca atare.</w:t>
      </w:r>
    </w:p>
    <w:p w:rsidRPr="00F04844" w:rsidR="006C7C1A" w14:paraId="3078FDDE" w14:textId="77777777">
      <w:pPr>
        <w:jc w:val="both"/>
        <w:rPr>
          <w:rStyle w:val="Fontdeparagrafimplicit"/>
          <w:rFonts w:ascii="Bookman Old Style" w:hAnsi="Bookman Old Style"/>
          <w:lang w:val="ro-RO"/>
        </w:rPr>
      </w:pPr>
      <w:r w:rsidRPr="00F04844">
        <w:rPr>
          <w:rStyle w:val="Fontdeparagrafimplicit"/>
          <w:rFonts w:ascii="Bookman Old Style" w:hAnsi="Bookman Old Style"/>
          <w:lang w:val="ro-RO"/>
        </w:rPr>
        <w:tab/>
        <w:t xml:space="preserve">Recurentul susţine prin cererea de chemare în judecată  că la începutul lunii februarie 2011 a intervenit la Casa de Pensii </w:t>
      </w:r>
      <w:r w:rsidRPr="00F04844" w:rsidR="008F26DA">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 xml:space="preserve"> pentru recalcularea prin majorare a punctajului pensiei, iar prin adresa nr.</w:t>
      </w:r>
      <w:r w:rsidRPr="00F04844" w:rsidR="008F26DA">
        <w:rPr>
          <w:rStyle w:val="Fontdeparagrafimplicit"/>
          <w:rFonts w:ascii="Bookman Old Style" w:hAnsi="Bookman Old Style"/>
          <w:lang w:val="ro-RO"/>
        </w:rPr>
        <w:t>4</w:t>
      </w:r>
      <w:r w:rsidRPr="00F04844">
        <w:rPr>
          <w:rStyle w:val="Fontdeparagrafimplicit"/>
          <w:rFonts w:ascii="Bookman Old Style" w:hAnsi="Bookman Old Style"/>
          <w:lang w:val="ro-RO"/>
        </w:rPr>
        <w:t xml:space="preserve"> din 08.03.2011 cererea sa a fost respinsă, pe motiv că a beneficiat de un stagiu complet de cotizare de 25 de ani.</w:t>
      </w:r>
    </w:p>
    <w:p w:rsidRPr="00F04844" w:rsidR="006C7C1A" w14:paraId="2CB00BE9" w14:textId="372E3516">
      <w:pPr>
        <w:jc w:val="both"/>
        <w:rPr>
          <w:rStyle w:val="Fontdeparagrafimplicit"/>
          <w:rFonts w:ascii="Bookman Old Style" w:hAnsi="Bookman Old Style"/>
          <w:lang w:val="ro-RO"/>
        </w:rPr>
      </w:pPr>
      <w:r w:rsidRPr="00F04844">
        <w:rPr>
          <w:rStyle w:val="Fontdeparagrafimplicit"/>
          <w:rFonts w:ascii="Bookman Old Style" w:hAnsi="Bookman Old Style"/>
          <w:lang w:val="ro-RO"/>
        </w:rPr>
        <w:tab/>
        <w:t xml:space="preserve">Deşi recurentul contestă acest fapt, Curtea reţine că, din buletinul de calcul </w:t>
      </w:r>
      <w:r w:rsidRPr="00F04844" w:rsidR="008F26DA">
        <w:rPr>
          <w:rStyle w:val="Fontdeparagrafimplicit"/>
          <w:rFonts w:ascii="Bookman Old Style" w:hAnsi="Bookman Old Style"/>
          <w:lang w:val="ro-RO"/>
        </w:rPr>
        <w:t>4</w:t>
      </w:r>
      <w:r w:rsidRPr="00F04844">
        <w:rPr>
          <w:rStyle w:val="Fontdeparagrafimplicit"/>
          <w:rFonts w:ascii="Bookman Old Style" w:hAnsi="Bookman Old Style"/>
          <w:lang w:val="ro-RO"/>
        </w:rPr>
        <w:t>/10.08.2005 depus la dosarul cauzei</w:t>
      </w:r>
      <w:r w:rsidR="00E05E4B">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 xml:space="preserve">(fila 38 fond) rezultă cu evidenţă că stagiul complet de cotizare utilizat la calculul pensiei, conform Legii 19/2000, a fost acela de 25 de ani. </w:t>
      </w:r>
    </w:p>
    <w:p w:rsidRPr="00F04844" w:rsidR="006C7C1A" w14:paraId="78C5B073"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Or, aşa cum corect susţine intimata şi aşa cum s-a reţinut şi de către instanţa de fond, potrivit dispoziţiilor art. 169 din Legea nr. 263/2010 „(1) Pensionarii sistemului public de pensii ale căror drepturi de pensie au fost stabilite potrivit legislaţiei anterioare datei de 1 aprilie 2001, care au desfăşurat activităţi în locuri încadrate în grupa I şi/sau grupa a II-a de muncă, beneficiază de o creştere a punctajelor anuale realizate în aceste perioade, după cum urmează: a) cu 50% pentru perioadele în care au desfăşurat activităţi în locuri încadrate în grupa I de muncă; b) cu 25% pentru perioadele în care au desfăşurat activităţi în locuri încadrate în grupa a II-a de muncă.</w:t>
      </w:r>
    </w:p>
    <w:p w:rsidRPr="00F04844" w:rsidR="006C7C1A" w14:paraId="530F1E91"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 (2) Prevederile alin. (1) nu se aplică în situaţia în care, la recalcularea pensiilor în conformitate cu prevederile </w:t>
      </w:r>
      <w:r w:rsidRPr="00F04844">
        <w:rPr>
          <w:rStyle w:val="Fontdeparagrafimplicit"/>
          <w:rFonts w:ascii="Bookman Old Style" w:hAnsi="Bookman Old Style"/>
          <w:vanish/>
          <w:lang w:val="ro-RO"/>
        </w:rPr>
        <w:t>&lt;LLNK 12005     4180 301   0 45&gt;</w:t>
      </w:r>
      <w:r w:rsidRPr="00F04844">
        <w:rPr>
          <w:rStyle w:val="Fontdeparagrafimplicit"/>
          <w:rFonts w:ascii="Bookman Old Style" w:hAnsi="Bookman Old Style"/>
          <w:lang w:val="ro-RO"/>
        </w:rPr>
        <w:t xml:space="preserve">Ordonanţei de urgenţă a Guvernului nr. 4/2005 privind recalcularea pensiilor din sistemul public, provenite din fostul sistem al asigurărilor sociale de stat, aprobată cu completări prin </w:t>
      </w:r>
      <w:r w:rsidRPr="00F04844">
        <w:rPr>
          <w:rStyle w:val="Fontdeparagrafimplicit"/>
          <w:rFonts w:ascii="Bookman Old Style" w:hAnsi="Bookman Old Style"/>
          <w:vanish/>
          <w:lang w:val="ro-RO"/>
        </w:rPr>
        <w:t>&lt;LLNK 12005    78 10 201   0 17&gt;</w:t>
      </w:r>
      <w:r w:rsidRPr="00F04844">
        <w:rPr>
          <w:rStyle w:val="Fontdeparagrafimplicit"/>
          <w:rFonts w:ascii="Bookman Old Style" w:hAnsi="Bookman Old Style"/>
          <w:lang w:val="ro-RO"/>
        </w:rPr>
        <w:t xml:space="preserve">Legea nr. 78/2005, cu modificările şi completările ulterioare, pentru determinarea punctajului mediu anual s-a utilizat vechimea în muncă necesară deschiderii dreptului la pensie prevăzută de acte normative cu caracter special. </w:t>
      </w:r>
    </w:p>
    <w:p w:rsidRPr="00F04844" w:rsidR="006C7C1A" w14:paraId="06148502"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(3) De creşterea punctajelor anuale prevăzută la alin. (1) beneficiază şi persoanele ale căror drepturi de pensie s-au deschis în perioada 1 aprilie 2001-2 noiembrie 2008 inclusiv, </w:t>
      </w:r>
      <w:r w:rsidRPr="00F04844">
        <w:rPr>
          <w:rStyle w:val="Fontdeparagrafimplicit"/>
          <w:rFonts w:ascii="Bookman Old Style" w:hAnsi="Bookman Old Style"/>
          <w:i/>
          <w:lang w:val="ro-RO"/>
        </w:rPr>
        <w:t>numai în situaţiile în care</w:t>
      </w:r>
      <w:r w:rsidRPr="00F04844">
        <w:rPr>
          <w:rStyle w:val="Fontdeparagrafimplicit"/>
          <w:rFonts w:ascii="Bookman Old Style" w:hAnsi="Bookman Old Style"/>
          <w:lang w:val="ro-RO"/>
        </w:rPr>
        <w:t xml:space="preserve">, potrivit legii, la determinarea punctajului mediu anual s-au utilizat stagiile complete de cotizare prevăzute de legislaţia în vigoare în perioada respectivă. </w:t>
      </w:r>
    </w:p>
    <w:p w:rsidRPr="00F04844" w:rsidR="006C7C1A" w14:paraId="5C3F5985"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(4) Prevederile alin. (1) se aplică prin acordarea diferenţei dintre creşterea punctajului mediu anual rezultată şi cea acordată conform </w:t>
      </w:r>
      <w:r w:rsidRPr="00F04844">
        <w:rPr>
          <w:rStyle w:val="Fontdeparagrafimplicit"/>
          <w:rFonts w:ascii="Bookman Old Style" w:hAnsi="Bookman Old Style"/>
          <w:vanish/>
          <w:lang w:val="ro-RO"/>
        </w:rPr>
        <w:t>&lt;LLNK 12008   100180 301   0 47&gt;</w:t>
      </w:r>
      <w:r w:rsidRPr="00F04844">
        <w:rPr>
          <w:rStyle w:val="Fontdeparagrafimplicit"/>
          <w:rFonts w:ascii="Bookman Old Style" w:hAnsi="Bookman Old Style"/>
          <w:lang w:val="ro-RO"/>
        </w:rPr>
        <w:t xml:space="preserve">Ordonanţei de urgenţă a Guvernului nr. 100/2008 pentru completarea </w:t>
      </w:r>
      <w:r w:rsidRPr="00F04844">
        <w:rPr>
          <w:rStyle w:val="Fontdeparagrafimplicit"/>
          <w:rFonts w:ascii="Bookman Old Style" w:hAnsi="Bookman Old Style"/>
          <w:vanish/>
          <w:lang w:val="ro-RO"/>
        </w:rPr>
        <w:t>&lt;LLNK 12000    19 10 201   0 17&gt;</w:t>
      </w:r>
      <w:r w:rsidRPr="00F04844">
        <w:rPr>
          <w:rStyle w:val="Fontdeparagrafimplicit"/>
          <w:rFonts w:ascii="Bookman Old Style" w:hAnsi="Bookman Old Style"/>
          <w:lang w:val="ro-RO"/>
        </w:rPr>
        <w:t xml:space="preserve">Legii nr. 19/2000 privind sistemul public de pensii şi alte drepturi de asigurări sociale, aprobată prin </w:t>
      </w:r>
      <w:r w:rsidRPr="00F04844">
        <w:rPr>
          <w:rStyle w:val="Fontdeparagrafimplicit"/>
          <w:rFonts w:ascii="Bookman Old Style" w:hAnsi="Bookman Old Style"/>
          <w:vanish/>
          <w:lang w:val="ro-RO"/>
        </w:rPr>
        <w:t>&lt;LLNK 12009   154 10 201   0 18&gt;</w:t>
      </w:r>
      <w:r w:rsidRPr="00F04844">
        <w:rPr>
          <w:rStyle w:val="Fontdeparagrafimplicit"/>
          <w:rFonts w:ascii="Bookman Old Style" w:hAnsi="Bookman Old Style"/>
          <w:lang w:val="ro-RO"/>
        </w:rPr>
        <w:t xml:space="preserve">Legea nr. 154/2009. </w:t>
      </w:r>
    </w:p>
    <w:p w:rsidRPr="00F04844" w:rsidR="006C7C1A" w14:paraId="055A1B36"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(5) În situaţia în care cuantumul pensiei aferent punctajului mediu anual rezultat în urma aplicării prevederilor alin. (1)-(4) este mai mic decât cel cuvenit sau aflat în plată, se menţine acest cuantum până la data la care, prin aplicarea formulei de calcul prevăzute de lege, se obţine un cuantum al pensiei mai mare. (6) Prevederile art. 100 lit. a), referitoare la majorarea punctajului pentru perioadele realizate în condiţii deosebite de muncă după data de 1 aprilie 2001, se aplică şi persoanelor înscrise la pensie anterior intrării în vigoare a prezentei legi.”</w:t>
      </w:r>
    </w:p>
    <w:p w:rsidRPr="00F04844" w:rsidR="006C7C1A" w14:paraId="6CD29C90"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ab/>
        <w:t xml:space="preserve">În situaţia reclamantului, al cărui drept la pensie s-a deschis la data de 1.11.1997, devin incidente prevederile alin. 2 al art. 169 din Legea nr. 263/2010, care exclude creşterea punctajului anual în condiţiile în care determinarea punctajului mediu anual s-a utilizat vechimea în muncă necesară deschiderii dreptului la pensie prevăzută de acte normative cu caracter special. </w:t>
      </w:r>
    </w:p>
    <w:p w:rsidRPr="00F04844" w:rsidR="006C7C1A" w14:paraId="66CD381F" w14:textId="77777777">
      <w:pPr>
        <w:jc w:val="both"/>
        <w:rPr>
          <w:rStyle w:val="Fontdeparagrafimplicit"/>
          <w:rFonts w:ascii="Bookman Old Style" w:hAnsi="Bookman Old Style"/>
          <w:lang w:val="ro-RO"/>
        </w:rPr>
      </w:pPr>
      <w:r w:rsidRPr="00F04844">
        <w:rPr>
          <w:rStyle w:val="Fontdeparagrafimplicit"/>
          <w:rFonts w:ascii="Bookman Old Style" w:hAnsi="Bookman Old Style"/>
          <w:lang w:val="ro-RO"/>
        </w:rPr>
        <w:tab/>
        <w:t>În condiţiile în care reclamantului i-a fost stabilită pensia în raport de un stagiu complet de cotizare special de 25 de ani, prin aplicarea  dispoziţiilor H.G.478/1990,  ceea ce a determinat obţinerea unui punctaj mediu anual superior în raport de cel determinat prin împărţirea la stagiul determinat potrivit prevederilor Legii nr. 19/2000, iar faţă de dispoziţiile exprese ale art. 169 alin. 2 din Legea nr. 263/2010, acesta nu mai poate beneficia de creşterea punctajului anual aferent perioadei lucrate în condiţii speciale.</w:t>
      </w:r>
    </w:p>
    <w:p w:rsidRPr="00F04844" w:rsidR="006C7C1A" w14:paraId="69EEE82F" w14:textId="77777777">
      <w:pPr>
        <w:jc w:val="both"/>
        <w:rPr>
          <w:rStyle w:val="Fontdeparagrafimplicit"/>
          <w:rFonts w:ascii="Bookman Old Style" w:hAnsi="Bookman Old Style"/>
          <w:lang w:val="ro-RO"/>
        </w:rPr>
      </w:pPr>
      <w:r w:rsidRPr="00F04844">
        <w:rPr>
          <w:rStyle w:val="Fontdeparagrafimplicit"/>
          <w:rFonts w:ascii="Bookman Old Style" w:hAnsi="Bookman Old Style"/>
          <w:lang w:val="ro-RO"/>
        </w:rPr>
        <w:tab/>
        <w:t>Prin urmare, criticile aduse de recurent hotărârii atacate, privind greşita interpretare a dispoziţiilor legale, nu pot fi primite, prima instanţă procedând la o corectă interpretare şi aplicare a acestora.</w:t>
      </w:r>
    </w:p>
    <w:p w:rsidRPr="00F04844" w:rsidR="006C7C1A" w14:paraId="0D4E34A2" w14:textId="77777777">
      <w:pPr>
        <w:jc w:val="both"/>
        <w:rPr>
          <w:rStyle w:val="Fontdeparagrafimplicit"/>
          <w:rFonts w:ascii="Bookman Old Style" w:hAnsi="Bookman Old Style"/>
          <w:lang w:val="ro-RO"/>
        </w:rPr>
      </w:pPr>
      <w:r w:rsidRPr="00F04844">
        <w:rPr>
          <w:rStyle w:val="Fontdeparagrafimplicit"/>
          <w:rFonts w:ascii="Bookman Old Style" w:hAnsi="Bookman Old Style"/>
          <w:lang w:val="ro-RO"/>
        </w:rPr>
        <w:tab/>
        <w:t>Dacă s-ar admite ipoteza avansată de recurentul reclamant, ar însemna acordarea unui dublu beneficiu în favoarea asiguraţilor care au desfăşurat activitate în grupe de muncă sau în condiţii speciale, ceea ce nu a fost în intenţia legiuitorului.</w:t>
      </w:r>
    </w:p>
    <w:p w:rsidRPr="00F04844" w:rsidR="006C7C1A" w14:paraId="0C45F15D" w14:textId="77777777">
      <w:pPr>
        <w:jc w:val="both"/>
        <w:rPr>
          <w:rStyle w:val="Fontdeparagrafimplicit"/>
          <w:rFonts w:ascii="Bookman Old Style" w:hAnsi="Bookman Old Style"/>
          <w:lang w:val="ro-RO"/>
        </w:rPr>
      </w:pPr>
      <w:r w:rsidRPr="00F04844">
        <w:rPr>
          <w:rStyle w:val="Fontdeparagrafimplicit"/>
          <w:rFonts w:ascii="Bookman Old Style" w:hAnsi="Bookman Old Style"/>
          <w:lang w:val="ro-RO"/>
        </w:rPr>
        <w:tab/>
        <w:t>În ceea ce priveşte facultatea, din datele anexate buletinului de calcul emise în 21.02.2007, rezultă ca aceasta a fost luată în calcul la stabilirea pensiei, perioada 01.10.1960-01.10.1063 şi respectiv 01.10.1964-01.10.1966 fiind menţionate ca atare în cuprinsul acestui înscris(fila 39 dosar fond).</w:t>
      </w:r>
    </w:p>
    <w:p w:rsidRPr="00F04844" w:rsidR="006C7C1A" w14:paraId="72492D56"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Cu privire la pretenţiile recurentului legate de aplicarea art. 78 alin. 8 din Legea nr. 19/2000 prevedea că Curtea reţine că, în mod corect instanţa de fond a concluzionat că acesta impune îndeplinirea a două condiţii cumulative, respectiv stagiu complet de cotizare şi împlinirea vârstei standard, pentru a putea beneficia de majorarea punctajului realizat cu 0,3% pentru fiecare lună, respectiv cu 3,6% pentru fiecare an suplimentar. </w:t>
      </w:r>
    </w:p>
    <w:p w:rsidRPr="00F04844" w:rsidR="006C7C1A" w14:paraId="7C5D310D"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Or, conform datelor reţinute din dosarul de pensie al recurentului, aceasta este născut la data de 18.10.1936, vârsta standard de pensionare fiind de 62 de ani. Din datele de evaluare rezultă însă că, ulterior împlinirii acestei vârste acesta nu a contribuit la sistemul public de pensii, ultima lună evidenţiată fiind decembrie 1997.</w:t>
      </w:r>
    </w:p>
    <w:p w:rsidRPr="00F04844" w:rsidR="006C7C1A" w14:paraId="1E2FC6D2" w14:textId="77777777">
      <w:pPr>
        <w:jc w:val="both"/>
        <w:rPr>
          <w:rStyle w:val="Fontdeparagrafimplicit"/>
          <w:rFonts w:ascii="Bookman Old Style" w:hAnsi="Bookman Old Style"/>
          <w:lang w:val="ro-RO"/>
        </w:rPr>
      </w:pPr>
      <w:r w:rsidRPr="00F04844">
        <w:rPr>
          <w:rStyle w:val="Fontdeparagrafimplicit"/>
          <w:rFonts w:ascii="Bookman Old Style" w:hAnsi="Bookman Old Style"/>
          <w:lang w:val="ro-RO"/>
        </w:rPr>
        <w:tab/>
        <w:t>Aşa fiind, având în vedere considerentele expuse, nefiind incident nici unul din motivele de recurs prevăzute de art. 304 c.pr.civ., în temeiul art. 312 alin.1 c.pr.civ., Curtea va respinge ca nefondat recursul declarat, urmând a fi menţinută ca legală şi temeinică sentinţa atacată.</w:t>
      </w:r>
    </w:p>
    <w:p w:rsidRPr="00F04844" w:rsidR="006C7C1A" w14:paraId="29EB2CF3" w14:textId="77777777">
      <w:pPr>
        <w:jc w:val="both"/>
        <w:rPr>
          <w:rStyle w:val="Fontdeparagrafimplicit"/>
          <w:rFonts w:ascii="Bookman Old Style" w:hAnsi="Bookman Old Style"/>
          <w:lang w:val="ro-RO"/>
        </w:rPr>
      </w:pPr>
    </w:p>
    <w:p w:rsidRPr="00F04844" w:rsidR="006C7C1A" w14:paraId="3E2824C5" w14:textId="77777777">
      <w:pPr>
        <w:rPr>
          <w:rStyle w:val="Fontdeparagrafimplicit"/>
          <w:lang w:val="ro-RO"/>
        </w:rPr>
      </w:pPr>
    </w:p>
    <w:p w:rsidRPr="00F04844" w:rsidR="006C7C1A" w14:paraId="25175FC7" w14:textId="77777777">
      <w:pPr>
        <w:jc w:val="both"/>
        <w:rPr>
          <w:rStyle w:val="Fontdeparagrafimplicit"/>
          <w:lang w:val="ro-RO"/>
        </w:rPr>
      </w:pPr>
    </w:p>
    <w:p w:rsidRPr="00F04844" w:rsidR="006C7C1A" w14:paraId="0CC21057"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PENTRU ACESTE MOTIVE</w:t>
      </w:r>
    </w:p>
    <w:p w:rsidRPr="00F04844" w:rsidR="006C7C1A" w14:paraId="0BF9922E"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ÎN NUMELE LEGII</w:t>
      </w:r>
    </w:p>
    <w:p w:rsidRPr="00F04844" w:rsidR="006C7C1A" w14:paraId="0069A783" w14:textId="77777777">
      <w:pPr>
        <w:jc w:val="center"/>
        <w:rPr>
          <w:rStyle w:val="Fontdeparagrafimplicit"/>
          <w:rFonts w:ascii="Bookman Old Style" w:hAnsi="Bookman Old Style"/>
          <w:lang w:val="ro-RO"/>
        </w:rPr>
      </w:pPr>
      <w:r w:rsidRPr="00F04844">
        <w:rPr>
          <w:rStyle w:val="Fontdeparagrafimplicit"/>
          <w:rFonts w:ascii="Bookman Old Style" w:hAnsi="Bookman Old Style"/>
          <w:lang w:val="ro-RO"/>
        </w:rPr>
        <w:t>D E C I D E:</w:t>
      </w:r>
    </w:p>
    <w:p w:rsidRPr="00F04844" w:rsidR="006C7C1A" w14:paraId="704BF3ED" w14:textId="77777777">
      <w:pPr>
        <w:jc w:val="center"/>
        <w:rPr>
          <w:rStyle w:val="Fontdeparagrafimplicit"/>
          <w:rFonts w:ascii="Bookman Old Style" w:hAnsi="Bookman Old Style"/>
          <w:lang w:val="ro-RO"/>
        </w:rPr>
      </w:pPr>
    </w:p>
    <w:p w:rsidRPr="00F04844" w:rsidR="006C7C1A" w14:paraId="2CD9B2CD"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Respinge ca nefondat recursul declarat de reclamantul </w:t>
      </w:r>
      <w:r w:rsidRPr="00F04844" w:rsidR="008F26DA">
        <w:rPr>
          <w:rStyle w:val="Fontdeparagrafimplicit"/>
          <w:rFonts w:ascii="Bookman Old Style" w:hAnsi="Bookman Old Style"/>
          <w:lang w:val="ro-RO"/>
        </w:rPr>
        <w:t xml:space="preserve">1 </w:t>
      </w:r>
      <w:r w:rsidRPr="00F04844">
        <w:rPr>
          <w:rStyle w:val="Fontdeparagrafimplicit"/>
          <w:rFonts w:ascii="Bookman Old Style" w:hAnsi="Bookman Old Style"/>
          <w:lang w:val="ro-RO"/>
        </w:rPr>
        <w:t xml:space="preserve">împotriva sentinţei civile nr. </w:t>
      </w:r>
      <w:r w:rsidRPr="00F04844" w:rsidR="008F26DA">
        <w:rPr>
          <w:rStyle w:val="Fontdeparagrafimplicit"/>
          <w:rFonts w:ascii="Bookman Old Style" w:hAnsi="Bookman Old Style"/>
          <w:lang w:val="ro-RO"/>
        </w:rPr>
        <w:t>.....</w:t>
      </w:r>
      <w:r w:rsidRPr="00F04844">
        <w:rPr>
          <w:rStyle w:val="Fontdeparagrafimplicit"/>
          <w:rFonts w:ascii="Bookman Old Style" w:hAnsi="Bookman Old Style"/>
          <w:lang w:val="ro-RO"/>
        </w:rPr>
        <w:t xml:space="preserve">din </w:t>
      </w:r>
      <w:r w:rsidRPr="00F04844" w:rsidR="008F26DA">
        <w:rPr>
          <w:rStyle w:val="Fontdeparagrafimplicit"/>
          <w:rFonts w:ascii="Bookman Old Style" w:hAnsi="Bookman Old Style"/>
          <w:lang w:val="ro-RO"/>
        </w:rPr>
        <w:t>........</w:t>
      </w:r>
      <w:r w:rsidRPr="00F04844">
        <w:rPr>
          <w:rStyle w:val="Fontdeparagrafimplicit"/>
          <w:rFonts w:ascii="Bookman Old Style" w:hAnsi="Bookman Old Style"/>
          <w:lang w:val="ro-RO"/>
        </w:rPr>
        <w:t xml:space="preserve"> a Tribunalului </w:t>
      </w:r>
      <w:r w:rsidRPr="00F04844" w:rsidR="008F26DA">
        <w:rPr>
          <w:rStyle w:val="Fontdeparagrafimplicit"/>
          <w:rFonts w:ascii="Bookman Old Style" w:hAnsi="Bookman Old Style"/>
          <w:lang w:val="ro-RO"/>
        </w:rPr>
        <w:t xml:space="preserve">......... </w:t>
      </w:r>
      <w:r w:rsidRPr="00F04844">
        <w:rPr>
          <w:rStyle w:val="Fontdeparagrafimplicit"/>
          <w:rFonts w:ascii="Bookman Old Style" w:hAnsi="Bookman Old Style"/>
          <w:lang w:val="ro-RO"/>
        </w:rPr>
        <w:t xml:space="preserve">, pronunţată în dosar nr. </w:t>
      </w:r>
      <w:r w:rsidRPr="00F04844" w:rsidR="00EB1DFB">
        <w:rPr>
          <w:rStyle w:val="Fontdeparagrafimplicit"/>
          <w:rFonts w:ascii="Bookman Old Style" w:hAnsi="Bookman Old Style"/>
          <w:lang w:val="ro-RO"/>
        </w:rPr>
        <w:t>19</w:t>
      </w:r>
      <w:r w:rsidRPr="00F04844">
        <w:rPr>
          <w:rStyle w:val="Fontdeparagrafimplicit"/>
          <w:rFonts w:ascii="Bookman Old Style" w:hAnsi="Bookman Old Style"/>
          <w:lang w:val="ro-RO"/>
        </w:rPr>
        <w:t>, pe care o menţine.</w:t>
      </w:r>
    </w:p>
    <w:p w:rsidRPr="00F04844" w:rsidR="006C7C1A" w14:paraId="36AD3352"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Decizia este irevocabilă.</w:t>
      </w:r>
    </w:p>
    <w:p w:rsidRPr="00F04844" w:rsidR="006C7C1A" w14:paraId="2D96AA41" w14:textId="77777777">
      <w:pPr>
        <w:ind w:firstLine="708"/>
        <w:jc w:val="both"/>
        <w:rPr>
          <w:rStyle w:val="Fontdeparagrafimplicit"/>
          <w:rFonts w:ascii="Bookman Old Style" w:hAnsi="Bookman Old Style"/>
          <w:lang w:val="ro-RO"/>
        </w:rPr>
      </w:pPr>
      <w:r w:rsidRPr="00F04844">
        <w:rPr>
          <w:rStyle w:val="Fontdeparagrafimplicit"/>
          <w:rFonts w:ascii="Bookman Old Style" w:hAnsi="Bookman Old Style"/>
          <w:lang w:val="ro-RO"/>
        </w:rPr>
        <w:t xml:space="preserve">Dată şi pronunţată în şedinţa publică din </w:t>
      </w:r>
      <w:r w:rsidRPr="00F04844" w:rsidR="008F26DA">
        <w:rPr>
          <w:rStyle w:val="Fontdeparagrafimplicit"/>
          <w:rFonts w:ascii="Bookman Old Style" w:hAnsi="Bookman Old Style"/>
          <w:lang w:val="ro-RO"/>
        </w:rPr>
        <w:t>..........</w:t>
      </w:r>
      <w:r w:rsidRPr="00F04844">
        <w:rPr>
          <w:rStyle w:val="Fontdeparagrafimplicit"/>
          <w:rFonts w:ascii="Bookman Old Style" w:hAnsi="Bookman Old Style"/>
          <w:lang w:val="ro-RO"/>
        </w:rPr>
        <w:t>.</w:t>
      </w:r>
    </w:p>
    <w:p w:rsidRPr="00F04844" w:rsidR="006C7C1A" w14:paraId="080E54CF" w14:textId="77777777">
      <w:pPr>
        <w:ind w:firstLine="708"/>
        <w:jc w:val="both"/>
        <w:rPr>
          <w:rStyle w:val="Fontdeparagrafimplicit"/>
          <w:rFonts w:ascii="Bookman Old Style" w:hAnsi="Bookman Old Style"/>
          <w:lang w:val="ro-RO"/>
        </w:rPr>
      </w:pPr>
    </w:p>
    <w:p w:rsidRPr="00F04844" w:rsidR="006C7C1A" w14:paraId="28D850D5" w14:textId="77777777">
      <w:pPr>
        <w:rPr>
          <w:rStyle w:val="Fontdeparagrafimplicit"/>
          <w:rFonts w:ascii="Bookman Old Style" w:hAnsi="Bookman Old Style"/>
          <w:b/>
          <w:lang w:val="ro-RO"/>
        </w:rPr>
      </w:pPr>
      <w:r w:rsidRPr="00F04844">
        <w:rPr>
          <w:rStyle w:val="Fontdeparagrafimplicit"/>
          <w:rFonts w:ascii="Bookman Old Style" w:hAnsi="Bookman Old Style"/>
          <w:lang w:val="ro-RO"/>
        </w:rPr>
        <w:t xml:space="preserve">  </w:t>
      </w:r>
      <w:r w:rsidRPr="00F04844">
        <w:rPr>
          <w:rStyle w:val="Fontdeparagrafimplicit"/>
          <w:rFonts w:ascii="Bookman Old Style" w:hAnsi="Bookman Old Style"/>
          <w:b/>
          <w:lang w:val="ro-RO"/>
        </w:rPr>
        <w:t xml:space="preserve">PREŞEDINTE                                          JUDECĂTORI </w:t>
      </w:r>
    </w:p>
    <w:p w:rsidRPr="00F04844" w:rsidR="006C7C1A" w14:paraId="0DA1C7BC" w14:textId="77777777">
      <w:pPr>
        <w:rPr>
          <w:rStyle w:val="Fontdeparagrafimplicit"/>
          <w:rFonts w:ascii="Bookman Old Style" w:hAnsi="Bookman Old Style"/>
          <w:b/>
          <w:lang w:val="ro-RO"/>
        </w:rPr>
      </w:pPr>
      <w:r w:rsidRPr="00F04844">
        <w:rPr>
          <w:rStyle w:val="Fontdeparagrafimplicit"/>
          <w:rFonts w:ascii="Bookman Old Style" w:hAnsi="Bookman Old Style"/>
          <w:b/>
          <w:lang w:val="ro-RO"/>
        </w:rPr>
        <w:t xml:space="preserve">.............. </w:t>
      </w:r>
      <w:r w:rsidRPr="00F04844" w:rsidR="00B72353">
        <w:rPr>
          <w:rStyle w:val="Fontdeparagrafimplicit"/>
          <w:rFonts w:ascii="Bookman Old Style" w:hAnsi="Bookman Old Style"/>
          <w:b/>
          <w:lang w:val="ro-RO"/>
        </w:rPr>
        <w:t xml:space="preserve">                  </w:t>
      </w:r>
      <w:r w:rsidRPr="00F04844">
        <w:rPr>
          <w:rStyle w:val="Fontdeparagrafimplicit"/>
          <w:rFonts w:ascii="Bookman Old Style" w:hAnsi="Bookman Old Style"/>
          <w:b/>
          <w:lang w:val="ro-RO"/>
        </w:rPr>
        <w:tab/>
      </w:r>
      <w:r w:rsidRPr="00F04844">
        <w:rPr>
          <w:rStyle w:val="Fontdeparagrafimplicit"/>
          <w:rFonts w:ascii="Bookman Old Style" w:hAnsi="Bookman Old Style"/>
          <w:b/>
          <w:lang w:val="ro-RO"/>
        </w:rPr>
        <w:tab/>
      </w:r>
      <w:r w:rsidRPr="00F04844">
        <w:rPr>
          <w:rStyle w:val="Fontdeparagrafimplicit"/>
          <w:rFonts w:ascii="Bookman Old Style" w:hAnsi="Bookman Old Style"/>
          <w:b/>
          <w:lang w:val="ro-RO"/>
        </w:rPr>
        <w:tab/>
        <w:t xml:space="preserve">     A0019</w:t>
      </w:r>
      <w:r w:rsidRPr="00F04844" w:rsidR="00B72353">
        <w:rPr>
          <w:rStyle w:val="Fontdeparagrafimplicit"/>
          <w:rFonts w:ascii="Bookman Old Style" w:hAnsi="Bookman Old Style"/>
          <w:b/>
          <w:lang w:val="ro-RO"/>
        </w:rPr>
        <w:t xml:space="preserve">          </w:t>
      </w:r>
      <w:r w:rsidRPr="00F04844">
        <w:rPr>
          <w:rStyle w:val="Fontdeparagrafimplicit"/>
          <w:rFonts w:ascii="Bookman Old Style" w:hAnsi="Bookman Old Style"/>
          <w:b/>
          <w:lang w:val="ro-RO"/>
        </w:rPr>
        <w:t xml:space="preserve">............... </w:t>
      </w:r>
      <w:r w:rsidRPr="00F04844" w:rsidR="00B72353">
        <w:rPr>
          <w:rStyle w:val="Fontdeparagrafimplicit"/>
          <w:rFonts w:ascii="Bookman Old Style" w:hAnsi="Bookman Old Style"/>
          <w:lang w:val="ro-RO"/>
        </w:rPr>
        <w:t xml:space="preserve">      </w:t>
      </w:r>
    </w:p>
    <w:p w:rsidRPr="00F04844" w:rsidR="006C7C1A" w14:paraId="12782E4C" w14:textId="77777777">
      <w:pPr>
        <w:rPr>
          <w:rStyle w:val="Fontdeparagrafimplicit"/>
          <w:rFonts w:ascii="Bookman Old Style" w:hAnsi="Bookman Old Style"/>
          <w:b/>
          <w:sz w:val="16"/>
          <w:lang w:val="ro-RO"/>
        </w:rPr>
      </w:pPr>
      <w:r w:rsidRPr="00F04844">
        <w:rPr>
          <w:rStyle w:val="Fontdeparagrafimplicit"/>
          <w:rFonts w:ascii="Bookman Old Style" w:hAnsi="Bookman Old Style"/>
          <w:sz w:val="16"/>
          <w:lang w:val="ro-RO"/>
        </w:rPr>
        <w:t xml:space="preserve">Plecat in CO, semnează vicepreşedinte CA </w:t>
      </w:r>
      <w:r w:rsidRPr="00F04844" w:rsidR="008F26DA">
        <w:rPr>
          <w:rStyle w:val="Fontdeparagrafimplicit"/>
          <w:rFonts w:ascii="Bookman Old Style" w:hAnsi="Bookman Old Style"/>
          <w:sz w:val="16"/>
          <w:lang w:val="ro-RO"/>
        </w:rPr>
        <w:t xml:space="preserve">......... </w:t>
      </w:r>
      <w:r w:rsidRPr="00F04844">
        <w:rPr>
          <w:rStyle w:val="Fontdeparagrafimplicit"/>
          <w:rFonts w:ascii="Bookman Old Style" w:hAnsi="Bookman Old Style"/>
          <w:sz w:val="16"/>
          <w:lang w:val="ro-RO"/>
        </w:rPr>
        <w:t>,</w:t>
      </w:r>
      <w:r w:rsidRPr="00F04844">
        <w:rPr>
          <w:rStyle w:val="Fontdeparagrafimplicit"/>
          <w:rFonts w:ascii="Bookman Old Style" w:hAnsi="Bookman Old Style"/>
          <w:sz w:val="16"/>
          <w:lang w:val="ro-RO"/>
        </w:rPr>
        <w:tab/>
      </w:r>
      <w:r w:rsidRPr="00F04844">
        <w:rPr>
          <w:rStyle w:val="Fontdeparagrafimplicit"/>
          <w:rFonts w:ascii="Bookman Old Style" w:hAnsi="Bookman Old Style"/>
          <w:sz w:val="16"/>
          <w:lang w:val="ro-RO"/>
        </w:rPr>
        <w:tab/>
        <w:t xml:space="preserve">               Plecat in CO, semnează vicepreşedintele  CA </w:t>
      </w:r>
      <w:r w:rsidRPr="00F04844" w:rsidR="008F26DA">
        <w:rPr>
          <w:rStyle w:val="Fontdeparagrafimplicit"/>
          <w:rFonts w:ascii="Bookman Old Style" w:hAnsi="Bookman Old Style"/>
          <w:sz w:val="16"/>
          <w:lang w:val="ro-RO"/>
        </w:rPr>
        <w:t xml:space="preserve">......... </w:t>
      </w:r>
      <w:r w:rsidRPr="00F04844">
        <w:rPr>
          <w:rStyle w:val="Fontdeparagrafimplicit"/>
          <w:rFonts w:ascii="Bookman Old Style" w:hAnsi="Bookman Old Style"/>
          <w:sz w:val="16"/>
          <w:lang w:val="ro-RO"/>
        </w:rPr>
        <w:t xml:space="preserve">, </w:t>
      </w:r>
      <w:r w:rsidRPr="00F04844">
        <w:rPr>
          <w:rStyle w:val="Fontdeparagrafimplicit"/>
          <w:rFonts w:ascii="Bookman Old Style" w:hAnsi="Bookman Old Style"/>
          <w:sz w:val="16"/>
          <w:lang w:val="ro-RO"/>
        </w:rPr>
        <w:tab/>
      </w:r>
      <w:r w:rsidRPr="00F04844">
        <w:rPr>
          <w:rStyle w:val="Fontdeparagrafimplicit"/>
          <w:rFonts w:ascii="Bookman Old Style" w:hAnsi="Bookman Old Style"/>
          <w:sz w:val="16"/>
          <w:lang w:val="ro-RO"/>
        </w:rPr>
        <w:tab/>
      </w:r>
      <w:r w:rsidRPr="00F04844">
        <w:rPr>
          <w:rStyle w:val="Fontdeparagrafimplicit"/>
          <w:rFonts w:ascii="Bookman Old Style" w:hAnsi="Bookman Old Style"/>
          <w:sz w:val="16"/>
          <w:lang w:val="ro-RO"/>
        </w:rPr>
        <w:tab/>
      </w:r>
      <w:r w:rsidRPr="00F04844">
        <w:rPr>
          <w:rStyle w:val="Fontdeparagrafimplicit"/>
          <w:rFonts w:ascii="Bookman Old Style" w:hAnsi="Bookman Old Style"/>
          <w:sz w:val="16"/>
          <w:lang w:val="ro-RO"/>
        </w:rPr>
        <w:tab/>
      </w:r>
      <w:r w:rsidRPr="00F04844">
        <w:rPr>
          <w:rStyle w:val="Fontdeparagrafimplicit"/>
          <w:rFonts w:ascii="Bookman Old Style" w:hAnsi="Bookman Old Style"/>
          <w:sz w:val="16"/>
          <w:lang w:val="ro-RO"/>
        </w:rPr>
        <w:tab/>
      </w:r>
      <w:r w:rsidRPr="00F04844">
        <w:rPr>
          <w:rStyle w:val="Fontdeparagrafimplicit"/>
          <w:rFonts w:ascii="Bookman Old Style" w:hAnsi="Bookman Old Style"/>
          <w:sz w:val="16"/>
          <w:lang w:val="ro-RO"/>
        </w:rPr>
        <w:tab/>
      </w:r>
      <w:r w:rsidRPr="00F04844">
        <w:rPr>
          <w:rStyle w:val="Fontdeparagrafimplicit"/>
          <w:rFonts w:ascii="Bookman Old Style" w:hAnsi="Bookman Old Style"/>
          <w:sz w:val="16"/>
          <w:lang w:val="ro-RO"/>
        </w:rPr>
        <w:tab/>
      </w:r>
      <w:r w:rsidRPr="00F04844">
        <w:rPr>
          <w:rStyle w:val="Fontdeparagrafimplicit"/>
          <w:rFonts w:ascii="Bookman Old Style" w:hAnsi="Bookman Old Style"/>
          <w:sz w:val="16"/>
          <w:lang w:val="ro-RO"/>
        </w:rPr>
        <w:tab/>
      </w:r>
      <w:r w:rsidRPr="00F04844">
        <w:rPr>
          <w:rStyle w:val="Fontdeparagrafimplicit"/>
          <w:rFonts w:ascii="Bookman Old Style" w:hAnsi="Bookman Old Style"/>
          <w:sz w:val="16"/>
          <w:lang w:val="ro-RO"/>
        </w:rPr>
        <w:tab/>
      </w:r>
      <w:r w:rsidRPr="00F04844">
        <w:rPr>
          <w:rStyle w:val="Fontdeparagrafimplicit"/>
          <w:rFonts w:ascii="Bookman Old Style" w:hAnsi="Bookman Old Style"/>
          <w:sz w:val="16"/>
          <w:lang w:val="ro-RO"/>
        </w:rPr>
        <w:tab/>
      </w:r>
      <w:r w:rsidRPr="00F04844" w:rsidR="008F26DA">
        <w:rPr>
          <w:rStyle w:val="Fontdeparagrafimplicit"/>
          <w:rFonts w:ascii="Bookman Old Style" w:hAnsi="Bookman Old Style"/>
          <w:b/>
          <w:sz w:val="16"/>
          <w:lang w:val="ro-RO"/>
        </w:rPr>
        <w:t>.......................</w:t>
      </w:r>
    </w:p>
    <w:p w:rsidRPr="00F04844" w:rsidR="006C7C1A" w14:paraId="2794D986" w14:textId="77777777">
      <w:pPr>
        <w:rPr>
          <w:rStyle w:val="Fontdeparagrafimplicit"/>
          <w:rFonts w:ascii="Bookman Old Style" w:hAnsi="Bookman Old Style"/>
          <w:sz w:val="16"/>
          <w:lang w:val="ro-RO"/>
        </w:rPr>
      </w:pPr>
      <w:r w:rsidRPr="00F04844">
        <w:rPr>
          <w:rStyle w:val="Fontdeparagrafimplicit"/>
          <w:rFonts w:ascii="Bookman Old Style" w:hAnsi="Bookman Old Style"/>
          <w:b/>
          <w:sz w:val="16"/>
          <w:lang w:val="ro-RO"/>
        </w:rPr>
        <w:t>...........</w:t>
      </w:r>
    </w:p>
    <w:p w:rsidRPr="00F04844" w:rsidR="006C7C1A" w14:paraId="1469C133" w14:textId="77777777">
      <w:pPr>
        <w:rPr>
          <w:rStyle w:val="Fontdeparagrafimplicit"/>
          <w:rFonts w:ascii="Bookman Old Style" w:hAnsi="Bookman Old Style"/>
          <w:b/>
          <w:lang w:val="ro-RO"/>
        </w:rPr>
      </w:pPr>
    </w:p>
    <w:p w:rsidRPr="00F04844" w:rsidR="006C7C1A" w14:paraId="38257B00" w14:textId="77777777">
      <w:pPr>
        <w:rPr>
          <w:rStyle w:val="Fontdeparagrafimplicit"/>
          <w:rFonts w:ascii="Bookman Old Style" w:hAnsi="Bookman Old Style"/>
          <w:b/>
          <w:lang w:val="ro-RO"/>
        </w:rPr>
      </w:pPr>
    </w:p>
    <w:p w:rsidRPr="00F04844" w:rsidR="006C7C1A" w14:paraId="10EC6EB1" w14:textId="77777777">
      <w:pPr>
        <w:rPr>
          <w:rStyle w:val="Fontdeparagrafimplicit"/>
          <w:rFonts w:ascii="Bookman Old Style" w:hAnsi="Bookman Old Style"/>
          <w:b/>
          <w:sz w:val="22"/>
          <w:lang w:val="ro-RO"/>
        </w:rPr>
      </w:pPr>
    </w:p>
    <w:p w:rsidRPr="00F04844" w:rsidR="006C7C1A" w14:paraId="595F3EE9" w14:textId="77777777">
      <w:pPr>
        <w:rPr>
          <w:rStyle w:val="Fontdeparagrafimplicit"/>
          <w:rFonts w:ascii="Bookman Old Style" w:hAnsi="Bookman Old Style"/>
          <w:b/>
          <w:sz w:val="22"/>
          <w:lang w:val="ro-RO"/>
        </w:rPr>
      </w:pPr>
    </w:p>
    <w:p w:rsidRPr="00F04844" w:rsidR="006C7C1A" w14:paraId="35FD5CD8" w14:textId="77777777">
      <w:pPr>
        <w:rPr>
          <w:rStyle w:val="Fontdeparagrafimplicit"/>
          <w:rFonts w:ascii="Bookman Old Style" w:hAnsi="Bookman Old Style"/>
          <w:b/>
          <w:sz w:val="22"/>
          <w:lang w:val="ro-RO"/>
        </w:rPr>
      </w:pPr>
    </w:p>
    <w:p w:rsidRPr="00F04844" w:rsidR="006C7C1A" w14:paraId="53DF8908" w14:textId="77777777">
      <w:pPr>
        <w:jc w:val="center"/>
        <w:rPr>
          <w:rStyle w:val="Fontdeparagrafimplicit"/>
          <w:rFonts w:ascii="Bookman Old Style" w:hAnsi="Bookman Old Style"/>
          <w:b/>
          <w:lang w:val="ro-RO"/>
        </w:rPr>
      </w:pPr>
      <w:r w:rsidRPr="00F04844">
        <w:rPr>
          <w:rStyle w:val="Fontdeparagrafimplicit"/>
          <w:rFonts w:ascii="Bookman Old Style" w:hAnsi="Bookman Old Style"/>
          <w:b/>
          <w:sz w:val="22"/>
          <w:lang w:val="ro-RO"/>
        </w:rPr>
        <w:t xml:space="preserve">                                                                                              </w:t>
      </w:r>
      <w:r w:rsidRPr="00F04844">
        <w:rPr>
          <w:rStyle w:val="Fontdeparagrafimplicit"/>
          <w:rFonts w:ascii="Bookman Old Style" w:hAnsi="Bookman Old Style"/>
          <w:b/>
          <w:lang w:val="ro-RO"/>
        </w:rPr>
        <w:t>GREFIER</w:t>
      </w:r>
    </w:p>
    <w:p w:rsidRPr="00F04844" w:rsidR="006C7C1A" w14:paraId="4198EB72" w14:textId="77777777">
      <w:pPr>
        <w:jc w:val="center"/>
        <w:rPr>
          <w:rStyle w:val="Fontdeparagrafimplicit"/>
          <w:rFonts w:ascii="Bookman Old Style" w:hAnsi="Bookman Old Style"/>
          <w:b/>
          <w:lang w:val="ro-RO"/>
        </w:rPr>
      </w:pPr>
      <w:r w:rsidRPr="00F04844">
        <w:rPr>
          <w:rStyle w:val="Fontdeparagrafimplicit"/>
          <w:rFonts w:ascii="Bookman Old Style" w:hAnsi="Bookman Old Style"/>
          <w:b/>
          <w:lang w:val="ro-RO"/>
        </w:rPr>
        <w:t xml:space="preserve">                                                                                      </w:t>
      </w:r>
      <w:r w:rsidRPr="00F04844" w:rsidR="008F26DA">
        <w:rPr>
          <w:rStyle w:val="Fontdeparagrafimplicit"/>
          <w:rFonts w:ascii="Bookman Old Style" w:hAnsi="Bookman Old Style"/>
          <w:b/>
          <w:lang w:val="ro-RO"/>
        </w:rPr>
        <w:t xml:space="preserve">............... </w:t>
      </w:r>
    </w:p>
    <w:p w:rsidRPr="00F04844" w:rsidR="006C7C1A" w14:paraId="228D51B4" w14:textId="77777777">
      <w:pPr>
        <w:rPr>
          <w:rStyle w:val="Fontdeparagrafimplicit"/>
          <w:rFonts w:ascii="Bookman Old Style" w:hAnsi="Bookman Old Style"/>
          <w:b/>
          <w:lang w:val="ro-RO"/>
        </w:rPr>
      </w:pPr>
    </w:p>
    <w:p w:rsidRPr="00F04844" w:rsidR="006C7C1A" w14:paraId="22841F57" w14:textId="77777777">
      <w:pPr>
        <w:rPr>
          <w:rStyle w:val="Fontdeparagrafimplicit"/>
          <w:rFonts w:ascii="Bookman Old Style" w:hAnsi="Bookman Old Style"/>
          <w:b/>
          <w:sz w:val="22"/>
          <w:lang w:val="ro-RO"/>
        </w:rPr>
      </w:pPr>
    </w:p>
    <w:p w:rsidRPr="00F04844" w:rsidR="006C7C1A" w14:paraId="41B301E1" w14:textId="77777777">
      <w:pPr>
        <w:jc w:val="both"/>
        <w:rPr>
          <w:rStyle w:val="Fontdeparagrafimplicit"/>
          <w:rFonts w:ascii="Bookman Old Style" w:hAnsi="Bookman Old Style"/>
          <w:sz w:val="16"/>
          <w:lang w:val="ro-RO"/>
        </w:rPr>
      </w:pPr>
    </w:p>
    <w:p w:rsidRPr="00F04844" w:rsidR="006C7C1A" w14:paraId="0B5BF433" w14:textId="77777777">
      <w:pPr>
        <w:jc w:val="both"/>
        <w:rPr>
          <w:rStyle w:val="Fontdeparagrafimplicit"/>
          <w:rFonts w:ascii="Bookman Old Style" w:hAnsi="Bookman Old Style"/>
          <w:sz w:val="16"/>
          <w:lang w:val="ro-RO"/>
        </w:rPr>
      </w:pPr>
    </w:p>
    <w:p w:rsidRPr="00F04844" w:rsidR="006C7C1A" w14:paraId="61B40BBC" w14:textId="77777777">
      <w:pPr>
        <w:jc w:val="both"/>
        <w:rPr>
          <w:rStyle w:val="Fontdeparagrafimplicit"/>
          <w:rFonts w:ascii="Bookman Old Style" w:hAnsi="Bookman Old Style"/>
          <w:sz w:val="16"/>
          <w:lang w:val="ro-RO"/>
        </w:rPr>
      </w:pPr>
    </w:p>
    <w:p w:rsidRPr="00F04844" w:rsidR="006C7C1A" w14:paraId="533328E0" w14:textId="77777777">
      <w:pPr>
        <w:jc w:val="both"/>
        <w:rPr>
          <w:rStyle w:val="Fontdeparagrafimplicit"/>
          <w:rFonts w:ascii="Bookman Old Style" w:hAnsi="Bookman Old Style"/>
          <w:sz w:val="16"/>
          <w:lang w:val="ro-RO"/>
        </w:rPr>
      </w:pPr>
    </w:p>
    <w:p w:rsidRPr="00F04844" w:rsidR="006C7C1A" w14:paraId="6CB403B2" w14:textId="77777777">
      <w:pPr>
        <w:jc w:val="both"/>
        <w:rPr>
          <w:rStyle w:val="Fontdeparagrafimplicit"/>
          <w:rFonts w:ascii="Bookman Old Style" w:hAnsi="Bookman Old Style"/>
          <w:sz w:val="16"/>
          <w:lang w:val="ro-RO"/>
        </w:rPr>
      </w:pPr>
    </w:p>
    <w:p w:rsidRPr="00F04844" w:rsidR="006C7C1A" w14:paraId="50FEBA33" w14:textId="77777777">
      <w:pPr>
        <w:jc w:val="both"/>
        <w:rPr>
          <w:rStyle w:val="Fontdeparagrafimplicit"/>
          <w:rFonts w:ascii="Bookman Old Style" w:hAnsi="Bookman Old Style"/>
          <w:sz w:val="16"/>
          <w:lang w:val="ro-RO"/>
        </w:rPr>
      </w:pPr>
    </w:p>
    <w:p w:rsidRPr="00F04844" w:rsidR="006C7C1A" w14:paraId="573A1E27" w14:textId="77777777">
      <w:pPr>
        <w:jc w:val="both"/>
        <w:rPr>
          <w:rStyle w:val="Fontdeparagrafimplicit"/>
          <w:rFonts w:ascii="Bookman Old Style" w:hAnsi="Bookman Old Style"/>
          <w:sz w:val="16"/>
          <w:lang w:val="ro-RO"/>
        </w:rPr>
      </w:pPr>
      <w:r w:rsidRPr="00F04844">
        <w:rPr>
          <w:rStyle w:val="Fontdeparagrafimplicit"/>
          <w:rFonts w:ascii="Bookman Old Style" w:hAnsi="Bookman Old Style"/>
          <w:sz w:val="16"/>
          <w:lang w:val="ro-RO"/>
        </w:rPr>
        <w:t>Red.</w:t>
      </w:r>
      <w:r w:rsidRPr="00F04844" w:rsidR="008F26DA">
        <w:rPr>
          <w:rStyle w:val="Fontdeparagrafimplicit"/>
          <w:rFonts w:ascii="Bookman Old Style" w:hAnsi="Bookman Old Style"/>
          <w:sz w:val="16"/>
          <w:lang w:val="ro-RO"/>
        </w:rPr>
        <w:t>A0019</w:t>
      </w:r>
      <w:r w:rsidRPr="00F04844">
        <w:rPr>
          <w:rStyle w:val="Fontdeparagrafimplicit"/>
          <w:rFonts w:ascii="Bookman Old Style" w:hAnsi="Bookman Old Style"/>
          <w:sz w:val="16"/>
          <w:lang w:val="ro-RO"/>
        </w:rPr>
        <w:t>/dact.</w:t>
      </w:r>
      <w:r w:rsidRPr="00F04844" w:rsidR="008F26DA">
        <w:rPr>
          <w:rStyle w:val="Fontdeparagrafimplicit"/>
          <w:rFonts w:ascii="Bookman Old Style" w:hAnsi="Bookman Old Style"/>
          <w:sz w:val="16"/>
          <w:lang w:val="ro-RO"/>
        </w:rPr>
        <w:t>..........</w:t>
      </w:r>
    </w:p>
    <w:p w:rsidRPr="00F04844" w:rsidR="006C7C1A" w14:paraId="6BA3A006" w14:textId="77777777">
      <w:pPr>
        <w:jc w:val="both"/>
        <w:rPr>
          <w:rStyle w:val="Fontdeparagrafimplicit"/>
          <w:rFonts w:ascii="Bookman Old Style" w:hAnsi="Bookman Old Style"/>
          <w:sz w:val="16"/>
          <w:lang w:val="ro-RO"/>
        </w:rPr>
      </w:pPr>
      <w:r w:rsidRPr="00F04844">
        <w:rPr>
          <w:rStyle w:val="Fontdeparagrafimplicit"/>
          <w:rFonts w:ascii="Bookman Old Style" w:hAnsi="Bookman Old Style"/>
          <w:sz w:val="16"/>
          <w:lang w:val="ro-RO"/>
        </w:rPr>
        <w:t>2ex./</w:t>
      </w:r>
      <w:r w:rsidRPr="00F04844" w:rsidR="008F26DA">
        <w:rPr>
          <w:rStyle w:val="Fontdeparagrafimplicit"/>
          <w:rFonts w:ascii="Bookman Old Style" w:hAnsi="Bookman Old Style"/>
          <w:sz w:val="16"/>
          <w:lang w:val="ro-RO"/>
        </w:rPr>
        <w:t>..........</w:t>
      </w:r>
    </w:p>
    <w:p w:rsidRPr="00F04844" w:rsidR="006C7C1A" w14:paraId="7F3EE88F" w14:textId="77777777">
      <w:pPr>
        <w:jc w:val="both"/>
        <w:rPr>
          <w:rStyle w:val="Fontdeparagrafimplicit"/>
          <w:rFonts w:ascii="Bookman Old Style" w:hAnsi="Bookman Old Style"/>
          <w:sz w:val="16"/>
          <w:lang w:val="ro-RO"/>
        </w:rPr>
      </w:pPr>
      <w:r w:rsidRPr="00F04844">
        <w:rPr>
          <w:rStyle w:val="Fontdeparagrafimplicit"/>
          <w:rFonts w:ascii="Bookman Old Style" w:hAnsi="Bookman Old Style"/>
          <w:sz w:val="16"/>
          <w:lang w:val="ro-RO"/>
        </w:rPr>
        <w:t>Jud.fond:</w:t>
      </w:r>
      <w:r w:rsidRPr="00F04844">
        <w:rPr>
          <w:rStyle w:val="Fontdeparagrafimplicit"/>
          <w:rFonts w:ascii="Bookman Old Style" w:hAnsi="Bookman Old Style"/>
          <w:b/>
          <w:sz w:val="16"/>
          <w:lang w:val="ro-RO"/>
        </w:rPr>
        <w:t xml:space="preserve"> </w:t>
      </w:r>
      <w:r w:rsidRPr="00F04844" w:rsidR="008F26DA">
        <w:rPr>
          <w:rStyle w:val="Fontdeparagrafimplicit"/>
          <w:rFonts w:ascii="Bookman Old Style" w:hAnsi="Bookman Old Style"/>
          <w:sz w:val="16"/>
          <w:lang w:val="ro-RO"/>
        </w:rPr>
        <w:t>.............</w:t>
      </w:r>
    </w:p>
    <w:p w:rsidRPr="00F04844" w:rsidR="006C7C1A" w14:paraId="2B6CA2D2" w14:textId="77777777">
      <w:pPr>
        <w:ind w:firstLine="708"/>
        <w:jc w:val="both"/>
        <w:rPr>
          <w:rStyle w:val="Fontdeparagrafimplicit"/>
          <w:lang w:val="ro-RO"/>
        </w:rPr>
      </w:pPr>
    </w:p>
    <w:p w:rsidRPr="00F04844" w:rsidR="006C7C1A" w14:paraId="01AF2949" w14:textId="77777777">
      <w:pPr>
        <w:jc w:val="both"/>
        <w:rPr>
          <w:rStyle w:val="Fontdeparagrafimplicit"/>
          <w:rFonts w:ascii="Bookman Old Style" w:hAnsi="Bookman Old Style"/>
          <w:lang w:val="ro-RO"/>
        </w:rPr>
      </w:pPr>
    </w:p>
    <w:p w:rsidRPr="00F04844" w:rsidR="006C7C1A" w14:paraId="37CF8493" w14:textId="77777777">
      <w:pPr>
        <w:rPr>
          <w:rStyle w:val="Fontdeparagrafimplicit"/>
          <w:lang w:val="ro-RO"/>
        </w:rPr>
      </w:pPr>
    </w:p>
    <w:p w:rsidRPr="00F04844" w:rsidR="006C7C1A" w14:paraId="2F1DD7F1" w14:textId="77777777">
      <w:pPr>
        <w:rPr>
          <w:rStyle w:val="Fontdeparagrafimplicit"/>
          <w:lang w:val="ro-RO"/>
        </w:rPr>
      </w:pPr>
    </w:p>
    <w:p w:rsidRPr="00F04844" w:rsidR="006C7C1A" w14:paraId="26F20F8B" w14:textId="77777777">
      <w:pPr>
        <w:rPr>
          <w:rStyle w:val="Fontdeparagrafimplicit"/>
          <w:lang w:val="ro-RO"/>
        </w:rPr>
      </w:pPr>
    </w:p>
    <w:p w:rsidRPr="00F04844" w:rsidR="006C7C1A" w14:paraId="2F4B1CEA" w14:textId="77777777">
      <w:pPr>
        <w:rPr>
          <w:rStyle w:val="Fontdeparagrafimplicit"/>
          <w:lang w:val="ro-RO"/>
        </w:rPr>
      </w:pPr>
    </w:p>
    <w:p w:rsidRPr="00F04844" w:rsidR="006C7C1A" w14:paraId="6FA1198B" w14:textId="77777777">
      <w:pPr>
        <w:rPr>
          <w:rStyle w:val="Fontdeparagrafimplicit"/>
          <w:lang w:val="ro-RO"/>
        </w:rPr>
      </w:pPr>
    </w:p>
    <w:p w:rsidRPr="00F04844" w:rsidR="006C7C1A" w14:paraId="125DCFDA" w14:textId="77777777">
      <w:pPr>
        <w:rPr>
          <w:rStyle w:val="Fontdeparagrafimplicit"/>
          <w:lang w:val="ro-RO"/>
        </w:rPr>
      </w:pPr>
    </w:p>
    <w:p w:rsidRPr="00F04844" w:rsidR="006C7C1A" w14:paraId="33FB9678" w14:textId="77777777">
      <w:pPr>
        <w:rPr>
          <w:rStyle w:val="Fontdeparagrafimplicit"/>
          <w:lang w:val="ro-RO"/>
        </w:rPr>
      </w:pPr>
    </w:p>
    <w:p w:rsidRPr="00F04844" w:rsidR="006C7C1A" w14:paraId="55C83CE1" w14:textId="77777777">
      <w:pPr>
        <w:rPr>
          <w:rStyle w:val="Fontdeparagrafimplicit"/>
          <w:lang w:val="ro-RO"/>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C7C1A" w14:paraId="7E8DF941"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6C7C1A" w14:paraId="27A026AE"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C7C1A" w14:paraId="6E839D8D"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sidR="00EB1DFB">
      <w:rPr>
        <w:rStyle w:val="Numrdepagin"/>
        <w:noProof/>
      </w:rPr>
      <w:t>1</w:t>
    </w:r>
    <w:r>
      <w:rPr>
        <w:rStyle w:val="Numrdepagin"/>
      </w:rPr>
      <w:fldChar w:fldCharType="end"/>
    </w:r>
  </w:p>
  <w:p w:rsidR="006C7C1A" w14:paraId="4A402AB9"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C1A"/>
    <w:rsid w:val="000548F1"/>
    <w:rsid w:val="0035144E"/>
    <w:rsid w:val="003F26E0"/>
    <w:rsid w:val="005F17D1"/>
    <w:rsid w:val="00621C98"/>
    <w:rsid w:val="006C7C1A"/>
    <w:rsid w:val="006D7A73"/>
    <w:rsid w:val="008F26DA"/>
    <w:rsid w:val="00A0137C"/>
    <w:rsid w:val="00B72353"/>
    <w:rsid w:val="00C1732C"/>
    <w:rsid w:val="00E05E4B"/>
    <w:rsid w:val="00EB1DFB"/>
    <w:rsid w:val="00F04844"/>
    <w:rsid w:val="00F144B5"/>
  </w:rsids>
  <w:docVars>
    <w:docVar w:name="url" w:val="http://bd-cjca:80/ecris_cdms/document_upload.aspx?id_document=3300000000479766&amp;id_departament=3&amp;id_sesiune=315024&amp;id_user=157&amp;id_institutie=33&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69B87A5D"/>
  <w15:docId w15:val="{A5054CF2-57F6-4927-9AA5-66B938500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spacing w:before="240" w:after="60"/>
      <w:outlineLvl w:val="1"/>
    </w:pPr>
    <w:rPr>
      <w:rFonts w:ascii="Arial" w:hAnsi="Arial"/>
      <w:b/>
      <w:i/>
      <w:sz w:val="28"/>
    </w:rPr>
  </w:style>
  <w:style w:type="paragraph" w:customStyle="1" w:styleId="Titlu3">
    <w:name w:val="Titlu 3"/>
    <w:basedOn w:val="Normal"/>
    <w:next w:val="Normal"/>
    <w:qFormat/>
    <w:pPr>
      <w:keepNext/>
      <w:spacing w:before="240" w:after="60"/>
      <w:outlineLvl w:val="2"/>
    </w:pPr>
    <w:rPr>
      <w:rFonts w:ascii="Arial" w:hAnsi="Arial"/>
      <w:b/>
      <w:sz w:val="26"/>
    </w:rPr>
  </w:style>
  <w:style w:type="paragraph" w:styleId="NormalWeb">
    <w:name w:val="Normal (Web)"/>
    <w:basedOn w:val="Normal"/>
    <w:pPr>
      <w:spacing w:before="100" w:beforeAutospacing="1" w:after="100" w:afterAutospacing="1"/>
    </w:pPr>
  </w:style>
  <w:style w:type="paragraph" w:customStyle="1" w:styleId="CaracterCaracterCaracterCaracterCaracterCaracter">
    <w:name w:val="Caracter Caracter Caracter Caracter Caracter Caracter"/>
    <w:basedOn w:val="Normal"/>
    <w:link w:val="Fontdeparagrafimplicit"/>
    <w:rPr>
      <w:lang w:val="pl-PL"/>
    </w:rPr>
  </w:style>
  <w:style w:type="paragraph" w:customStyle="1" w:styleId="CaracterCaracter1CaracterCaracterCaracterCaracter">
    <w:name w:val="Caracter Caracter1 Caracter Caracter Caracter Caracter"/>
    <w:basedOn w:val="Normal"/>
    <w:rPr>
      <w:lang w:val="pl-PL"/>
    </w:rPr>
  </w:style>
  <w:style w:type="paragraph" w:customStyle="1" w:styleId="CharCharCaracterCaracterCharChar1">
    <w:name w:val="Char Char Caracter Caracter Char Char1"/>
    <w:basedOn w:val="Normal"/>
    <w:rPr>
      <w:lang w:val="pl-PL"/>
    </w:rPr>
  </w:style>
  <w:style w:type="paragraph" w:customStyle="1" w:styleId="Subsol">
    <w:name w:val="Subsol"/>
    <w:basedOn w:val="Normal"/>
    <w:pPr>
      <w:tabs>
        <w:tab w:val="center" w:pos="4320"/>
        <w:tab w:val="right" w:pos="8640"/>
      </w:tabs>
    </w:pPr>
  </w:style>
  <w:style w:type="paragraph" w:customStyle="1" w:styleId="CharChar1CaracterCaracterCharCharCaracterCaracterCharCharCaracterCaracterCharChar">
    <w:name w:val="Char Char1 Caracter Caracter Char Char Caracter Caracter Char Char Caracter Caracter Char Char"/>
    <w:basedOn w:val="Normal"/>
    <w:pPr>
      <w:tabs>
        <w:tab w:val="left" w:pos="900"/>
        <w:tab w:val="left" w:pos="1080"/>
      </w:tabs>
      <w:ind w:right="22"/>
    </w:pPr>
    <w:rPr>
      <w:lang w:val="pl-PL"/>
    </w:rPr>
  </w:style>
  <w:style w:type="paragraph" w:customStyle="1" w:styleId="CaracterCaracter">
    <w:name w:val="Caracter Caracter"/>
    <w:basedOn w:val="Normal"/>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Caracter Caracter Caracter Caracter Caracter Caracter"/>
    <w:link w:val="CaracterCaracterCaracterCaracterCaracterCaracter"/>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34</ap:TotalTime>
  <ap:Pages>7</ap:Pages>
  <ap:Words>3363</ap:Words>
  <ap:Characters>19170</ap:Characters>
  <ap:Application>Microsoft Office Word</ap:Application>
  <ap:DocSecurity>0</ap:DocSecurity>
  <ap:Lines>159</ap:Lines>
  <ap:Paragraphs>44</ap:Paragraphs>
  <ap:ScaleCrop>false</ap:ScaleCrop>
  <ap:CharactersWithSpaces>22489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2013-07-15T09:39:00.0000000Z</lastPrinted>
  <dc:subject/>
  <dc:description/>
  <keywords/>
  <category/>
  <contentStatus/>
  <dc:identifier/>
  <dc:language/>
  <version/>
</coreProperties>
</file>