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2A6899" w:rsidR="00001564" w:rsidP="00001564" w14:paraId="258DD479" w14:textId="68A8D3C5">
      <w:pPr>
        <w:widowControl w:val="0"/>
        <w:rPr>
          <w:rStyle w:val="Fontdeparagrafimplicit"/>
          <w:b/>
          <w:bCs/>
          <w:szCs w:val="24"/>
        </w:rPr>
      </w:pPr>
      <w:r w:rsidRPr="002A6899">
        <w:rPr>
          <w:rStyle w:val="Fontdeparagrafimplicit"/>
          <w:b/>
          <w:bCs/>
          <w:szCs w:val="24"/>
        </w:rPr>
        <w:t>HOTĂRÂREA NR.</w:t>
      </w:r>
      <w:r>
        <w:rPr>
          <w:rStyle w:val="Fontdeparagrafimplicit"/>
          <w:b/>
          <w:bCs/>
          <w:szCs w:val="24"/>
        </w:rPr>
        <w:t xml:space="preserve"> </w:t>
      </w:r>
      <w:r>
        <w:rPr>
          <w:rStyle w:val="Fontdeparagrafimplicit"/>
          <w:b/>
          <w:bCs/>
          <w:szCs w:val="24"/>
        </w:rPr>
        <w:t>4</w:t>
      </w:r>
    </w:p>
    <w:p w:rsidR="00001564" w:rsidP="00001564" w14:paraId="4D1CF2E8" w14:textId="77777777">
      <w:pPr>
        <w:rPr>
          <w:rStyle w:val="Fontdeparagrafimplicit"/>
          <w:b/>
        </w:rPr>
      </w:pPr>
      <w:r>
        <w:rPr>
          <w:rStyle w:val="Fontdeparagrafimplicit"/>
          <w:b/>
        </w:rPr>
        <w:t>Dosar nr. .......................</w:t>
      </w:r>
    </w:p>
    <w:p w:rsidR="00001564" w:rsidP="00001564" w14:paraId="6A9F9D06" w14:textId="77777777">
      <w:pPr>
        <w:ind w:firstLine="709"/>
        <w:jc w:val="center"/>
      </w:pPr>
      <w:r>
        <w:t>R O M Â N I A</w:t>
      </w:r>
    </w:p>
    <w:p w:rsidR="00001564" w:rsidP="00001564" w14:paraId="0857DADB" w14:textId="77777777">
      <w:pPr>
        <w:ind w:firstLine="709"/>
        <w:jc w:val="center"/>
      </w:pPr>
      <w:r>
        <w:t>CURTEA DE APEL .......................</w:t>
      </w:r>
    </w:p>
    <w:p w:rsidR="00001564" w:rsidP="00001564" w14:paraId="2D73B7B6" w14:textId="77777777">
      <w:pPr>
        <w:ind w:firstLine="709"/>
        <w:jc w:val="center"/>
      </w:pPr>
      <w:r>
        <w:t>SECŢIA A .......................-A CONTENCIOS ADMINISTRATIV ŞI FISCAL</w:t>
      </w:r>
    </w:p>
    <w:p w:rsidR="00001564" w:rsidP="00001564" w14:paraId="4B5B84C7" w14:textId="77777777">
      <w:pPr>
        <w:ind w:firstLine="709"/>
        <w:jc w:val="center"/>
        <w:rPr>
          <w:rStyle w:val="Fontdeparagrafimplicit"/>
          <w:b/>
          <w:color w:val="000000"/>
          <w:u w:val="single"/>
        </w:rPr>
      </w:pPr>
      <w:r>
        <w:rPr>
          <w:rStyle w:val="Fontdeparagrafimplicit"/>
          <w:b/>
          <w:color w:val="000000"/>
          <w:u w:val="single"/>
        </w:rPr>
        <w:t>DECIZIA CIVILĂ NR........................</w:t>
      </w:r>
    </w:p>
    <w:p w:rsidR="00001564" w:rsidP="00001564" w14:paraId="1101A0F6" w14:textId="77777777">
      <w:pPr>
        <w:ind w:firstLine="709"/>
        <w:jc w:val="center"/>
        <w:rPr>
          <w:rStyle w:val="Fontdeparagrafimplicit"/>
          <w:b/>
          <w:color w:val="000000"/>
        </w:rPr>
      </w:pPr>
      <w:r>
        <w:rPr>
          <w:rStyle w:val="Fontdeparagrafimplicit"/>
          <w:b/>
          <w:color w:val="000000"/>
        </w:rPr>
        <w:t>Şedinţa</w:t>
      </w:r>
      <w:r>
        <w:rPr>
          <w:rStyle w:val="Fontdeparagrafimplicit"/>
          <w:b/>
          <w:color w:val="000000"/>
        </w:rPr>
        <w:t xml:space="preserve"> publică din data de .......................</w:t>
      </w:r>
    </w:p>
    <w:p w:rsidR="00001564" w:rsidP="00001564" w14:paraId="0688A89B" w14:textId="77777777">
      <w:pPr>
        <w:ind w:firstLine="709"/>
        <w:jc w:val="center"/>
        <w:rPr>
          <w:rStyle w:val="Fontdeparagrafimplicit"/>
          <w:b/>
          <w:color w:val="000000"/>
        </w:rPr>
      </w:pPr>
      <w:r>
        <w:rPr>
          <w:rStyle w:val="Fontdeparagrafimplicit"/>
          <w:b/>
          <w:color w:val="000000"/>
        </w:rPr>
        <w:t>Curtea constituită din:</w:t>
      </w:r>
    </w:p>
    <w:p w:rsidR="00001564" w:rsidP="00001564" w14:paraId="43B8EE5E" w14:textId="02D83F79">
      <w:pPr>
        <w:tabs>
          <w:tab w:val="left" w:pos="0"/>
          <w:tab w:val="left" w:pos="709"/>
        </w:tabs>
        <w:ind w:firstLine="709"/>
        <w:jc w:val="center"/>
        <w:rPr>
          <w:rStyle w:val="Fontdeparagrafimplicit"/>
          <w:b/>
          <w:color w:val="000000"/>
        </w:rPr>
      </w:pPr>
      <w:r>
        <w:rPr>
          <w:rStyle w:val="Fontdeparagrafimplicit"/>
          <w:color w:val="000000"/>
        </w:rPr>
        <w:t>PREŞEDINTE</w:t>
      </w:r>
      <w:r>
        <w:rPr>
          <w:rStyle w:val="Fontdeparagrafimplicit"/>
          <w:b/>
          <w:color w:val="000000"/>
        </w:rPr>
        <w:t xml:space="preserve"> : </w:t>
      </w:r>
      <w:r>
        <w:rPr>
          <w:rStyle w:val="Fontdeparagrafimplicit"/>
          <w:b/>
          <w:color w:val="000000"/>
        </w:rPr>
        <w:t>A0016</w:t>
      </w:r>
    </w:p>
    <w:p w:rsidR="00001564" w:rsidP="00001564" w14:paraId="289D5E7F" w14:textId="77777777">
      <w:pPr>
        <w:tabs>
          <w:tab w:val="left" w:pos="0"/>
          <w:tab w:val="left" w:pos="709"/>
        </w:tabs>
        <w:ind w:firstLine="709"/>
        <w:jc w:val="center"/>
        <w:rPr>
          <w:rStyle w:val="Fontdeparagrafimplicit"/>
          <w:b/>
          <w:color w:val="000000"/>
        </w:rPr>
      </w:pPr>
      <w:r>
        <w:rPr>
          <w:rStyle w:val="Fontdeparagrafimplicit"/>
          <w:color w:val="000000"/>
        </w:rPr>
        <w:t xml:space="preserve">JUDECĂTOR </w:t>
      </w:r>
      <w:r>
        <w:rPr>
          <w:rStyle w:val="Fontdeparagrafimplicit"/>
          <w:b/>
          <w:color w:val="000000"/>
        </w:rPr>
        <w:t>: .......................</w:t>
      </w:r>
    </w:p>
    <w:p w:rsidR="00001564" w:rsidP="00001564" w14:paraId="383EF984" w14:textId="77777777">
      <w:pPr>
        <w:tabs>
          <w:tab w:val="left" w:pos="0"/>
          <w:tab w:val="left" w:pos="709"/>
        </w:tabs>
        <w:ind w:firstLine="709"/>
        <w:jc w:val="center"/>
        <w:rPr>
          <w:rStyle w:val="Fontdeparagrafimplicit"/>
          <w:b/>
        </w:rPr>
      </w:pPr>
      <w:r>
        <w:t>JUDECĂTOR</w:t>
      </w:r>
      <w:r>
        <w:rPr>
          <w:rStyle w:val="Fontdeparagrafimplicit"/>
          <w:b/>
        </w:rPr>
        <w:t xml:space="preserve"> : .......................</w:t>
      </w:r>
    </w:p>
    <w:p w:rsidR="00001564" w:rsidP="00001564" w14:paraId="62F70C73" w14:textId="77777777">
      <w:pPr>
        <w:tabs>
          <w:tab w:val="left" w:pos="0"/>
          <w:tab w:val="left" w:pos="709"/>
        </w:tabs>
        <w:ind w:firstLine="709"/>
        <w:jc w:val="center"/>
        <w:rPr>
          <w:rStyle w:val="Fontdeparagrafimplicit"/>
          <w:b/>
        </w:rPr>
      </w:pPr>
      <w:r>
        <w:t>GREFIER</w:t>
      </w:r>
      <w:r>
        <w:rPr>
          <w:rStyle w:val="Fontdeparagrafimplicit"/>
          <w:b/>
        </w:rPr>
        <w:t>: .......................</w:t>
      </w:r>
    </w:p>
    <w:p w:rsidR="00001564" w:rsidP="00001564" w14:paraId="3AA58D44" w14:textId="77777777">
      <w:pPr>
        <w:ind w:firstLine="709"/>
        <w:jc w:val="both"/>
        <w:rPr>
          <w:rStyle w:val="Fontdeparagrafimplicit"/>
        </w:rPr>
      </w:pPr>
    </w:p>
    <w:p w:rsidR="00001564" w:rsidP="00001564" w14:paraId="7C293C58" w14:textId="77777777">
      <w:pPr>
        <w:tabs>
          <w:tab w:val="left" w:pos="0"/>
          <w:tab w:val="left" w:pos="426"/>
          <w:tab w:val="left" w:pos="709"/>
        </w:tabs>
        <w:ind w:firstLine="709"/>
        <w:jc w:val="both"/>
        <w:rPr>
          <w:rStyle w:val="Fontdeparagrafimplicit"/>
          <w:b/>
          <w:i/>
        </w:rPr>
      </w:pPr>
      <w:r>
        <w:t xml:space="preserve">Pe rol se află </w:t>
      </w:r>
      <w:r>
        <w:t>soluţionarea</w:t>
      </w:r>
      <w:r>
        <w:t xml:space="preserve"> recursului </w:t>
      </w:r>
      <w:bookmarkStart w:name="_Hlk164773596" w:id="0"/>
      <w:r>
        <w:t xml:space="preserve">declarat de </w:t>
      </w:r>
      <w:bookmarkStart w:name="_Hlk75942878" w:id="1"/>
      <w:bookmarkStart w:name="_Hlk88740137" w:id="2"/>
      <w:bookmarkStart w:name="_Hlk164612060" w:id="3"/>
      <w:r>
        <w:t>recurenta-</w:t>
      </w:r>
      <w:bookmarkStart w:name="_Hlk106881245" w:id="4"/>
      <w:bookmarkEnd w:id="1"/>
      <w:bookmarkEnd w:id="2"/>
      <w:r>
        <w:t xml:space="preserve">pârâtă </w:t>
      </w:r>
      <w:bookmarkStart w:name="_Hlk151033600" w:id="5"/>
      <w:bookmarkEnd w:id="3"/>
      <w:r>
        <w:rPr>
          <w:rStyle w:val="Fontdeparagrafimplicit"/>
          <w:b/>
        </w:rPr>
        <w:t xml:space="preserve">AGENŢIA JUDEŢEANĂ PENTRU PLĂŢI ŞI INSPECŢIE SOCIALĂ .................... </w:t>
      </w:r>
      <w:bookmarkEnd w:id="5"/>
      <w:r>
        <w:t xml:space="preserve">împotriva </w:t>
      </w:r>
      <w:r>
        <w:t>sentinţei</w:t>
      </w:r>
      <w:r>
        <w:t xml:space="preserve"> civile nr. X................... </w:t>
      </w:r>
      <w:r>
        <w:t>pronunţate</w:t>
      </w:r>
      <w:r>
        <w:t xml:space="preserve"> de Tribunalul .................... - ........................ în dosarul nr. ....................... în contradictoriu cu </w:t>
      </w:r>
      <w:bookmarkStart w:name="_Hlk88664341" w:id="6"/>
      <w:r>
        <w:t>intimata-</w:t>
      </w:r>
      <w:bookmarkStart w:name="_Hlk115955844" w:id="7"/>
      <w:r>
        <w:t>reclamantă</w:t>
      </w:r>
      <w:r>
        <w:rPr>
          <w:rStyle w:val="Fontdeparagrafimplicit"/>
          <w:b/>
        </w:rPr>
        <w:t xml:space="preserve"> </w:t>
      </w:r>
      <w:bookmarkStart w:name="_Hlk75946839" w:id="8"/>
      <w:bookmarkEnd w:id="4"/>
      <w:bookmarkEnd w:id="6"/>
      <w:bookmarkEnd w:id="7"/>
      <w:r>
        <w:rPr>
          <w:rStyle w:val="Fontdeparagrafimplicit"/>
          <w:b/>
        </w:rPr>
        <w:t>R.........................................</w:t>
      </w:r>
      <w:bookmarkEnd w:id="0"/>
      <w:r>
        <w:rPr>
          <w:rStyle w:val="Fontdeparagrafimplicit"/>
          <w:b/>
        </w:rPr>
        <w:t xml:space="preserve">, </w:t>
      </w:r>
      <w:bookmarkEnd w:id="8"/>
      <w:r>
        <w:t xml:space="preserve">având ca obiect </w:t>
      </w:r>
      <w:r>
        <w:rPr>
          <w:rStyle w:val="Fontdeparagrafimplicit"/>
          <w:b/>
          <w:i/>
        </w:rPr>
        <w:t xml:space="preserve">litigiu privind </w:t>
      </w:r>
      <w:r>
        <w:rPr>
          <w:rStyle w:val="Fontdeparagrafimplicit"/>
          <w:b/>
          <w:i/>
        </w:rPr>
        <w:t>funcţionarii</w:t>
      </w:r>
      <w:r>
        <w:rPr>
          <w:rStyle w:val="Fontdeparagrafimplicit"/>
          <w:b/>
          <w:i/>
        </w:rPr>
        <w:t xml:space="preserve"> publici.</w:t>
      </w:r>
    </w:p>
    <w:p w:rsidR="00001564" w:rsidP="00001564" w14:paraId="54FD0995" w14:textId="77777777">
      <w:pPr>
        <w:ind w:firstLine="709"/>
        <w:jc w:val="both"/>
      </w:pPr>
      <w:r>
        <w:t xml:space="preserve">La apelul nominal făcut în </w:t>
      </w:r>
      <w:r>
        <w:t>şedinţă</w:t>
      </w:r>
      <w:r>
        <w:t xml:space="preserve"> publică, a răspuns intimata-reclamantă R......................................., personal, lipsind recurenta-pârâtă AJPIS .....................</w:t>
      </w:r>
    </w:p>
    <w:p w:rsidR="00001564" w:rsidP="00001564" w14:paraId="0A657EA9" w14:textId="77777777">
      <w:pPr>
        <w:tabs>
          <w:tab w:val="left" w:pos="0"/>
          <w:tab w:val="left" w:pos="426"/>
          <w:tab w:val="left" w:pos="709"/>
        </w:tabs>
        <w:ind w:firstLine="709"/>
        <w:jc w:val="both"/>
      </w:pPr>
      <w:r>
        <w:t>Procedura de citare este legal îndeplinită.</w:t>
      </w:r>
    </w:p>
    <w:p w:rsidR="00001564" w:rsidP="00001564" w14:paraId="72B8D197" w14:textId="77777777">
      <w:pPr>
        <w:tabs>
          <w:tab w:val="left" w:pos="0"/>
          <w:tab w:val="left" w:pos="709"/>
        </w:tabs>
        <w:ind w:firstLine="709"/>
        <w:jc w:val="both"/>
      </w:pPr>
      <w:r>
        <w:t xml:space="preserve">S-a făcut referatul cauzei de către grefierul de </w:t>
      </w:r>
      <w:r>
        <w:t>şedinţă</w:t>
      </w:r>
      <w:r>
        <w:t xml:space="preserve">, care învederează </w:t>
      </w:r>
      <w:r>
        <w:t>instanţei</w:t>
      </w:r>
      <w:r>
        <w:t xml:space="preserve"> faptul că, la data de ....................................., recurenta-pârâtă a transmis cerere de judecare a cauzei </w:t>
      </w:r>
      <w:r>
        <w:t>şi</w:t>
      </w:r>
      <w:r>
        <w:t xml:space="preserve"> în lipsă, după care:</w:t>
      </w:r>
    </w:p>
    <w:p w:rsidR="00001564" w:rsidP="00001564" w14:paraId="374D7089" w14:textId="77777777">
      <w:pPr>
        <w:tabs>
          <w:tab w:val="left" w:pos="0"/>
          <w:tab w:val="left" w:pos="709"/>
        </w:tabs>
        <w:ind w:firstLine="709"/>
        <w:jc w:val="both"/>
        <w:rPr>
          <w:rStyle w:val="Fontdeparagrafimplicit"/>
          <w:i/>
        </w:rPr>
      </w:pPr>
      <w:r>
        <w:rPr>
          <w:rStyle w:val="Fontdeparagrafimplicit"/>
          <w:i/>
        </w:rPr>
        <w:t xml:space="preserve">Nefiind cereri prealabile de formulat, nici probe noi de administrat, </w:t>
      </w:r>
      <w:r>
        <w:rPr>
          <w:rStyle w:val="Fontdeparagrafimplicit"/>
          <w:i/>
        </w:rPr>
        <w:t>instanţa</w:t>
      </w:r>
      <w:r>
        <w:rPr>
          <w:rStyle w:val="Fontdeparagrafimplicit"/>
          <w:i/>
        </w:rPr>
        <w:t xml:space="preserve"> acordă cuvântul în apărare asupra recursului.</w:t>
      </w:r>
    </w:p>
    <w:p w:rsidR="00001564" w:rsidP="00001564" w14:paraId="30E31A27" w14:textId="77777777">
      <w:pPr>
        <w:tabs>
          <w:tab w:val="left" w:pos="0"/>
          <w:tab w:val="left" w:pos="709"/>
        </w:tabs>
        <w:ind w:firstLine="709"/>
        <w:jc w:val="both"/>
      </w:pPr>
      <w:r>
        <w:rPr>
          <w:rStyle w:val="Fontdeparagrafimplicit"/>
          <w:i/>
        </w:rPr>
        <w:t xml:space="preserve">Intimata-reclamantă R................................, </w:t>
      </w:r>
      <w:r>
        <w:t>personal,</w:t>
      </w:r>
      <w:r>
        <w:rPr>
          <w:rStyle w:val="Fontdeparagrafimplicit"/>
          <w:i/>
        </w:rPr>
        <w:t xml:space="preserve"> </w:t>
      </w:r>
      <w:r>
        <w:t xml:space="preserve">solicită respingerea, ca nefondat, a recursului formulat de AJPIS .................... </w:t>
      </w:r>
      <w:r>
        <w:t>şi</w:t>
      </w:r>
      <w:r>
        <w:t xml:space="preserve"> </w:t>
      </w:r>
      <w:r>
        <w:t>menţinerea</w:t>
      </w:r>
      <w:r>
        <w:t xml:space="preserve"> hotărârii </w:t>
      </w:r>
      <w:r>
        <w:t>instanţei</w:t>
      </w:r>
      <w:r>
        <w:t xml:space="preserve"> de fond ca fiind legală </w:t>
      </w:r>
      <w:r>
        <w:t>şi</w:t>
      </w:r>
      <w:r>
        <w:t xml:space="preserve"> temeinică. Depune practică judiciară.</w:t>
      </w:r>
    </w:p>
    <w:p w:rsidR="00001564" w:rsidP="00001564" w14:paraId="136F109B" w14:textId="77777777">
      <w:pPr>
        <w:tabs>
          <w:tab w:val="left" w:pos="0"/>
          <w:tab w:val="left" w:pos="709"/>
        </w:tabs>
        <w:ind w:firstLine="709"/>
        <w:jc w:val="both"/>
      </w:pPr>
      <w:r>
        <w:t xml:space="preserve">Instanța declară încheiate dezbaterile </w:t>
      </w:r>
      <w:r>
        <w:t>şi</w:t>
      </w:r>
      <w:r>
        <w:t xml:space="preserve"> rămâne în pronunțare asupra recursului.</w:t>
      </w:r>
    </w:p>
    <w:p w:rsidR="00001564" w:rsidP="00001564" w14:paraId="26DCB3E5" w14:textId="77777777">
      <w:pPr>
        <w:tabs>
          <w:tab w:val="left" w:pos="0"/>
          <w:tab w:val="left" w:pos="709"/>
        </w:tabs>
        <w:ind w:firstLine="709"/>
        <w:jc w:val="both"/>
      </w:pPr>
    </w:p>
    <w:p w:rsidR="00001564" w:rsidP="00001564" w14:paraId="7BEE2AC2" w14:textId="77777777">
      <w:pPr>
        <w:ind w:firstLine="709"/>
        <w:jc w:val="center"/>
        <w:rPr>
          <w:rStyle w:val="Fontdeparagrafimplicit"/>
          <w:b/>
        </w:rPr>
      </w:pPr>
      <w:r>
        <w:rPr>
          <w:rStyle w:val="Fontdeparagrafimplicit"/>
          <w:b/>
        </w:rPr>
        <w:t>CURTEA,</w:t>
      </w:r>
    </w:p>
    <w:p w:rsidR="00001564" w:rsidP="00001564" w14:paraId="7AEB5B1F" w14:textId="77777777">
      <w:pPr>
        <w:ind w:firstLine="709"/>
        <w:rPr>
          <w:rStyle w:val="Fontdeparagrafimplicit"/>
          <w:b/>
        </w:rPr>
      </w:pPr>
    </w:p>
    <w:p w:rsidR="00001564" w:rsidP="00001564" w14:paraId="32139DD6" w14:textId="77777777">
      <w:pPr>
        <w:ind w:firstLine="709"/>
        <w:jc w:val="both"/>
      </w:pPr>
      <w:r>
        <w:t xml:space="preserve">Deliberând asupra recursului de </w:t>
      </w:r>
      <w:r>
        <w:t>faţă</w:t>
      </w:r>
      <w:r>
        <w:t xml:space="preserve">, </w:t>
      </w:r>
      <w:r>
        <w:t>reţine</w:t>
      </w:r>
      <w:r>
        <w:t xml:space="preserve"> următoarele:</w:t>
      </w:r>
    </w:p>
    <w:p w:rsidR="00001564" w:rsidP="00001564" w14:paraId="359AF209" w14:textId="77777777">
      <w:pPr>
        <w:tabs>
          <w:tab w:val="left" w:pos="-3420"/>
        </w:tabs>
        <w:ind w:firstLine="709"/>
        <w:jc w:val="both"/>
        <w:rPr>
          <w:rStyle w:val="Fontdeparagrafimplicit"/>
          <w:b/>
        </w:rPr>
      </w:pPr>
      <w:r>
        <w:rPr>
          <w:rStyle w:val="Fontdeparagrafimplicit"/>
          <w:b/>
        </w:rPr>
        <w:t xml:space="preserve">I. </w:t>
      </w:r>
      <w:r>
        <w:rPr>
          <w:rStyle w:val="Fontdeparagrafimplicit"/>
          <w:b/>
        </w:rPr>
        <w:t>Circumstanţele</w:t>
      </w:r>
      <w:r>
        <w:rPr>
          <w:rStyle w:val="Fontdeparagrafimplicit"/>
          <w:b/>
        </w:rPr>
        <w:t xml:space="preserve"> cauzei</w:t>
      </w:r>
    </w:p>
    <w:p w:rsidR="00001564" w:rsidP="00001564" w14:paraId="14440E33" w14:textId="77777777">
      <w:pPr>
        <w:tabs>
          <w:tab w:val="left" w:pos="-3420"/>
        </w:tabs>
        <w:ind w:firstLine="709"/>
        <w:jc w:val="both"/>
        <w:rPr>
          <w:rStyle w:val="Fontdeparagrafimplicit"/>
          <w:b/>
        </w:rPr>
      </w:pPr>
      <w:r>
        <w:rPr>
          <w:rStyle w:val="Fontdeparagrafimplicit"/>
          <w:b/>
        </w:rPr>
        <w:t>1. Obiectul cererii de chemare în judecată</w:t>
      </w:r>
    </w:p>
    <w:p w:rsidR="00001564" w:rsidP="00001564" w14:paraId="11E18695" w14:textId="77777777">
      <w:pPr>
        <w:tabs>
          <w:tab w:val="left" w:pos="3975"/>
        </w:tabs>
        <w:ind w:firstLine="709"/>
        <w:jc w:val="both"/>
      </w:pPr>
      <w:r>
        <w:t xml:space="preserve">Prin cererea de chemare în judecată înregistrată pe rolul Tribunalului ...................., reclamanta R......................................... a solicitat, în contradictoriu cu pârâta </w:t>
      </w:r>
      <w:r>
        <w:t>Agenţia</w:t>
      </w:r>
      <w:r>
        <w:t xml:space="preserve"> </w:t>
      </w:r>
      <w:r>
        <w:t>Judeţeană</w:t>
      </w:r>
      <w:r>
        <w:t xml:space="preserve"> pentru </w:t>
      </w:r>
      <w:r>
        <w:t>Plăţi</w:t>
      </w:r>
      <w:r>
        <w:t xml:space="preserve"> </w:t>
      </w:r>
      <w:r>
        <w:t>şi</w:t>
      </w:r>
      <w:r>
        <w:t xml:space="preserve"> </w:t>
      </w:r>
      <w:r>
        <w:t>Inspecţie</w:t>
      </w:r>
      <w:r>
        <w:t xml:space="preserve"> Socială (AJPIS) ...................., obligarea paratei la emiterea unei decizii de acordare a drepturilor salariate cuvenite </w:t>
      </w:r>
      <w:r>
        <w:t>funcţiei</w:t>
      </w:r>
      <w:r>
        <w:t xml:space="preserve"> de inspector, grad profesional superior, </w:t>
      </w:r>
      <w:r>
        <w:t>gradaţia</w:t>
      </w:r>
      <w:r>
        <w:t xml:space="preserve"> 5 la nivelul maxim aflat în plată la nivelul AJPIS ............................... (6869 lei) la care să se adauge sporul pentru </w:t>
      </w:r>
      <w:r>
        <w:t>condiţii</w:t>
      </w:r>
      <w:r>
        <w:t xml:space="preserve"> vătămătoare de 15% (876 lei) la salariul de bază, pe care îl primesc inspectorii din cadrul AJPIS ............................... </w:t>
      </w:r>
      <w:r>
        <w:t>şi</w:t>
      </w:r>
      <w:r>
        <w:t xml:space="preserve"> AJPIS ..............................., începând cu data de 01.07.2020 (data trecerii la </w:t>
      </w:r>
      <w:r>
        <w:t>gradaţia</w:t>
      </w:r>
      <w:r>
        <w:t xml:space="preserve"> 5) </w:t>
      </w:r>
      <w:r>
        <w:t>şi</w:t>
      </w:r>
      <w:r>
        <w:t xml:space="preserve">, în continuare, în conformitate cu </w:t>
      </w:r>
      <w:r>
        <w:t>dispoziţiile</w:t>
      </w:r>
      <w:r>
        <w:t xml:space="preserve"> art. 39 alin. (4) din Legea nr. 153/2017 </w:t>
      </w:r>
      <w:r>
        <w:t>şi</w:t>
      </w:r>
      <w:r>
        <w:t xml:space="preserve"> </w:t>
      </w:r>
      <w:r>
        <w:t>ţinând</w:t>
      </w:r>
      <w:r>
        <w:t xml:space="preserve"> cont </w:t>
      </w:r>
      <w:r>
        <w:t>şi</w:t>
      </w:r>
      <w:r>
        <w:t xml:space="preserve"> de Decizia </w:t>
      </w:r>
      <w:r>
        <w:t>Curţii</w:t>
      </w:r>
      <w:r>
        <w:t xml:space="preserve"> Constituționale a României nr. 794/2016 </w:t>
      </w:r>
      <w:r>
        <w:t>şi</w:t>
      </w:r>
      <w:r>
        <w:t xml:space="preserve"> Decizia nr. 8/2021 a Înaltei </w:t>
      </w:r>
      <w:r>
        <w:t>Curţi</w:t>
      </w:r>
      <w:r>
        <w:t xml:space="preserve"> de </w:t>
      </w:r>
      <w:r>
        <w:t>Casaţie</w:t>
      </w:r>
      <w:r>
        <w:t xml:space="preserve"> </w:t>
      </w:r>
      <w:r>
        <w:t>şi</w:t>
      </w:r>
      <w:r>
        <w:t xml:space="preserve"> </w:t>
      </w:r>
      <w:r>
        <w:t>Justiţie</w:t>
      </w:r>
      <w:r>
        <w:t xml:space="preserve">; plata </w:t>
      </w:r>
      <w:r>
        <w:t>diferenţelor</w:t>
      </w:r>
      <w:r>
        <w:t xml:space="preserve"> dintre veniturile salariale încasate </w:t>
      </w:r>
      <w:r>
        <w:t>şi</w:t>
      </w:r>
      <w:r>
        <w:t xml:space="preserve"> cele cuvenite până la zi, actualizate cu indicele de </w:t>
      </w:r>
      <w:r>
        <w:t>inflaţie</w:t>
      </w:r>
      <w:r>
        <w:t xml:space="preserve"> </w:t>
      </w:r>
      <w:r>
        <w:t>şi</w:t>
      </w:r>
      <w:r>
        <w:t xml:space="preserve"> dobânda legală de </w:t>
      </w:r>
      <w:r>
        <w:t>referinţă</w:t>
      </w:r>
      <w:r>
        <w:t xml:space="preserve"> la data </w:t>
      </w:r>
      <w:r>
        <w:t>plăţii</w:t>
      </w:r>
      <w:r>
        <w:t xml:space="preserve"> efective.</w:t>
      </w:r>
    </w:p>
    <w:p w:rsidR="00001564" w:rsidP="00001564" w14:paraId="13F4C39F" w14:textId="77777777">
      <w:pPr>
        <w:tabs>
          <w:tab w:val="left" w:pos="3975"/>
        </w:tabs>
        <w:ind w:firstLine="709"/>
        <w:jc w:val="both"/>
        <w:rPr>
          <w:rStyle w:val="Fontdeparagrafimplicit"/>
        </w:rPr>
      </w:pPr>
      <w:r>
        <w:rPr>
          <w:rStyle w:val="Fontdeparagrafimplicit"/>
          <w:b/>
        </w:rPr>
        <w:t xml:space="preserve">2. Hotărârea </w:t>
      </w:r>
      <w:r>
        <w:rPr>
          <w:rStyle w:val="Fontdeparagrafimplicit"/>
          <w:b/>
        </w:rPr>
        <w:t>instanţei</w:t>
      </w:r>
      <w:r>
        <w:rPr>
          <w:rStyle w:val="Fontdeparagrafimplicit"/>
          <w:b/>
        </w:rPr>
        <w:t xml:space="preserve"> de fond</w:t>
      </w:r>
    </w:p>
    <w:p w:rsidR="00001564" w:rsidP="00001564" w14:paraId="300154CC" w14:textId="77777777">
      <w:pPr>
        <w:tabs>
          <w:tab w:val="left" w:pos="-3420"/>
        </w:tabs>
        <w:ind w:firstLine="709"/>
        <w:jc w:val="both"/>
      </w:pPr>
      <w:r>
        <w:t xml:space="preserve">Prin </w:t>
      </w:r>
      <w:r>
        <w:t>sentinţa</w:t>
      </w:r>
      <w:r>
        <w:t xml:space="preserve"> civilă nr. X..................., Tribunalul .................... - ........................ a admis </w:t>
      </w:r>
      <w:r>
        <w:t>acţiunea</w:t>
      </w:r>
      <w:r>
        <w:t xml:space="preserve"> privind pe reclamanta R......................................... în contradictoriu cu pârâta </w:t>
      </w:r>
      <w:r>
        <w:t>Agenţia</w:t>
      </w:r>
      <w:r>
        <w:t xml:space="preserve"> </w:t>
      </w:r>
      <w:r>
        <w:t>Judeţeană</w:t>
      </w:r>
      <w:r>
        <w:t xml:space="preserve"> pentru </w:t>
      </w:r>
      <w:r>
        <w:t>Plăţi</w:t>
      </w:r>
      <w:r>
        <w:t xml:space="preserve"> </w:t>
      </w:r>
      <w:r>
        <w:t>şi</w:t>
      </w:r>
      <w:r>
        <w:t xml:space="preserve"> </w:t>
      </w:r>
      <w:r>
        <w:t>Inspecţie</w:t>
      </w:r>
      <w:r>
        <w:t xml:space="preserve"> Socială .................... </w:t>
      </w:r>
      <w:r>
        <w:t>şi</w:t>
      </w:r>
      <w:r>
        <w:t xml:space="preserve"> a obligat pârâta să emită o decizie de acordare a drepturilor salariale cuvenite </w:t>
      </w:r>
      <w:r>
        <w:t>funcţiei</w:t>
      </w:r>
      <w:r>
        <w:t xml:space="preserve"> de inspector, grad profesional superior, </w:t>
      </w:r>
      <w:r>
        <w:t>gradaţia</w:t>
      </w:r>
      <w:r>
        <w:t xml:space="preserve"> 5 la nivelul maxim aflat în plată la nivelul AJPIS ............................... la care se va adăuga sporul pentru </w:t>
      </w:r>
      <w:r>
        <w:t>condiţii</w:t>
      </w:r>
      <w:r>
        <w:t xml:space="preserve"> vătămătoare de 15% la salariul de bază, spor pe care–l primesc inspectorii din cadrul </w:t>
      </w:r>
      <w:r>
        <w:t xml:space="preserve">AJPIS ............................... începând cu data de 01.07.2020 </w:t>
      </w:r>
      <w:r>
        <w:t>şi</w:t>
      </w:r>
      <w:r>
        <w:t xml:space="preserve"> în continuare, în conformitate cu </w:t>
      </w:r>
      <w:r>
        <w:t>dispoziţiile</w:t>
      </w:r>
      <w:r>
        <w:t xml:space="preserve"> art. 39 alin. 4 din Legea nr. 153/2017, precum </w:t>
      </w:r>
      <w:r>
        <w:t>şi</w:t>
      </w:r>
      <w:r>
        <w:t xml:space="preserve"> să plătească reclamantei </w:t>
      </w:r>
      <w:r>
        <w:t>diferenţele</w:t>
      </w:r>
      <w:r>
        <w:t xml:space="preserve"> de venituri rezultate din </w:t>
      </w:r>
      <w:r>
        <w:t>diferenţa</w:t>
      </w:r>
      <w:r>
        <w:t xml:space="preserve"> dintre veniturile încasate </w:t>
      </w:r>
      <w:r>
        <w:t>şi</w:t>
      </w:r>
      <w:r>
        <w:t xml:space="preserve"> cele cuvenite conform prezentei </w:t>
      </w:r>
      <w:r>
        <w:t>sentinţe</w:t>
      </w:r>
      <w:r>
        <w:t xml:space="preserve">, actualizate cu indicele de </w:t>
      </w:r>
      <w:r>
        <w:t>inflaţie</w:t>
      </w:r>
      <w:r>
        <w:t xml:space="preserve"> </w:t>
      </w:r>
      <w:r>
        <w:t>şi</w:t>
      </w:r>
      <w:r>
        <w:t xml:space="preserve"> dobânda legală de </w:t>
      </w:r>
      <w:r>
        <w:t>referinţă</w:t>
      </w:r>
      <w:r>
        <w:t xml:space="preserve"> până la data </w:t>
      </w:r>
      <w:r>
        <w:t>plăţii</w:t>
      </w:r>
      <w:r>
        <w:t xml:space="preserve"> efective.</w:t>
      </w:r>
    </w:p>
    <w:p w:rsidR="00001564" w:rsidP="00001564" w14:paraId="3E1EEC21" w14:textId="77777777">
      <w:pPr>
        <w:tabs>
          <w:tab w:val="left" w:pos="-3420"/>
        </w:tabs>
        <w:ind w:firstLine="709"/>
        <w:jc w:val="both"/>
        <w:rPr>
          <w:rStyle w:val="Fontdeparagrafimplicit"/>
        </w:rPr>
      </w:pPr>
      <w:r>
        <w:rPr>
          <w:rStyle w:val="Fontdeparagrafimplicit"/>
          <w:b/>
        </w:rPr>
        <w:t xml:space="preserve">3. Calea de atac exercitată de către </w:t>
      </w:r>
      <w:bookmarkStart w:name="_Hlk106363850" w:id="9"/>
      <w:r>
        <w:rPr>
          <w:rStyle w:val="Fontdeparagrafimplicit"/>
          <w:b/>
        </w:rPr>
        <w:t xml:space="preserve">pârâta </w:t>
      </w:r>
      <w:r>
        <w:rPr>
          <w:rStyle w:val="Fontdeparagrafimplicit"/>
          <w:b/>
        </w:rPr>
        <w:t>Agenţia</w:t>
      </w:r>
      <w:r>
        <w:rPr>
          <w:rStyle w:val="Fontdeparagrafimplicit"/>
          <w:b/>
        </w:rPr>
        <w:t xml:space="preserve"> </w:t>
      </w:r>
      <w:r>
        <w:rPr>
          <w:rStyle w:val="Fontdeparagrafimplicit"/>
          <w:b/>
        </w:rPr>
        <w:t>Judeţeană</w:t>
      </w:r>
      <w:r>
        <w:rPr>
          <w:rStyle w:val="Fontdeparagrafimplicit"/>
          <w:b/>
        </w:rPr>
        <w:t xml:space="preserve"> pentru </w:t>
      </w:r>
      <w:r>
        <w:rPr>
          <w:rStyle w:val="Fontdeparagrafimplicit"/>
          <w:b/>
        </w:rPr>
        <w:t>Plăţi</w:t>
      </w:r>
      <w:r>
        <w:rPr>
          <w:rStyle w:val="Fontdeparagrafimplicit"/>
          <w:b/>
        </w:rPr>
        <w:t xml:space="preserve"> </w:t>
      </w:r>
      <w:r>
        <w:rPr>
          <w:rStyle w:val="Fontdeparagrafimplicit"/>
          <w:b/>
        </w:rPr>
        <w:t>şi</w:t>
      </w:r>
      <w:r>
        <w:rPr>
          <w:rStyle w:val="Fontdeparagrafimplicit"/>
          <w:b/>
        </w:rPr>
        <w:t xml:space="preserve"> </w:t>
      </w:r>
      <w:r>
        <w:rPr>
          <w:rStyle w:val="Fontdeparagrafimplicit"/>
          <w:b/>
        </w:rPr>
        <w:t>Inspecţie</w:t>
      </w:r>
      <w:r>
        <w:rPr>
          <w:rStyle w:val="Fontdeparagrafimplicit"/>
          <w:b/>
        </w:rPr>
        <w:t xml:space="preserve"> Socială ....................</w:t>
      </w:r>
    </w:p>
    <w:bookmarkEnd w:id="9"/>
    <w:p w:rsidR="00001564" w:rsidP="00001564" w14:paraId="4355758C" w14:textId="77777777">
      <w:pPr>
        <w:tabs>
          <w:tab w:val="left" w:pos="-3420"/>
        </w:tabs>
        <w:ind w:firstLine="709"/>
        <w:jc w:val="both"/>
      </w:pPr>
      <w:r>
        <w:rPr>
          <w:rStyle w:val="Fontdeparagrafimplicit"/>
          <w:shd w:val="clear" w:color="auto" w:fill="FFFFFF"/>
        </w:rPr>
        <w:t xml:space="preserve">Împotriva acestei </w:t>
      </w:r>
      <w:r>
        <w:rPr>
          <w:rStyle w:val="Fontdeparagrafimplicit"/>
          <w:shd w:val="clear" w:color="auto" w:fill="FFFFFF"/>
        </w:rPr>
        <w:t>sentinţe</w:t>
      </w:r>
      <w:r>
        <w:rPr>
          <w:rStyle w:val="Fontdeparagrafimplicit"/>
          <w:shd w:val="clear" w:color="auto" w:fill="FFFFFF"/>
        </w:rPr>
        <w:t xml:space="preserve"> a declarat recurs </w:t>
      </w:r>
      <w:bookmarkStart w:name="_Hlk74562794" w:id="10"/>
      <w:r>
        <w:t>pârâ</w:t>
      </w:r>
      <w:bookmarkEnd w:id="10"/>
      <w:r>
        <w:t xml:space="preserve">ta </w:t>
      </w:r>
      <w:r>
        <w:t>Agenţia</w:t>
      </w:r>
      <w:r>
        <w:t xml:space="preserve"> </w:t>
      </w:r>
      <w:r>
        <w:t>Judeţeană</w:t>
      </w:r>
      <w:r>
        <w:t xml:space="preserve"> Pentru </w:t>
      </w:r>
      <w:r>
        <w:t>Plăţi</w:t>
      </w:r>
      <w:r>
        <w:t xml:space="preserve"> </w:t>
      </w:r>
      <w:r>
        <w:t>şi</w:t>
      </w:r>
      <w:r>
        <w:t xml:space="preserve"> </w:t>
      </w:r>
      <w:r>
        <w:t>Inspecţie</w:t>
      </w:r>
      <w:r>
        <w:t xml:space="preserve"> Socială ...................., solicitând admiterea recursului, casarea </w:t>
      </w:r>
      <w:r>
        <w:t>sentinţei</w:t>
      </w:r>
      <w:r>
        <w:t xml:space="preserve"> </w:t>
      </w:r>
      <w:r>
        <w:t>recurate</w:t>
      </w:r>
      <w:r>
        <w:t xml:space="preserve"> </w:t>
      </w:r>
      <w:r>
        <w:t>şi</w:t>
      </w:r>
      <w:r>
        <w:t xml:space="preserve">, rejudecând pe fond, respingerea </w:t>
      </w:r>
      <w:r>
        <w:t>acţiunii</w:t>
      </w:r>
      <w:r>
        <w:t>.</w:t>
      </w:r>
    </w:p>
    <w:p w:rsidR="00001564" w:rsidP="00001564" w14:paraId="408B413E" w14:textId="77777777">
      <w:pPr>
        <w:tabs>
          <w:tab w:val="left" w:pos="-3420"/>
        </w:tabs>
        <w:ind w:firstLine="709"/>
        <w:jc w:val="both"/>
      </w:pPr>
      <w:r>
        <w:t xml:space="preserve">În motivare, în </w:t>
      </w:r>
      <w:r>
        <w:t>esenţă</w:t>
      </w:r>
      <w:r>
        <w:t xml:space="preserve">, a arătat că </w:t>
      </w:r>
      <w:r>
        <w:t>instanţa</w:t>
      </w:r>
      <w:r>
        <w:t xml:space="preserve"> de fond </w:t>
      </w:r>
      <w:r>
        <w:t>şi</w:t>
      </w:r>
      <w:r>
        <w:t xml:space="preserve">-a fundamentat </w:t>
      </w:r>
      <w:r>
        <w:t>sentinţa</w:t>
      </w:r>
      <w:r>
        <w:t xml:space="preserve"> pe ideea că nu a fost învestită cu o </w:t>
      </w:r>
      <w:r>
        <w:t>acţiune</w:t>
      </w:r>
      <w:r>
        <w:t xml:space="preserve"> prin care să analizeze </w:t>
      </w:r>
      <w:r>
        <w:t>incidenţa</w:t>
      </w:r>
      <w:r>
        <w:t xml:space="preserve"> în cauză a </w:t>
      </w:r>
      <w:r>
        <w:t>dispoziţiilor</w:t>
      </w:r>
      <w:r>
        <w:t xml:space="preserve"> art. 38 din Legea nr. 153/2017 coroborate cu Nota 2 lit. c pct. II lit. A cap.1 din anexa ....................... la Legea nr. 153/2017 în interpretarea dată de Înalta Curte de </w:t>
      </w:r>
      <w:r>
        <w:t>Casaţie</w:t>
      </w:r>
      <w:r>
        <w:t xml:space="preserve"> </w:t>
      </w:r>
      <w:r>
        <w:t>şi</w:t>
      </w:r>
      <w:r>
        <w:t xml:space="preserve"> </w:t>
      </w:r>
      <w:r>
        <w:t>Justiţie</w:t>
      </w:r>
      <w:r>
        <w:t xml:space="preserve">, prin decizia nr. 82/2018, ci cu o </w:t>
      </w:r>
      <w:r>
        <w:t>acţiune</w:t>
      </w:r>
      <w:r>
        <w:t xml:space="preserve"> ce presupune identificarea eventualelor diferențe salariale între salariul realizat de reclamantă </w:t>
      </w:r>
      <w:r>
        <w:t>şi</w:t>
      </w:r>
      <w:r>
        <w:t xml:space="preserve"> nivelul maxim aflat în plată stabilit în cadrul structurilor teritoriale subordonate </w:t>
      </w:r>
      <w:r>
        <w:t>aceluiaşi</w:t>
      </w:r>
      <w:r>
        <w:t xml:space="preserve"> ordonator de credite </w:t>
      </w:r>
      <w:r>
        <w:t>şi</w:t>
      </w:r>
      <w:r>
        <w:t xml:space="preserve"> care au la bază hotărâri </w:t>
      </w:r>
      <w:r>
        <w:t>judecătoreşti</w:t>
      </w:r>
      <w:r>
        <w:t xml:space="preserve">. Or, interpretarea </w:t>
      </w:r>
      <w:r>
        <w:t>şi</w:t>
      </w:r>
      <w:r>
        <w:t xml:space="preserve"> aplicarea acestor </w:t>
      </w:r>
      <w:r>
        <w:t>dispoziţii</w:t>
      </w:r>
      <w:r>
        <w:t xml:space="preserve"> legale </w:t>
      </w:r>
      <w:r>
        <w:t>esenţiale</w:t>
      </w:r>
      <w:r>
        <w:t xml:space="preserve"> pentru </w:t>
      </w:r>
      <w:r>
        <w:t>soluţionarea</w:t>
      </w:r>
      <w:r>
        <w:t xml:space="preserve"> cauzei au fost clarificate de către Înalta Curte de </w:t>
      </w:r>
      <w:r>
        <w:t>Casaţie</w:t>
      </w:r>
      <w:r>
        <w:t xml:space="preserve"> </w:t>
      </w:r>
      <w:r>
        <w:t>şi</w:t>
      </w:r>
      <w:r>
        <w:t xml:space="preserve"> </w:t>
      </w:r>
      <w:r>
        <w:t>Justiţie</w:t>
      </w:r>
      <w:r>
        <w:t xml:space="preserve"> în procedura prevăzută de art. 519 </w:t>
      </w:r>
      <w:r>
        <w:t>C.pr.civ</w:t>
      </w:r>
      <w:r>
        <w:t xml:space="preserve">. prin </w:t>
      </w:r>
      <w:r>
        <w:t>pronunţarea</w:t>
      </w:r>
      <w:r>
        <w:t xml:space="preserve"> unei hotărâri pentru dezlegarea unei chestiuni de drept.</w:t>
      </w:r>
    </w:p>
    <w:p w:rsidR="00001564" w:rsidP="00001564" w14:paraId="3952C902" w14:textId="77777777">
      <w:pPr>
        <w:tabs>
          <w:tab w:val="left" w:pos="-3420"/>
        </w:tabs>
        <w:ind w:firstLine="709"/>
        <w:jc w:val="both"/>
      </w:pPr>
      <w:r>
        <w:t xml:space="preserve">Intimata-reclamantă nu a făcut dovada că, la data de 01.05.2021, când a avut loc promovarea la </w:t>
      </w:r>
      <w:r>
        <w:t>gradaţia</w:t>
      </w:r>
      <w:r>
        <w:t xml:space="preserve"> de vechime 5, la nivelul </w:t>
      </w:r>
      <w:r>
        <w:t>instituţiei</w:t>
      </w:r>
      <w:r>
        <w:t xml:space="preserve"> existau </w:t>
      </w:r>
      <w:r>
        <w:t>salariaţi</w:t>
      </w:r>
      <w:r>
        <w:t xml:space="preserve"> </w:t>
      </w:r>
      <w:r>
        <w:t>aflaţi</w:t>
      </w:r>
      <w:r>
        <w:t xml:space="preserve"> pe </w:t>
      </w:r>
      <w:r>
        <w:t>aceeaşi</w:t>
      </w:r>
      <w:r>
        <w:t xml:space="preserve"> </w:t>
      </w:r>
      <w:r>
        <w:t>funcţie</w:t>
      </w:r>
      <w:r>
        <w:t xml:space="preserve">, grad, </w:t>
      </w:r>
      <w:r>
        <w:t>gradaţie</w:t>
      </w:r>
      <w:r>
        <w:t xml:space="preserve">, care să îndeplinească </w:t>
      </w:r>
      <w:r>
        <w:t>aceleaşi</w:t>
      </w:r>
      <w:r>
        <w:t xml:space="preserve"> </w:t>
      </w:r>
      <w:r>
        <w:t>atribuţii</w:t>
      </w:r>
      <w:r>
        <w:t xml:space="preserve"> </w:t>
      </w:r>
      <w:r>
        <w:t>şi</w:t>
      </w:r>
      <w:r>
        <w:t xml:space="preserve"> să beneficieze de un salariu de bază stabilit la un nivel superior intimatei. Mai mult, nici intimata nu invocă asemenea diferențe salariale la acel moment. Singurele diferențe dintre salariul de bază al intimatei </w:t>
      </w:r>
      <w:r>
        <w:t>şi</w:t>
      </w:r>
      <w:r>
        <w:t xml:space="preserve"> cel al </w:t>
      </w:r>
      <w:r>
        <w:t>angajaţilor</w:t>
      </w:r>
      <w:r>
        <w:t xml:space="preserve"> similari din cadrul altor </w:t>
      </w:r>
      <w:r>
        <w:t>agenţii</w:t>
      </w:r>
      <w:r>
        <w:t xml:space="preserve"> teritoriale rezultă din punerea în aplicare a unor </w:t>
      </w:r>
      <w:r>
        <w:t>sentinţe</w:t>
      </w:r>
      <w:r>
        <w:t xml:space="preserve"> civile (..............................., ...............................) care vizează perioada ulterioară datei de 01.05.2021, când drepturilor salariale ale intimatei li se aplicau </w:t>
      </w:r>
      <w:r>
        <w:t>dispoziţiile</w:t>
      </w:r>
      <w:r>
        <w:t xml:space="preserve"> art. 38 din Legea nr. 153/2007, aplicare ce exclude acordarea integrală a majorării pentru complexitatea muncii de care au beneficiat </w:t>
      </w:r>
      <w:r>
        <w:t>angajaţii</w:t>
      </w:r>
      <w:r>
        <w:t xml:space="preserve"> altor </w:t>
      </w:r>
      <w:r>
        <w:t>agenţii</w:t>
      </w:r>
      <w:r>
        <w:t xml:space="preserve"> teritoriale ca urmare a punerii în executare a unor sentințe civile.</w:t>
      </w:r>
    </w:p>
    <w:p w:rsidR="00001564" w:rsidP="00001564" w14:paraId="37F61144" w14:textId="77777777">
      <w:pPr>
        <w:tabs>
          <w:tab w:val="left" w:pos="-3420"/>
        </w:tabs>
        <w:ind w:firstLine="709"/>
        <w:jc w:val="both"/>
      </w:pPr>
      <w:r>
        <w:t xml:space="preserve">Simpla acordare de către o </w:t>
      </w:r>
      <w:r>
        <w:t>instanţă</w:t>
      </w:r>
      <w:r>
        <w:t xml:space="preserve"> a unor drepturi salariale ca urmare a interpretării legii </w:t>
      </w:r>
      <w:r>
        <w:t>şi</w:t>
      </w:r>
      <w:r>
        <w:t xml:space="preserve"> a deciziilor obligatorii </w:t>
      </w:r>
      <w:r>
        <w:t>pronunţate</w:t>
      </w:r>
      <w:r>
        <w:t xml:space="preserve"> de Înalta Curte de </w:t>
      </w:r>
      <w:r>
        <w:t>Casaţie</w:t>
      </w:r>
      <w:r>
        <w:t xml:space="preserve"> si </w:t>
      </w:r>
      <w:r>
        <w:t>Justiţie</w:t>
      </w:r>
      <w:r>
        <w:t xml:space="preserve"> într-un anumit mod nu conduce automat la </w:t>
      </w:r>
      <w:r>
        <w:t>recunoaşterea</w:t>
      </w:r>
      <w:r>
        <w:t xml:space="preserve"> </w:t>
      </w:r>
      <w:r>
        <w:t>aceloraşi</w:t>
      </w:r>
      <w:r>
        <w:t xml:space="preserve"> drepturi tuturor persoanelor cărora li se aplică </w:t>
      </w:r>
      <w:r>
        <w:t>dispoziţiile</w:t>
      </w:r>
      <w:r>
        <w:t xml:space="preserve"> interpretate, ci doar </w:t>
      </w:r>
      <w:r>
        <w:t>pârâţilor</w:t>
      </w:r>
      <w:r>
        <w:t xml:space="preserve"> din acel litigiu, în </w:t>
      </w:r>
      <w:r>
        <w:t>condiţiile</w:t>
      </w:r>
      <w:r>
        <w:t xml:space="preserve"> în care, potrivit art. 453 </w:t>
      </w:r>
      <w:r>
        <w:t>C.pr.civ</w:t>
      </w:r>
      <w:r>
        <w:t xml:space="preserve">., hotărârea judecătorească este obligatorie </w:t>
      </w:r>
      <w:r>
        <w:t>şi</w:t>
      </w:r>
      <w:r>
        <w:t xml:space="preserve"> produce efecte numai între </w:t>
      </w:r>
      <w:r>
        <w:t>părţi</w:t>
      </w:r>
      <w:r>
        <w:t>.</w:t>
      </w:r>
    </w:p>
    <w:p w:rsidR="00001564" w:rsidP="00001564" w14:paraId="760138BD" w14:textId="77777777">
      <w:pPr>
        <w:tabs>
          <w:tab w:val="left" w:pos="-3420"/>
        </w:tabs>
        <w:ind w:firstLine="709"/>
        <w:jc w:val="both"/>
      </w:pPr>
      <w:bookmarkStart w:name="_Hlk98932276" w:id="11"/>
      <w:r>
        <w:t xml:space="preserve">În drept, au fost invocate prevederile </w:t>
      </w:r>
      <w:bookmarkEnd w:id="11"/>
      <w:r>
        <w:t xml:space="preserve">art. 487 </w:t>
      </w:r>
      <w:r>
        <w:t>şi</w:t>
      </w:r>
      <w:r>
        <w:t xml:space="preserve"> art. 488 alin. (1) pct. 8 din Legea nr. 134/2012, Legea nr. 153/2017, Decizia nr. 9/28.05.2017, Decizia nr. 82/2018, Decizia nr. 2/2016, Decizia nr. 1250/2010. O.U.G. nr. 113/2011, O.U.G. nr. 57/2015, Legea nr. 554.2004.</w:t>
      </w:r>
    </w:p>
    <w:p w:rsidR="00001564" w:rsidP="00001564" w14:paraId="27EA9F1A" w14:textId="77777777">
      <w:pPr>
        <w:tabs>
          <w:tab w:val="left" w:pos="-3420"/>
        </w:tabs>
        <w:ind w:firstLine="709"/>
        <w:jc w:val="both"/>
        <w:rPr>
          <w:rStyle w:val="Fontdeparagrafimplicit"/>
          <w:b/>
        </w:rPr>
      </w:pPr>
      <w:r>
        <w:rPr>
          <w:rStyle w:val="Fontdeparagrafimplicit"/>
          <w:b/>
        </w:rPr>
        <w:t>4. Apărările formulate în recurs</w:t>
      </w:r>
    </w:p>
    <w:p w:rsidR="00001564" w:rsidP="00001564" w14:paraId="6EE66669" w14:textId="77777777">
      <w:pPr>
        <w:ind w:firstLine="709"/>
        <w:jc w:val="both"/>
      </w:pPr>
      <w:r>
        <w:t>Intimata-reclamantă</w:t>
      </w:r>
      <w:r>
        <w:rPr>
          <w:rStyle w:val="Fontdeparagrafimplicit"/>
          <w:rFonts w:ascii="Calibri" w:hAnsi="Calibri"/>
          <w:sz w:val="22"/>
        </w:rPr>
        <w:t xml:space="preserve"> </w:t>
      </w:r>
      <w:r>
        <w:t xml:space="preserve">R........................................., legal citată, nu a formulat întâmpinare. </w:t>
      </w:r>
    </w:p>
    <w:p w:rsidR="00001564" w:rsidP="00001564" w14:paraId="17F3AC4E" w14:textId="77777777">
      <w:pPr>
        <w:ind w:firstLine="709"/>
        <w:jc w:val="both"/>
        <w:rPr>
          <w:rStyle w:val="Fontdeparagrafimplicit"/>
          <w:b/>
        </w:rPr>
      </w:pPr>
      <w:r>
        <w:rPr>
          <w:rStyle w:val="Fontdeparagrafimplicit"/>
          <w:b/>
        </w:rPr>
        <w:t xml:space="preserve">5. Aspecte procesuale </w:t>
      </w:r>
    </w:p>
    <w:p w:rsidR="00001564" w:rsidP="00001564" w14:paraId="7A25DE03" w14:textId="77777777">
      <w:pPr>
        <w:ind w:firstLine="709"/>
        <w:jc w:val="both"/>
      </w:pPr>
      <w:r>
        <w:t xml:space="preserve">În </w:t>
      </w:r>
      <w:r>
        <w:t>faţa</w:t>
      </w:r>
      <w:r>
        <w:t xml:space="preserve"> </w:t>
      </w:r>
      <w:r>
        <w:t>instanţei</w:t>
      </w:r>
      <w:r>
        <w:t xml:space="preserve"> de recurs nu au fost administrate probe noi.</w:t>
      </w:r>
    </w:p>
    <w:p w:rsidR="00001564" w:rsidP="00001564" w14:paraId="19C30357" w14:textId="77777777">
      <w:pPr>
        <w:ind w:firstLine="709"/>
        <w:jc w:val="both"/>
        <w:rPr>
          <w:rStyle w:val="Fontdeparagrafimplicit"/>
          <w:b/>
        </w:rPr>
      </w:pPr>
      <w:r>
        <w:rPr>
          <w:rStyle w:val="Fontdeparagrafimplicit"/>
          <w:b/>
        </w:rPr>
        <w:t xml:space="preserve">II. </w:t>
      </w:r>
      <w:r>
        <w:rPr>
          <w:rStyle w:val="Fontdeparagrafimplicit"/>
          <w:b/>
        </w:rPr>
        <w:t>Soluţia</w:t>
      </w:r>
      <w:r>
        <w:rPr>
          <w:rStyle w:val="Fontdeparagrafimplicit"/>
          <w:b/>
        </w:rPr>
        <w:t xml:space="preserve"> </w:t>
      </w:r>
      <w:r>
        <w:rPr>
          <w:rStyle w:val="Fontdeparagrafimplicit"/>
          <w:b/>
        </w:rPr>
        <w:t>şi</w:t>
      </w:r>
      <w:r>
        <w:rPr>
          <w:rStyle w:val="Fontdeparagrafimplicit"/>
          <w:b/>
        </w:rPr>
        <w:t xml:space="preserve"> considerentele </w:t>
      </w:r>
      <w:r>
        <w:rPr>
          <w:rStyle w:val="Fontdeparagrafimplicit"/>
          <w:b/>
        </w:rPr>
        <w:t>Curţii</w:t>
      </w:r>
      <w:r>
        <w:rPr>
          <w:rStyle w:val="Fontdeparagrafimplicit"/>
          <w:b/>
        </w:rPr>
        <w:t xml:space="preserve"> de Apel ....................... asupra recursului</w:t>
      </w:r>
    </w:p>
    <w:p w:rsidR="00001564" w:rsidP="00001564" w14:paraId="6963E9F5" w14:textId="77777777">
      <w:pPr>
        <w:ind w:right="-1" w:firstLine="709"/>
        <w:jc w:val="both"/>
      </w:pPr>
      <w:r>
        <w:t xml:space="preserve">Analizând recursul prin prisma criticilor formulate </w:t>
      </w:r>
      <w:r>
        <w:t>şi</w:t>
      </w:r>
      <w:r>
        <w:t xml:space="preserve"> în conformitate cu </w:t>
      </w:r>
      <w:r>
        <w:t>dispoziţiile</w:t>
      </w:r>
      <w:r>
        <w:t xml:space="preserve"> art. 496 </w:t>
      </w:r>
      <w:r>
        <w:t>C.pr.civ</w:t>
      </w:r>
      <w:r>
        <w:t>., Curtea constată că acesta este nefondat, urmând a fi respins pentru următoarele considerente:</w:t>
      </w:r>
    </w:p>
    <w:p w:rsidR="00001564" w:rsidP="00001564" w14:paraId="3913558A" w14:textId="77777777">
      <w:pPr>
        <w:keepNext/>
        <w:ind w:right="-1" w:firstLine="709"/>
        <w:jc w:val="both"/>
        <w:rPr>
          <w:rStyle w:val="Fontdeparagrafimplicit"/>
          <w:b/>
        </w:rPr>
      </w:pPr>
      <w:r>
        <w:rPr>
          <w:rStyle w:val="Fontdeparagrafimplicit"/>
          <w:b/>
        </w:rPr>
        <w:t>1. Analiza motivului de casare invocat</w:t>
      </w:r>
    </w:p>
    <w:p w:rsidR="00001564" w:rsidP="00001564" w14:paraId="35C55A70" w14:textId="77777777">
      <w:pPr>
        <w:tabs>
          <w:tab w:val="left" w:pos="741"/>
        </w:tabs>
        <w:ind w:firstLine="709"/>
        <w:jc w:val="both"/>
      </w:pPr>
      <w:r>
        <w:t xml:space="preserve">Curtea subliniază că </w:t>
      </w:r>
      <w:r>
        <w:t>situaţia</w:t>
      </w:r>
      <w:r>
        <w:t xml:space="preserve"> de fapt a fost definitiv stabilită de către </w:t>
      </w:r>
      <w:r>
        <w:t>instanţa</w:t>
      </w:r>
      <w:r>
        <w:t xml:space="preserve"> de fond, calea extraordinară de atac a recursului neputând fi întemeiată decât pe motive/critici/argumente privind nelegalitatea </w:t>
      </w:r>
      <w:r>
        <w:t>soluţiei</w:t>
      </w:r>
      <w:r>
        <w:t xml:space="preserve">, nu </w:t>
      </w:r>
      <w:r>
        <w:t>şi</w:t>
      </w:r>
      <w:r>
        <w:t xml:space="preserve"> netemeinicia acesteia. Ca atare, în prezent, recursul reprezintă o cale de atac </w:t>
      </w:r>
      <w:r>
        <w:t>nedevolutivă</w:t>
      </w:r>
      <w:r>
        <w:t xml:space="preserve">, controlul exercitat fiind doar unul de legalitate, prin prisma motivelor expres </w:t>
      </w:r>
      <w:r>
        <w:t>şi</w:t>
      </w:r>
      <w:r>
        <w:t xml:space="preserve"> limitativ prevăzute la art. 488 alin. 1 din Cod, fără a se realiza o nouă judecată în fond.</w:t>
      </w:r>
    </w:p>
    <w:p w:rsidR="00001564" w:rsidP="00001564" w14:paraId="6F2B4337" w14:textId="77777777">
      <w:pPr>
        <w:ind w:firstLine="709"/>
        <w:jc w:val="both"/>
      </w:pPr>
      <w:r>
        <w:t xml:space="preserve">În secțiunile ce urmează, Curtea va analiza criticile invocate de recurenta-pârâtă, urmând să răspundă fiecărui argument invocat de parte sau, după caz, să analizeze grupat argumentele similare, printr-un </w:t>
      </w:r>
      <w:r>
        <w:t>raţionament</w:t>
      </w:r>
      <w:r>
        <w:t xml:space="preserve"> juridic de sinteză.</w:t>
      </w:r>
    </w:p>
    <w:p w:rsidR="00001564" w:rsidP="00001564" w14:paraId="69BE8E96" w14:textId="77777777">
      <w:pPr>
        <w:ind w:right="-81" w:firstLine="709"/>
        <w:jc w:val="both"/>
      </w:pPr>
      <w:r>
        <w:t xml:space="preserve">Punctul central al prezentului litigiu, asupra căruia opiniile </w:t>
      </w:r>
      <w:r>
        <w:t>părţilor</w:t>
      </w:r>
      <w:r>
        <w:t xml:space="preserve"> sunt divergente, este următorul: dacă, în ipoteza în care unul dintre </w:t>
      </w:r>
      <w:r>
        <w:t>funcţionarii</w:t>
      </w:r>
      <w:r>
        <w:t xml:space="preserve"> unei </w:t>
      </w:r>
      <w:r>
        <w:t>instituţii</w:t>
      </w:r>
      <w:r>
        <w:t xml:space="preserve"> publice </w:t>
      </w:r>
      <w:r>
        <w:t>obţine</w:t>
      </w:r>
      <w:r>
        <w:t xml:space="preserve"> o hotărâre judecătorească, prin care i se majorează drepturile salariale, angajatorul, independent de intervenirea în raportului de muncă a unor evenimente precum numirea/încadrarea sau promovarea, are </w:t>
      </w:r>
      <w:r>
        <w:t>obligaţia</w:t>
      </w:r>
      <w:r>
        <w:t xml:space="preserve"> să acorde </w:t>
      </w:r>
      <w:r>
        <w:t>aceleaşi</w:t>
      </w:r>
      <w:r>
        <w:t xml:space="preserve"> drepturi </w:t>
      </w:r>
      <w:r>
        <w:t>şi</w:t>
      </w:r>
      <w:r>
        <w:t xml:space="preserve"> </w:t>
      </w:r>
      <w:r>
        <w:t>celorlalţi</w:t>
      </w:r>
      <w:r>
        <w:t xml:space="preserve"> </w:t>
      </w:r>
      <w:r>
        <w:t>funcţionari</w:t>
      </w:r>
      <w:r>
        <w:t xml:space="preserve">, care nu sunt în posesia unui astfel de titlu, dar care se află într-o </w:t>
      </w:r>
      <w:r>
        <w:t>situaţie</w:t>
      </w:r>
      <w:r>
        <w:t xml:space="preserve"> profesională identică cu a persoanei care a </w:t>
      </w:r>
      <w:r>
        <w:t>obţinut</w:t>
      </w:r>
      <w:r>
        <w:t xml:space="preserve"> hotărârea.</w:t>
      </w:r>
    </w:p>
    <w:p w:rsidR="00001564" w:rsidP="00001564" w14:paraId="4E710933" w14:textId="77777777">
      <w:pPr>
        <w:ind w:right="-81" w:firstLine="709"/>
        <w:jc w:val="both"/>
      </w:pPr>
      <w:r>
        <w:t xml:space="preserve">Cu alte cuvinte, se impune a fi lămurit dacă, în </w:t>
      </w:r>
      <w:r>
        <w:t>situaţia</w:t>
      </w:r>
      <w:r>
        <w:t xml:space="preserve"> expusă anterior, </w:t>
      </w:r>
      <w:r>
        <w:t>instituţia</w:t>
      </w:r>
      <w:r>
        <w:t xml:space="preserve"> publică are </w:t>
      </w:r>
      <w:r>
        <w:t>obligaţia</w:t>
      </w:r>
      <w:r>
        <w:t xml:space="preserve"> de a emite noi decizii de salarizare la cererea </w:t>
      </w:r>
      <w:r>
        <w:t>funcţionarilor</w:t>
      </w:r>
      <w:r>
        <w:t xml:space="preserve"> publici (care nu au </w:t>
      </w:r>
      <w:r>
        <w:t>obţinut</w:t>
      </w:r>
      <w:r>
        <w:t xml:space="preserve"> un titlu) sau din oficiu, prin care să egalizeze veniturile, fără ca acest demers să aibă loc doar în momentul unei noi angajări sau al unei promovări.</w:t>
      </w:r>
    </w:p>
    <w:p w:rsidR="00001564" w:rsidP="00001564" w14:paraId="617ADB44" w14:textId="77777777">
      <w:pPr>
        <w:ind w:firstLine="709"/>
        <w:jc w:val="both"/>
      </w:pPr>
      <w:r>
        <w:t xml:space="preserve">Conform </w:t>
      </w:r>
      <w:r>
        <w:t>situaţiei</w:t>
      </w:r>
      <w:r>
        <w:t xml:space="preserve"> de fapt </w:t>
      </w:r>
      <w:r>
        <w:t>reţinute</w:t>
      </w:r>
      <w:r>
        <w:t xml:space="preserve"> de Tribunal, intimata-reclamantă are calitatea de funcționar public - inspector, grad profesional superior, </w:t>
      </w:r>
      <w:r>
        <w:t>gradaţia</w:t>
      </w:r>
      <w:r>
        <w:t xml:space="preserve"> 5 în cadrul </w:t>
      </w:r>
      <w:r>
        <w:t>instituţiei</w:t>
      </w:r>
      <w:r>
        <w:t xml:space="preserve"> pârâte, grad profesional </w:t>
      </w:r>
      <w:r>
        <w:t>obţinut</w:t>
      </w:r>
      <w:r>
        <w:t xml:space="preserve"> la data de 01.07.2020. </w:t>
      </w:r>
      <w:r>
        <w:tab/>
      </w:r>
      <w:r>
        <w:tab/>
      </w:r>
    </w:p>
    <w:p w:rsidR="00001564" w:rsidP="00001564" w14:paraId="413AB591" w14:textId="77777777">
      <w:pPr>
        <w:ind w:firstLine="709"/>
        <w:jc w:val="both"/>
      </w:pPr>
      <w:r>
        <w:t xml:space="preserve">Conform constatărilor primei </w:t>
      </w:r>
      <w:r>
        <w:t>instanţe</w:t>
      </w:r>
      <w:r>
        <w:t xml:space="preserve">, din înscrisurile depuse la dosarul de fond, drepturile salariale ale reclamantei pentru </w:t>
      </w:r>
      <w:r>
        <w:t>funcţia</w:t>
      </w:r>
      <w:r>
        <w:t xml:space="preserve"> indicată se situează sub nivelul la care sunt </w:t>
      </w:r>
      <w:r>
        <w:t>salarizaţi</w:t>
      </w:r>
      <w:r>
        <w:t xml:space="preserve"> </w:t>
      </w:r>
      <w:r>
        <w:t>funcţionari</w:t>
      </w:r>
      <w:r>
        <w:t xml:space="preserve"> publici din cadrul unora dintre </w:t>
      </w:r>
      <w:r>
        <w:t>Agenţiile</w:t>
      </w:r>
      <w:r>
        <w:t xml:space="preserve"> </w:t>
      </w:r>
      <w:r>
        <w:t>Judeţene</w:t>
      </w:r>
      <w:r>
        <w:t xml:space="preserve"> pentru </w:t>
      </w:r>
      <w:r>
        <w:t>Plăţi</w:t>
      </w:r>
      <w:r>
        <w:t xml:space="preserve"> </w:t>
      </w:r>
      <w:r>
        <w:t>şi</w:t>
      </w:r>
      <w:r>
        <w:t xml:space="preserve"> </w:t>
      </w:r>
      <w:r>
        <w:t>Inspecţie</w:t>
      </w:r>
      <w:r>
        <w:t xml:space="preserve"> Socială din </w:t>
      </w:r>
      <w:r>
        <w:t>ţară</w:t>
      </w:r>
      <w:r>
        <w:t xml:space="preserve"> (în </w:t>
      </w:r>
      <w:r>
        <w:t>speţă</w:t>
      </w:r>
      <w:r>
        <w:t xml:space="preserve">, AJPIS ............................... </w:t>
      </w:r>
      <w:r>
        <w:t>şi</w:t>
      </w:r>
      <w:r>
        <w:t xml:space="preserve"> ...............................), în baza unor hotărâri </w:t>
      </w:r>
      <w:r>
        <w:t>judecătoreşti</w:t>
      </w:r>
      <w:r>
        <w:t>.</w:t>
      </w:r>
    </w:p>
    <w:p w:rsidR="00001564" w:rsidP="00001564" w14:paraId="04544ACE" w14:textId="77777777">
      <w:pPr>
        <w:ind w:right="-81" w:firstLine="709"/>
        <w:jc w:val="both"/>
      </w:pPr>
      <w:r>
        <w:t xml:space="preserve">Preliminar, Curtea arată că printre principiile sistemului de salarizare se regăsesc principiul nediscriminării, în sensul eliminării oricăror forme de discriminare </w:t>
      </w:r>
      <w:r>
        <w:t>şi</w:t>
      </w:r>
      <w:r>
        <w:t xml:space="preserve"> instituirii unui tratament egal cu privire la personalul din sectorul bugetar care prestează </w:t>
      </w:r>
      <w:r>
        <w:t>aceeaşi</w:t>
      </w:r>
      <w:r>
        <w:t xml:space="preserve"> activitate </w:t>
      </w:r>
      <w:r>
        <w:t>şi</w:t>
      </w:r>
      <w:r>
        <w:t xml:space="preserve"> are </w:t>
      </w:r>
      <w:r>
        <w:t>aceeaşi</w:t>
      </w:r>
      <w:r>
        <w:t xml:space="preserve"> vechime în muncă </w:t>
      </w:r>
      <w:r>
        <w:t>şi</w:t>
      </w:r>
      <w:r>
        <w:t xml:space="preserve"> în </w:t>
      </w:r>
      <w:r>
        <w:t>funcţie</w:t>
      </w:r>
      <w:r>
        <w:t xml:space="preserve">, precum </w:t>
      </w:r>
      <w:r>
        <w:t>şi</w:t>
      </w:r>
      <w:r>
        <w:t xml:space="preserve"> principiul </w:t>
      </w:r>
      <w:r>
        <w:t>egalităţii</w:t>
      </w:r>
      <w:r>
        <w:t>, prin asigurarea de salarii de bază egale pentru muncă cu valoare egală, principii aflate într-o legătură indisolubilă.</w:t>
      </w:r>
    </w:p>
    <w:p w:rsidR="00001564" w:rsidP="00001564" w14:paraId="30C66D1F" w14:textId="77777777">
      <w:pPr>
        <w:ind w:right="-81" w:firstLine="709"/>
        <w:jc w:val="both"/>
      </w:pPr>
      <w:r>
        <w:t xml:space="preserve">În acest context, Curtea apreciază că </w:t>
      </w:r>
      <w:r>
        <w:t>dispoziţiile</w:t>
      </w:r>
      <w:r>
        <w:t xml:space="preserve"> legale ce prezintă </w:t>
      </w:r>
      <w:r>
        <w:t>relevanţă</w:t>
      </w:r>
      <w:r>
        <w:t xml:space="preserve"> pentru </w:t>
      </w:r>
      <w:r>
        <w:t>soluţionarea</w:t>
      </w:r>
      <w:r>
        <w:t xml:space="preserve"> prezentului recurs, respectiv art. 39 din Legea nr. 153/2017, trebuie interpretate în acord cu principiile </w:t>
      </w:r>
      <w:r>
        <w:t>menţionate</w:t>
      </w:r>
      <w:r>
        <w:t xml:space="preserve"> anterior.</w:t>
      </w:r>
    </w:p>
    <w:p w:rsidR="00001564" w:rsidP="00001564" w14:paraId="4754FF26" w14:textId="77777777">
      <w:pPr>
        <w:ind w:right="-81" w:firstLine="709"/>
        <w:jc w:val="both"/>
      </w:pPr>
      <w:r>
        <w:t>Revenind la normele de drept incidente, Curtea arată că, potrivit prevederilor art. 39 alin. 1: „Până la aplicarea integrală a prevederilor prezentei legi, pentru personalul nou-încadrat, pentru personalul numit/încadrat în aceeași instituție/autoritate publică pe funcții de același fel, inclusiv pentru personalul promovat în funcții sau în grade/trepte profesionale, salarizarea se face la nivelul de salarizare pentru funcții similare din cadrul instituției/autorității publice în care acesta este numit/încadrat sau din instituțiile subordonate acestora, în cazul în care nu există o funcție similară în plată”.</w:t>
      </w:r>
    </w:p>
    <w:p w:rsidR="00001564" w:rsidP="00001564" w14:paraId="22CD3A2F" w14:textId="77777777">
      <w:pPr>
        <w:ind w:right="-81" w:firstLine="709"/>
        <w:jc w:val="both"/>
      </w:pPr>
      <w:r>
        <w:t xml:space="preserve">Din cuprinsul art. 39 alin. 1, rezultă că acesta are în vedere trei categorii de ipoteze în care se aplică principiul salarizării la </w:t>
      </w:r>
      <w:r>
        <w:t>acelaşi</w:t>
      </w:r>
      <w:r>
        <w:t xml:space="preserve"> nivel, respectiv personalul nou-încadrat, cel numit/încadrat </w:t>
      </w:r>
      <w:r>
        <w:t>şi</w:t>
      </w:r>
      <w:r>
        <w:t xml:space="preserve"> cel promovat.</w:t>
      </w:r>
    </w:p>
    <w:p w:rsidR="00001564" w:rsidP="00001564" w14:paraId="363DEDB3" w14:textId="77777777">
      <w:pPr>
        <w:ind w:right="-81" w:firstLine="709"/>
        <w:jc w:val="both"/>
      </w:pPr>
      <w:r>
        <w:t xml:space="preserve">Din interpretarea gramaticală </w:t>
      </w:r>
      <w:r>
        <w:t>şi</w:t>
      </w:r>
      <w:r>
        <w:t xml:space="preserve"> teleologică a textului art. 39 alin. 1 din Legea nr. 153/2017, rezultă cu </w:t>
      </w:r>
      <w:r>
        <w:t>evidenţă</w:t>
      </w:r>
      <w:r>
        <w:t xml:space="preserve"> că </w:t>
      </w:r>
      <w:r>
        <w:t>situaţia</w:t>
      </w:r>
      <w:r>
        <w:t xml:space="preserve"> personalului numit sau încadrat este diferită de cea a personalului nou încadrat </w:t>
      </w:r>
      <w:r>
        <w:t>şi</w:t>
      </w:r>
      <w:r>
        <w:t xml:space="preserve"> are în vedere exact persoanele care </w:t>
      </w:r>
      <w:r>
        <w:t>funcţionează</w:t>
      </w:r>
      <w:r>
        <w:t xml:space="preserve"> deja în cadrul </w:t>
      </w:r>
      <w:r>
        <w:t>instituţiei</w:t>
      </w:r>
      <w:r>
        <w:t xml:space="preserve"> în momentul în care apare un element de </w:t>
      </w:r>
      <w:r>
        <w:t>diferenţiere</w:t>
      </w:r>
      <w:r>
        <w:t xml:space="preserve"> salarială care nu are suport în </w:t>
      </w:r>
      <w:r>
        <w:t>atribuţiile</w:t>
      </w:r>
      <w:r>
        <w:t xml:space="preserve"> a căror remunerare o asigură.</w:t>
      </w:r>
    </w:p>
    <w:p w:rsidR="00001564" w:rsidP="00001564" w14:paraId="00D4B097" w14:textId="77777777">
      <w:pPr>
        <w:ind w:right="-81" w:firstLine="709"/>
        <w:jc w:val="both"/>
      </w:pPr>
      <w:r>
        <w:t xml:space="preserve">Pusă în această perspectivă, nu poate fi acceptată </w:t>
      </w:r>
      <w:r>
        <w:t>susţinerea</w:t>
      </w:r>
      <w:r>
        <w:t xml:space="preserve"> că problema egalizării drepturilor salariale se pune numai la momentul numirii/încadrării (ca moment </w:t>
      </w:r>
      <w:r>
        <w:t>iniţial</w:t>
      </w:r>
      <w:r>
        <w:t xml:space="preserve"> al începerii raportului de serviciu) și al promovării în funcții sau în grade/trepte profesionale a </w:t>
      </w:r>
      <w:r>
        <w:t>funcţionarilor</w:t>
      </w:r>
      <w:r>
        <w:t xml:space="preserve"> publici.</w:t>
      </w:r>
    </w:p>
    <w:p w:rsidR="00001564" w:rsidP="00001564" w14:paraId="7A874C0C" w14:textId="77777777">
      <w:pPr>
        <w:ind w:right="-81" w:firstLine="709"/>
        <w:jc w:val="both"/>
      </w:pPr>
      <w:r>
        <w:t xml:space="preserve">Curtea mai punctează că, dacă </w:t>
      </w:r>
      <w:r>
        <w:t>intenţia</w:t>
      </w:r>
      <w:r>
        <w:t xml:space="preserve"> legiuitorului ar fi fost ca egalizarea drepturilor salariale să aibă loc doar în momentul intervenirii numirii/încadrării (în sensul de </w:t>
      </w:r>
      <w:r>
        <w:t>naştere</w:t>
      </w:r>
      <w:r>
        <w:t xml:space="preserve"> a raportului de serviciu) ori al promovării (inclusiv al reîncadrării), nu ar mai fi fost nevoie de inserarea a două ipoteze distincte, respectiv personalul nou-încadrat </w:t>
      </w:r>
      <w:r>
        <w:t>şi</w:t>
      </w:r>
      <w:r>
        <w:t xml:space="preserve"> personalul numit/încadrat.</w:t>
      </w:r>
    </w:p>
    <w:p w:rsidR="00001564" w:rsidP="00001564" w14:paraId="337D553C" w14:textId="77777777">
      <w:pPr>
        <w:ind w:right="-81" w:firstLine="709"/>
        <w:jc w:val="both"/>
      </w:pPr>
      <w:r>
        <w:t xml:space="preserve">În plus, interpretarea recurentei-pârâte, în sensul că art. 39 alin. 1 din Legea-cadru  nr. 153/2017 s-ar aplica doar în </w:t>
      </w:r>
      <w:r>
        <w:t>situaţia</w:t>
      </w:r>
      <w:r>
        <w:t xml:space="preserve"> personalului nou numit/încadrat ori promovat, ar da </w:t>
      </w:r>
      <w:r>
        <w:t>naştere</w:t>
      </w:r>
      <w:r>
        <w:t xml:space="preserve"> unor alte </w:t>
      </w:r>
      <w:r>
        <w:t>inechităţi</w:t>
      </w:r>
      <w:r>
        <w:t xml:space="preserve">, de vreme ce s-ar ajunge la </w:t>
      </w:r>
      <w:r>
        <w:t>situaţia</w:t>
      </w:r>
      <w:r>
        <w:t xml:space="preserve"> în care </w:t>
      </w:r>
      <w:r>
        <w:t>salariaţii</w:t>
      </w:r>
      <w:r>
        <w:t xml:space="preserve"> nou-</w:t>
      </w:r>
      <w:r>
        <w:t>încadraţi</w:t>
      </w:r>
      <w:r>
        <w:t xml:space="preserve"> sau </w:t>
      </w:r>
      <w:r>
        <w:t>promovaţi</w:t>
      </w:r>
      <w:r>
        <w:t xml:space="preserve"> ar beneficia de o salarizare la nivel maxim aflat în plată, în timp ce personalul, care era deja angajat anterior </w:t>
      </w:r>
      <w:r>
        <w:t>apariţiei</w:t>
      </w:r>
      <w:r>
        <w:t xml:space="preserve"> evenimentului care a generat </w:t>
      </w:r>
      <w:r>
        <w:t>diferenţierea</w:t>
      </w:r>
      <w:r>
        <w:t xml:space="preserve"> salarială, ar beneficia de o salarizare inferioară nivelului maxim aflat în plată, ceea ce ar contraveni considerentelor adoptării Legii-cadru nr. 153/2017.</w:t>
      </w:r>
    </w:p>
    <w:p w:rsidR="00001564" w:rsidP="00001564" w14:paraId="6A3B9AF6" w14:textId="77777777">
      <w:pPr>
        <w:ind w:right="-81" w:firstLine="709"/>
        <w:jc w:val="both"/>
      </w:pPr>
      <w:r>
        <w:t>Aşadar</w:t>
      </w:r>
      <w:r>
        <w:t xml:space="preserve">, principiul egalizării se aplică atât personalului nou-încadrat (deci, cu ocazia stabilirii drepturilor salariale la momentul </w:t>
      </w:r>
      <w:r>
        <w:t>naşterii</w:t>
      </w:r>
      <w:r>
        <w:t xml:space="preserve"> raportului de serviciu), cât </w:t>
      </w:r>
      <w:r>
        <w:t>şi</w:t>
      </w:r>
      <w:r>
        <w:t xml:space="preserve"> celui care este deja numit sau încadrat (la data </w:t>
      </w:r>
      <w:r>
        <w:t>apariţiei</w:t>
      </w:r>
      <w:r>
        <w:t xml:space="preserve"> unor elemente de </w:t>
      </w:r>
      <w:r>
        <w:t>diferenţiere</w:t>
      </w:r>
      <w:r>
        <w:t xml:space="preserve"> salarială, fără o justificare obiectivă), în cazul acestora din urmă prin emiterea unor noi ordine sau </w:t>
      </w:r>
      <w:r>
        <w:t>dispoziţii</w:t>
      </w:r>
      <w:r>
        <w:t xml:space="preserve"> de salarizare care să asigure punerea în practică a principiului nediscriminării consacrat în cuprinsul art. 6 lit. b din Legea-cadru nr. 153/2017.</w:t>
      </w:r>
    </w:p>
    <w:p w:rsidR="00001564" w:rsidP="00001564" w14:paraId="0BB4CA1A" w14:textId="77777777">
      <w:pPr>
        <w:ind w:right="-81" w:firstLine="709"/>
        <w:jc w:val="both"/>
      </w:pPr>
      <w:r>
        <w:t xml:space="preserve">Curtea subliniază că aceasta este interpretarea Înaltei </w:t>
      </w:r>
      <w:r>
        <w:t>Curţi</w:t>
      </w:r>
      <w:r>
        <w:t xml:space="preserve"> de </w:t>
      </w:r>
      <w:r>
        <w:t>Casaţie</w:t>
      </w:r>
      <w:r>
        <w:t xml:space="preserve"> </w:t>
      </w:r>
      <w:r>
        <w:t>şi</w:t>
      </w:r>
      <w:r>
        <w:t xml:space="preserve"> </w:t>
      </w:r>
      <w:r>
        <w:t>Justiţie</w:t>
      </w:r>
      <w:r>
        <w:t xml:space="preserve"> – Completul pentru dezlegarea unor chestiuni de drept, în cuprinsul Deciziei nr. 8/2021, oferită cu ocazia </w:t>
      </w:r>
      <w:r>
        <w:t>soluţionării</w:t>
      </w:r>
      <w:r>
        <w:t xml:space="preserve"> unei sesizări formulate într-un dosar </w:t>
      </w:r>
      <w:r>
        <w:t>parţial</w:t>
      </w:r>
      <w:r>
        <w:t xml:space="preserve"> diferit (aspectul litigios viza aplicarea conjugată a </w:t>
      </w:r>
      <w:r>
        <w:t>dispoziţiilor</w:t>
      </w:r>
      <w:r>
        <w:t xml:space="preserve"> art. 36 </w:t>
      </w:r>
      <w:r>
        <w:t>şi</w:t>
      </w:r>
      <w:r>
        <w:t xml:space="preserve"> art. 39 din legea nr. 153/2017), însă principiile stabilite sunt aplicabile </w:t>
      </w:r>
      <w:r>
        <w:t>şi</w:t>
      </w:r>
      <w:r>
        <w:t xml:space="preserve"> cauzei pendinte, după cum urmează:</w:t>
      </w:r>
    </w:p>
    <w:p w:rsidR="00001564" w:rsidP="00001564" w14:paraId="31BA0F27" w14:textId="77777777">
      <w:pPr>
        <w:ind w:right="-81" w:firstLine="709"/>
        <w:jc w:val="both"/>
      </w:pPr>
      <w:r>
        <w:t xml:space="preserve">„108. Din modul de redactare a art. 39 alin. (1) din Legea- cadru nr. 153/2017 rezultă clar faptul că acesta se aplică inclusiv personalului deja numit, nu numai celui nou-încadrat. De altfel, din enumerarea realizată de legiuitor nu rezultă că textul de lege i-ar putea exclude pe membrii personalului bugetar încadrat anterior datei intrării în vigoare a legii, din moment ce nu se limitează doar la personalul nou-încadrat, iar atunci când face referire la personalul promovat, o face ca fiind o subcategorie a </w:t>
      </w:r>
      <w:r>
        <w:t>noţiunii</w:t>
      </w:r>
      <w:r>
        <w:t xml:space="preserve"> mai largi de „personal numit/încadrat în </w:t>
      </w:r>
      <w:r>
        <w:t>funcţie</w:t>
      </w:r>
      <w:r>
        <w:t xml:space="preserve"> în </w:t>
      </w:r>
      <w:r>
        <w:t>aceeaşi</w:t>
      </w:r>
      <w:r>
        <w:t xml:space="preserve"> </w:t>
      </w:r>
      <w:r>
        <w:t>instituţie</w:t>
      </w:r>
      <w:r>
        <w:t>/autoritate publică”.</w:t>
      </w:r>
    </w:p>
    <w:p w:rsidR="00001564" w:rsidP="00001564" w14:paraId="49E41E7D" w14:textId="77777777">
      <w:pPr>
        <w:ind w:right="-81" w:firstLine="709"/>
        <w:jc w:val="both"/>
      </w:pPr>
      <w:r>
        <w:t xml:space="preserve">În final, Curtea arată că împrejurarea că diferențele salariale au fost generate de punerea în  aplicare a unei hotărâri judecătorești definitive </w:t>
      </w:r>
      <w:r>
        <w:t>obţinute</w:t>
      </w:r>
      <w:r>
        <w:t xml:space="preserve"> de un alt funcționar, aflat într-o situație profesională similară, nu are </w:t>
      </w:r>
      <w:r>
        <w:t>relevanţă</w:t>
      </w:r>
      <w:r>
        <w:t xml:space="preserve">, atâta vreme cât salariul, astfel determinat, reprezintă nivelul maxim aflat în plată în cadrul </w:t>
      </w:r>
      <w:r>
        <w:t>instituţiei</w:t>
      </w:r>
      <w:r>
        <w:t xml:space="preserve"> publice, în acest sens fiind </w:t>
      </w:r>
      <w:r>
        <w:t>şi</w:t>
      </w:r>
      <w:r>
        <w:t xml:space="preserve"> cele statuate în cuprinsul Deciziei nr. 794//2016 a </w:t>
      </w:r>
      <w:r>
        <w:t>Curţii</w:t>
      </w:r>
      <w:r>
        <w:t xml:space="preserve"> </w:t>
      </w:r>
      <w:r>
        <w:t>Constituţionale</w:t>
      </w:r>
      <w:r>
        <w:t xml:space="preserve"> a României.</w:t>
      </w:r>
    </w:p>
    <w:p w:rsidR="00001564" w:rsidP="00001564" w14:paraId="4F727AA6" w14:textId="77777777">
      <w:pPr>
        <w:ind w:firstLine="709"/>
        <w:jc w:val="both"/>
      </w:pPr>
      <w:r>
        <w:t>Aşa</w:t>
      </w:r>
      <w:r>
        <w:t xml:space="preserve"> cum reiese din Decizia nr. 49 din 18 iunie 2018, </w:t>
      </w:r>
      <w:r>
        <w:t>pronunţată</w:t>
      </w:r>
      <w:r>
        <w:t xml:space="preserve"> de Înalta Curte de </w:t>
      </w:r>
      <w:r>
        <w:t>Casaţie</w:t>
      </w:r>
      <w:r>
        <w:t xml:space="preserve"> </w:t>
      </w:r>
      <w:r>
        <w:t>şi</w:t>
      </w:r>
      <w:r>
        <w:t xml:space="preserve"> </w:t>
      </w:r>
      <w:r>
        <w:t>Justiţie</w:t>
      </w:r>
      <w:r>
        <w:t xml:space="preserve">, Completul pentru dezlegarea unor chestiuni de drept, în dosarul nr. 731/1/2018, de asemenea obligatorie, potrivit </w:t>
      </w:r>
      <w:r>
        <w:t>dispoziţiilor</w:t>
      </w:r>
      <w:r>
        <w:t xml:space="preserve"> art. 521 alin. (3) </w:t>
      </w:r>
      <w:r>
        <w:t>C.pr.civ</w:t>
      </w:r>
      <w:r>
        <w:t xml:space="preserve">., o </w:t>
      </w:r>
      <w:r>
        <w:t>condiţie</w:t>
      </w:r>
      <w:r>
        <w:t xml:space="preserve"> pentru a beneficia de uniformizarea veniturilor este ca </w:t>
      </w:r>
      <w:r>
        <w:t>instituţiile</w:t>
      </w:r>
      <w:r>
        <w:t xml:space="preserve"> publice să fie subordonate unui ordonator de credite comun, ipoteză îndeplinită în cauză, </w:t>
      </w:r>
      <w:r>
        <w:t>comparaţia</w:t>
      </w:r>
      <w:r>
        <w:t xml:space="preserve"> realizându-se între </w:t>
      </w:r>
      <w:r>
        <w:t>funcţii</w:t>
      </w:r>
      <w:r>
        <w:t xml:space="preserve"> din cadrul </w:t>
      </w:r>
      <w:r>
        <w:t>aceleiaşi</w:t>
      </w:r>
      <w:r>
        <w:t xml:space="preserve"> </w:t>
      </w:r>
      <w:r>
        <w:t>instituţii</w:t>
      </w:r>
      <w:r>
        <w:t>.</w:t>
      </w:r>
    </w:p>
    <w:p w:rsidR="00001564" w:rsidP="00001564" w14:paraId="75D818F4" w14:textId="77777777">
      <w:pPr>
        <w:ind w:right="-81" w:firstLine="709"/>
        <w:jc w:val="both"/>
      </w:pPr>
      <w:r>
        <w:t xml:space="preserve">Potrivit </w:t>
      </w:r>
      <w:r>
        <w:t>situaţiei</w:t>
      </w:r>
      <w:r>
        <w:t xml:space="preserve"> de fapte </w:t>
      </w:r>
      <w:r>
        <w:t>reţinute</w:t>
      </w:r>
      <w:r>
        <w:t xml:space="preserve"> de prima </w:t>
      </w:r>
      <w:r>
        <w:t>instanţă</w:t>
      </w:r>
      <w:r>
        <w:t xml:space="preserve">, din probele administrate, s-a constatat că există diferențe salariale între funcționari care ocupă poziții identice/similare intimatei-reclamante. </w:t>
      </w:r>
      <w:r>
        <w:t>Dispoziţiile</w:t>
      </w:r>
      <w:r>
        <w:t xml:space="preserve"> art. 22 </w:t>
      </w:r>
      <w:r>
        <w:t>C.pr.civ</w:t>
      </w:r>
      <w:r>
        <w:t xml:space="preserve">. reprezintă norme de procedură, </w:t>
      </w:r>
      <w:r>
        <w:t>şi</w:t>
      </w:r>
      <w:r>
        <w:t xml:space="preserve"> nu norme de drept material, astfel că nu se încadrează în motivul de casare prevăzut de art. 488 alin. 1 pct. 8 </w:t>
      </w:r>
      <w:r>
        <w:t>C.pr.civ</w:t>
      </w:r>
      <w:r>
        <w:t xml:space="preserve">. În realitate, se critică modalitatea în care judecătorul fondului a interpretat probele administrate. </w:t>
      </w:r>
    </w:p>
    <w:p w:rsidR="00001564" w:rsidP="00001564" w14:paraId="7E4242FF" w14:textId="77777777">
      <w:pPr>
        <w:ind w:firstLine="709"/>
        <w:jc w:val="both"/>
      </w:pPr>
      <w:r>
        <w:t xml:space="preserve">Prin Decizia nr. 80/2023 a Înaltei </w:t>
      </w:r>
      <w:r>
        <w:t>Curţi</w:t>
      </w:r>
      <w:r>
        <w:t xml:space="preserve"> de </w:t>
      </w:r>
      <w:r>
        <w:t>Casaţie</w:t>
      </w:r>
      <w:r>
        <w:t xml:space="preserve"> și </w:t>
      </w:r>
      <w:r>
        <w:t>Justiţie</w:t>
      </w:r>
      <w:r>
        <w:t xml:space="preserve"> - Completul pentru dezlegarea unei chestiuni de drept, s-a statuat că: „În interpretarea și aplicarea unitară a prevederilor art. 6 lit. b) și c) din Legea-cadru nr. 153/2017 privind salarizarea personalului plătit din fonduri publice, cu modificările și completările ulterioare, stabilește că principiile nediscriminării și </w:t>
      </w:r>
      <w:r>
        <w:t>egalităţii</w:t>
      </w:r>
      <w:r>
        <w:t xml:space="preserve"> pot fi invocate pentru egalizarea la nivel maxim a salariilor de bază, cu luarea în considerare inclusiv a majorărilor recunoscute prin hotărâri judecătorești definitive, sub rezerva ca ele să aibă aplicabilitate generală la nivelul aceleiași categorii profesionale din cadrul aceleiași familii </w:t>
      </w:r>
      <w:r>
        <w:t>ocupaţionale</w:t>
      </w:r>
      <w:r>
        <w:t>”.</w:t>
      </w:r>
    </w:p>
    <w:p w:rsidR="00001564" w:rsidP="00001564" w14:paraId="4F11224D" w14:textId="77777777">
      <w:pPr>
        <w:ind w:right="-81" w:firstLine="709"/>
        <w:jc w:val="both"/>
      </w:pPr>
      <w:r>
        <w:t xml:space="preserve">Curtea </w:t>
      </w:r>
      <w:r>
        <w:t>reţine</w:t>
      </w:r>
      <w:r>
        <w:t xml:space="preserve"> că </w:t>
      </w:r>
      <w:r>
        <w:t>diferenţele</w:t>
      </w:r>
      <w:r>
        <w:t xml:space="preserve"> salariale au fost stabilite pe baza probelor administrate, iar pârâta nu a dovedit că acestea provin dintr-o </w:t>
      </w:r>
      <w:r>
        <w:t>situaţie</w:t>
      </w:r>
      <w:r>
        <w:t xml:space="preserve"> specifică, fără aplicabilitate generală, </w:t>
      </w:r>
      <w:r>
        <w:t>deşi</w:t>
      </w:r>
      <w:r>
        <w:t xml:space="preserve"> sarcina probei îi revenea, conform </w:t>
      </w:r>
      <w:r>
        <w:t>dispoziţiilor</w:t>
      </w:r>
      <w:r>
        <w:t xml:space="preserve"> de drept comun ale art. 272 din Legea nr. 53/2003 privind Codul muncii.</w:t>
      </w:r>
    </w:p>
    <w:p w:rsidR="00001564" w:rsidP="00001564" w14:paraId="5F5DD2F1" w14:textId="77777777">
      <w:pPr>
        <w:ind w:firstLine="709"/>
        <w:jc w:val="both"/>
      </w:pPr>
      <w:r>
        <w:t xml:space="preserve">Pe cale de </w:t>
      </w:r>
      <w:r>
        <w:t>consecinţă</w:t>
      </w:r>
      <w:r>
        <w:t xml:space="preserve">, Curtea reține că nu este incident motivul de casare prevăzut de art. 488 alin. 1 pct. 8 </w:t>
      </w:r>
      <w:r>
        <w:t>C.pr.civ</w:t>
      </w:r>
      <w:r>
        <w:t xml:space="preserve">., </w:t>
      </w:r>
      <w:r>
        <w:t>instanţa</w:t>
      </w:r>
      <w:r>
        <w:t xml:space="preserve"> de fond a interpretat în mod corect </w:t>
      </w:r>
      <w:r>
        <w:t>dispoziţiile</w:t>
      </w:r>
      <w:r>
        <w:t xml:space="preserve"> legale </w:t>
      </w:r>
      <w:r>
        <w:t>şi</w:t>
      </w:r>
      <w:r>
        <w:t xml:space="preserve"> a făcut o judicioasă aplicare a acestora la </w:t>
      </w:r>
      <w:r>
        <w:t>situaţia</w:t>
      </w:r>
      <w:r>
        <w:t xml:space="preserve"> de fapt </w:t>
      </w:r>
      <w:r>
        <w:t>reţinută</w:t>
      </w:r>
      <w:r>
        <w:t xml:space="preserve"> în cauză. </w:t>
      </w:r>
    </w:p>
    <w:p w:rsidR="00001564" w:rsidP="00001564" w14:paraId="2D7241C4" w14:textId="77777777">
      <w:pPr>
        <w:ind w:right="-288" w:firstLine="708"/>
        <w:jc w:val="both"/>
        <w:rPr>
          <w:rStyle w:val="Fontdeparagrafimplicit"/>
          <w:b/>
        </w:rPr>
      </w:pPr>
      <w:r>
        <w:rPr>
          <w:rStyle w:val="Fontdeparagrafimplicit"/>
          <w:b/>
        </w:rPr>
        <w:t>2. Soluția instanței de recurs</w:t>
      </w:r>
    </w:p>
    <w:p w:rsidR="00001564" w:rsidP="00001564" w14:paraId="1351CA5B" w14:textId="77777777">
      <w:pPr>
        <w:ind w:right="-1" w:firstLine="709"/>
        <w:jc w:val="both"/>
        <w:rPr>
          <w:rStyle w:val="Fontdeparagrafimplicit"/>
          <w:b/>
        </w:rPr>
      </w:pPr>
      <w:bookmarkStart w:name="_Hlk161756614" w:id="12"/>
      <w:r>
        <w:t xml:space="preserve">În raport de toate aceste considerente, în temeiul art. 496 alin. 1 </w:t>
      </w:r>
      <w:r>
        <w:t>C.pr.civ</w:t>
      </w:r>
      <w:r>
        <w:t xml:space="preserve">. </w:t>
      </w:r>
      <w:r>
        <w:t>şi</w:t>
      </w:r>
      <w:r>
        <w:t xml:space="preserve"> al art. 20 din Legea contenciosului administrativ nr. 554/2004, se constată că recursul este nefondat </w:t>
      </w:r>
      <w:r>
        <w:t>şi</w:t>
      </w:r>
      <w:r>
        <w:t xml:space="preserve"> va fi respins ca atare.</w:t>
      </w:r>
      <w:bookmarkEnd w:id="12"/>
    </w:p>
    <w:p w:rsidR="00001564" w:rsidP="00001564" w14:paraId="43CCC9D8" w14:textId="77777777">
      <w:pPr>
        <w:ind w:firstLine="709"/>
        <w:jc w:val="center"/>
        <w:rPr>
          <w:rStyle w:val="Fontdeparagrafimplicit"/>
          <w:b/>
        </w:rPr>
      </w:pPr>
      <w:r>
        <w:rPr>
          <w:rStyle w:val="Fontdeparagrafimplicit"/>
          <w:b/>
        </w:rPr>
        <w:t>PENTRU ACESTE MOTIVE,</w:t>
      </w:r>
    </w:p>
    <w:p w:rsidR="00001564" w:rsidP="00001564" w14:paraId="22683392" w14:textId="77777777">
      <w:pPr>
        <w:ind w:firstLine="709"/>
        <w:jc w:val="center"/>
        <w:rPr>
          <w:rStyle w:val="Fontdeparagrafimplicit"/>
          <w:b/>
        </w:rPr>
      </w:pPr>
      <w:r>
        <w:rPr>
          <w:rStyle w:val="Fontdeparagrafimplicit"/>
          <w:b/>
        </w:rPr>
        <w:t>ÎN NUMELE LEGII,</w:t>
      </w:r>
    </w:p>
    <w:p w:rsidR="00001564" w:rsidP="00001564" w14:paraId="128F2230" w14:textId="77777777">
      <w:pPr>
        <w:ind w:firstLine="709"/>
        <w:jc w:val="center"/>
        <w:rPr>
          <w:rStyle w:val="Fontdeparagrafimplicit"/>
          <w:b/>
        </w:rPr>
      </w:pPr>
      <w:r>
        <w:rPr>
          <w:rStyle w:val="Fontdeparagrafimplicit"/>
          <w:b/>
        </w:rPr>
        <w:t>DECIDE:</w:t>
      </w:r>
    </w:p>
    <w:p w:rsidR="00001564" w:rsidP="00001564" w14:paraId="181F3D1E" w14:textId="77777777">
      <w:pPr>
        <w:ind w:firstLine="709"/>
        <w:jc w:val="center"/>
        <w:rPr>
          <w:rStyle w:val="Fontdeparagrafimplicit"/>
          <w:b/>
        </w:rPr>
      </w:pPr>
    </w:p>
    <w:p w:rsidR="00001564" w:rsidP="00001564" w14:paraId="01786BCA" w14:textId="77777777">
      <w:pPr>
        <w:tabs>
          <w:tab w:val="left" w:pos="0"/>
          <w:tab w:val="left" w:pos="709"/>
        </w:tabs>
        <w:ind w:firstLine="709"/>
        <w:jc w:val="both"/>
      </w:pPr>
      <w:r>
        <w:t xml:space="preserve">Respinge recursul declarat de recurenta-pârâtă </w:t>
      </w:r>
      <w:r>
        <w:rPr>
          <w:rStyle w:val="Fontdeparagrafimplicit"/>
          <w:b/>
        </w:rPr>
        <w:t xml:space="preserve">AGENŢIA JUDEŢEANĂ PENTRU PLĂŢI ŞI INSPECŢIE SOCIALĂ ...................., </w:t>
      </w:r>
      <w:r>
        <w:t xml:space="preserve">cu sediul în ..................................................., împotriva </w:t>
      </w:r>
      <w:r>
        <w:t>sentinţei</w:t>
      </w:r>
      <w:r>
        <w:t xml:space="preserve"> civile nr. X................... </w:t>
      </w:r>
      <w:r>
        <w:t>pronunţate</w:t>
      </w:r>
      <w:r>
        <w:t xml:space="preserve"> de Tribunalul .................... - ........................ în dosarul nr. ....................... în contradictoriu cu intimata-reclamantă</w:t>
      </w:r>
      <w:r>
        <w:rPr>
          <w:rStyle w:val="Fontdeparagrafimplicit"/>
          <w:b/>
        </w:rPr>
        <w:t xml:space="preserve"> R........................................., </w:t>
      </w:r>
      <w:r>
        <w:t>cu domiciliul procesual ales la sediul AJPIS ...................., ..................................................., ca nefondat.</w:t>
      </w:r>
    </w:p>
    <w:p w:rsidR="00001564" w:rsidP="00001564" w14:paraId="03CBC73A" w14:textId="77777777">
      <w:pPr>
        <w:tabs>
          <w:tab w:val="left" w:pos="0"/>
          <w:tab w:val="left" w:pos="709"/>
        </w:tabs>
        <w:ind w:firstLine="709"/>
        <w:jc w:val="both"/>
      </w:pPr>
      <w:r>
        <w:t>Definitivă.</w:t>
      </w:r>
    </w:p>
    <w:p w:rsidR="00001564" w:rsidP="00001564" w14:paraId="3BA6C14E" w14:textId="77777777">
      <w:pPr>
        <w:tabs>
          <w:tab w:val="left" w:pos="0"/>
          <w:tab w:val="left" w:pos="709"/>
        </w:tabs>
        <w:ind w:firstLine="709"/>
        <w:jc w:val="both"/>
      </w:pPr>
      <w:r>
        <w:t>Pronunţată</w:t>
      </w:r>
      <w:r>
        <w:t xml:space="preserve"> prin punerea </w:t>
      </w:r>
      <w:r>
        <w:t>soluţiei</w:t>
      </w:r>
      <w:r>
        <w:t xml:space="preserve"> la </w:t>
      </w:r>
      <w:r>
        <w:t>dispoziţia</w:t>
      </w:r>
      <w:r>
        <w:t xml:space="preserve"> </w:t>
      </w:r>
      <w:r>
        <w:t>părţilor</w:t>
      </w:r>
      <w:r>
        <w:t xml:space="preserve"> de către grefa </w:t>
      </w:r>
      <w:r>
        <w:t>instanţei</w:t>
      </w:r>
      <w:r>
        <w:t>, azi, ........................</w:t>
      </w:r>
    </w:p>
    <w:p w:rsidR="00001564" w:rsidP="00001564" w14:paraId="0752AC62" w14:textId="77777777">
      <w:pPr>
        <w:tabs>
          <w:tab w:val="left" w:pos="0"/>
          <w:tab w:val="left" w:pos="709"/>
        </w:tabs>
        <w:ind w:firstLine="709"/>
        <w:jc w:val="both"/>
      </w:pPr>
    </w:p>
    <w:p w:rsidR="00001564" w:rsidP="00001564" w14:paraId="09ABD411" w14:textId="77777777">
      <w:pPr>
        <w:tabs>
          <w:tab w:val="left" w:pos="0"/>
          <w:tab w:val="left" w:pos="709"/>
        </w:tabs>
        <w:ind w:firstLine="709"/>
      </w:pPr>
      <w:r>
        <w:rPr>
          <w:rStyle w:val="Fontdeparagrafimplicit"/>
          <w:b/>
        </w:rPr>
        <w:t xml:space="preserve">PREŞEDINTE,          </w:t>
      </w:r>
      <w:r>
        <w:rPr>
          <w:rStyle w:val="Fontdeparagrafimplicit"/>
          <w:b/>
        </w:rPr>
        <w:tab/>
        <w:t xml:space="preserve">     JUDECĂTOR,                 </w:t>
      </w:r>
      <w:r>
        <w:rPr>
          <w:rStyle w:val="Fontdeparagrafimplicit"/>
          <w:b/>
        </w:rPr>
        <w:tab/>
        <w:t xml:space="preserve"> JUDECĂTOR</w:t>
      </w:r>
      <w:r>
        <w:t>,</w:t>
      </w:r>
    </w:p>
    <w:p w:rsidR="00001564" w:rsidP="00001564" w14:paraId="1FF346F3" w14:textId="6AA8DE1A">
      <w:pPr>
        <w:tabs>
          <w:tab w:val="left" w:pos="0"/>
          <w:tab w:val="left" w:pos="426"/>
          <w:tab w:val="left" w:pos="709"/>
        </w:tabs>
        <w:ind w:firstLine="709"/>
      </w:pPr>
      <w:r>
        <w:t xml:space="preserve"> </w:t>
      </w:r>
      <w:r>
        <w:t>A0016</w:t>
      </w:r>
      <w:r>
        <w:t xml:space="preserve">            </w:t>
      </w:r>
      <w:r>
        <w:rPr>
          <w:rStyle w:val="Fontdeparagrafimplicit"/>
          <w:color w:val="000000"/>
        </w:rPr>
        <w:t xml:space="preserve">  </w:t>
      </w:r>
      <w:r>
        <w:rPr>
          <w:rStyle w:val="Fontdeparagrafimplicit"/>
          <w:color w:val="000000"/>
        </w:rPr>
        <w:tab/>
        <w:t xml:space="preserve"> </w:t>
      </w:r>
      <w:r>
        <w:t>.......................</w:t>
      </w:r>
      <w:r>
        <w:tab/>
      </w:r>
      <w:r>
        <w:tab/>
        <w:t>.......................</w:t>
      </w:r>
    </w:p>
    <w:p w:rsidR="00001564" w:rsidP="00001564" w14:paraId="52F5A9A6" w14:textId="77777777">
      <w:pPr>
        <w:tabs>
          <w:tab w:val="left" w:pos="0"/>
          <w:tab w:val="left" w:pos="426"/>
          <w:tab w:val="left" w:pos="709"/>
        </w:tabs>
        <w:ind w:firstLine="709"/>
      </w:pPr>
    </w:p>
    <w:p w:rsidR="00001564" w:rsidP="00001564" w14:paraId="357A292F" w14:textId="77777777">
      <w:pPr>
        <w:tabs>
          <w:tab w:val="left" w:pos="0"/>
          <w:tab w:val="left" w:pos="426"/>
          <w:tab w:val="left" w:pos="709"/>
        </w:tabs>
        <w:ind w:firstLine="709"/>
      </w:pPr>
      <w:r>
        <w:t xml:space="preserve"> </w:t>
      </w:r>
    </w:p>
    <w:p w:rsidR="00001564" w:rsidP="00001564" w14:paraId="2A8ACEC9" w14:textId="77777777">
      <w:pPr>
        <w:tabs>
          <w:tab w:val="left" w:pos="0"/>
          <w:tab w:val="left" w:pos="426"/>
          <w:tab w:val="left" w:pos="709"/>
        </w:tabs>
        <w:ind w:firstLine="709"/>
      </w:pPr>
    </w:p>
    <w:p w:rsidR="00001564" w:rsidP="00001564" w14:paraId="2A2BBF46" w14:textId="77777777">
      <w:pPr>
        <w:tabs>
          <w:tab w:val="left" w:pos="0"/>
          <w:tab w:val="left" w:pos="426"/>
          <w:tab w:val="left" w:pos="709"/>
        </w:tabs>
        <w:ind w:firstLine="709"/>
        <w:jc w:val="both"/>
        <w:rPr>
          <w:rStyle w:val="Fontdeparagrafimplicit"/>
        </w:rPr>
      </w:pPr>
      <w:r>
        <w:t xml:space="preserve"> </w:t>
      </w:r>
      <w:r>
        <w:tab/>
      </w:r>
      <w:r>
        <w:tab/>
      </w:r>
      <w:r>
        <w:tab/>
      </w:r>
      <w:r>
        <w:tab/>
      </w:r>
      <w:r>
        <w:tab/>
        <w:t xml:space="preserve"> </w:t>
      </w:r>
      <w:r>
        <w:tab/>
      </w:r>
      <w:r>
        <w:tab/>
        <w:t xml:space="preserve">   </w:t>
      </w:r>
      <w:r>
        <w:tab/>
      </w:r>
      <w:r>
        <w:tab/>
      </w:r>
      <w:r>
        <w:tab/>
      </w:r>
      <w:r>
        <w:rPr>
          <w:rStyle w:val="Fontdeparagrafimplicit"/>
          <w:b/>
        </w:rPr>
        <w:t>GREFIER,</w:t>
      </w:r>
    </w:p>
    <w:p w:rsidR="00001564" w:rsidP="00001564" w14:paraId="6B55BA7E" w14:textId="77777777">
      <w:pPr>
        <w:tabs>
          <w:tab w:val="left" w:pos="0"/>
          <w:tab w:val="left" w:pos="426"/>
          <w:tab w:val="left" w:pos="709"/>
        </w:tabs>
        <w:ind w:firstLine="709"/>
      </w:pPr>
      <w:r>
        <w:tab/>
      </w:r>
      <w:r>
        <w:tab/>
        <w:t xml:space="preserve">    </w:t>
      </w:r>
      <w:r>
        <w:tab/>
      </w:r>
      <w:r>
        <w:tab/>
        <w:t xml:space="preserve">     </w:t>
      </w:r>
      <w:r>
        <w:tab/>
      </w:r>
      <w:r>
        <w:tab/>
      </w:r>
      <w:r>
        <w:tab/>
        <w:t xml:space="preserve"> </w:t>
      </w:r>
      <w:r>
        <w:tab/>
      </w:r>
      <w:r>
        <w:tab/>
        <w:t xml:space="preserve">      .......................</w:t>
      </w:r>
    </w:p>
    <w:p w:rsidR="00001564" w:rsidP="00001564" w14:paraId="52E05A59" w14:textId="77777777">
      <w:pPr>
        <w:ind w:firstLine="709"/>
        <w:jc w:val="both"/>
        <w:rPr>
          <w:rStyle w:val="Fontdeparagrafimplicit"/>
          <w:color w:val="000000"/>
        </w:rPr>
      </w:pPr>
    </w:p>
    <w:p w:rsidR="00001564" w:rsidP="00001564" w14:paraId="03F6FBCD" w14:textId="77777777">
      <w:pPr>
        <w:ind w:firstLine="709"/>
        <w:jc w:val="both"/>
        <w:rPr>
          <w:rStyle w:val="Fontdeparagrafimplicit"/>
          <w:color w:val="000000"/>
        </w:rPr>
      </w:pPr>
    </w:p>
    <w:p w:rsidR="00001564" w:rsidP="00001564" w14:paraId="3526976E" w14:textId="77777777">
      <w:pPr>
        <w:ind w:firstLine="709"/>
        <w:jc w:val="both"/>
        <w:rPr>
          <w:rStyle w:val="Fontdeparagrafimplicit"/>
          <w:b/>
        </w:rPr>
      </w:pPr>
    </w:p>
    <w:p w:rsidR="00001564" w:rsidP="00001564" w14:paraId="248C1408" w14:textId="77777777">
      <w:pPr>
        <w:ind w:firstLine="709"/>
        <w:jc w:val="both"/>
        <w:rPr>
          <w:rStyle w:val="Fontdeparagrafimplicit"/>
          <w:b/>
        </w:rPr>
      </w:pPr>
    </w:p>
    <w:p w:rsidR="00001564" w:rsidP="00001564" w14:paraId="2CE92BCF" w14:textId="77777777">
      <w:pPr>
        <w:ind w:firstLine="709"/>
        <w:jc w:val="both"/>
        <w:rPr>
          <w:rStyle w:val="Fontdeparagrafimplicit"/>
          <w:b/>
        </w:rPr>
      </w:pPr>
    </w:p>
    <w:p w:rsidR="00001564" w:rsidP="00001564" w14:paraId="084260D2" w14:textId="77777777">
      <w:pPr>
        <w:ind w:firstLine="709"/>
        <w:jc w:val="both"/>
        <w:rPr>
          <w:rStyle w:val="Fontdeparagrafimplicit"/>
          <w:b/>
        </w:rPr>
      </w:pPr>
    </w:p>
    <w:p w:rsidR="00001564" w:rsidP="00001564" w14:paraId="758909BD" w14:textId="77777777">
      <w:pPr>
        <w:ind w:firstLine="709"/>
        <w:jc w:val="both"/>
        <w:rPr>
          <w:rStyle w:val="Fontdeparagrafimplicit"/>
          <w:b/>
        </w:rPr>
      </w:pPr>
    </w:p>
    <w:p w:rsidR="00001564" w:rsidP="00001564" w14:paraId="2547935E" w14:textId="77777777">
      <w:pPr>
        <w:ind w:firstLine="709"/>
        <w:jc w:val="both"/>
        <w:rPr>
          <w:rStyle w:val="Fontdeparagrafimplicit"/>
          <w:b/>
        </w:rPr>
      </w:pPr>
    </w:p>
    <w:p w:rsidR="00001564" w:rsidP="00001564" w14:paraId="45ED52CB" w14:textId="77777777">
      <w:pPr>
        <w:ind w:firstLine="709"/>
        <w:jc w:val="both"/>
        <w:rPr>
          <w:rStyle w:val="Fontdeparagrafimplicit"/>
          <w:b/>
        </w:rPr>
      </w:pPr>
    </w:p>
    <w:p w:rsidR="00001564" w:rsidP="00001564" w14:paraId="3C8E00D3" w14:textId="77777777">
      <w:pPr>
        <w:ind w:firstLine="709"/>
        <w:jc w:val="both"/>
        <w:rPr>
          <w:rStyle w:val="Fontdeparagrafimplicit"/>
          <w:b/>
        </w:rPr>
      </w:pPr>
    </w:p>
    <w:p w:rsidR="00001564" w:rsidP="00001564" w14:paraId="2EC278A5" w14:textId="77777777">
      <w:pPr>
        <w:ind w:firstLine="709"/>
        <w:jc w:val="both"/>
        <w:rPr>
          <w:rStyle w:val="Fontdeparagrafimplicit"/>
          <w:b/>
        </w:rPr>
      </w:pPr>
    </w:p>
    <w:p w:rsidR="00001564" w:rsidP="00001564" w14:paraId="759B0B2F" w14:textId="77777777">
      <w:pPr>
        <w:ind w:firstLine="709"/>
        <w:jc w:val="both"/>
        <w:rPr>
          <w:rStyle w:val="Fontdeparagrafimplicit"/>
          <w:b/>
        </w:rPr>
      </w:pPr>
    </w:p>
    <w:p w:rsidR="00001564" w:rsidP="00001564" w14:paraId="58090195" w14:textId="77777777">
      <w:pPr>
        <w:ind w:firstLine="709"/>
        <w:jc w:val="both"/>
        <w:rPr>
          <w:rStyle w:val="Fontdeparagrafimplicit"/>
          <w:b/>
        </w:rPr>
      </w:pPr>
    </w:p>
    <w:p w:rsidR="00001564" w:rsidP="00001564" w14:paraId="6C8EA68A" w14:textId="77777777">
      <w:pPr>
        <w:ind w:firstLine="709"/>
        <w:jc w:val="both"/>
        <w:rPr>
          <w:rStyle w:val="Fontdeparagrafimplicit"/>
          <w:b/>
        </w:rPr>
      </w:pPr>
    </w:p>
    <w:p w:rsidR="00001564" w:rsidP="00001564" w14:paraId="3797EE2D" w14:textId="77777777">
      <w:pPr>
        <w:ind w:firstLine="709"/>
        <w:jc w:val="both"/>
        <w:rPr>
          <w:rStyle w:val="Fontdeparagrafimplicit"/>
          <w:b/>
        </w:rPr>
      </w:pPr>
    </w:p>
    <w:p w:rsidR="00001564" w:rsidP="00001564" w14:paraId="5A98F981" w14:textId="77777777">
      <w:pPr>
        <w:ind w:firstLine="709"/>
        <w:jc w:val="both"/>
        <w:rPr>
          <w:rStyle w:val="Fontdeparagrafimplicit"/>
          <w:b/>
        </w:rPr>
      </w:pPr>
    </w:p>
    <w:p w:rsidR="00001564" w:rsidP="00001564" w14:paraId="39A8BCCE" w14:textId="77777777">
      <w:pPr>
        <w:ind w:firstLine="709"/>
        <w:jc w:val="both"/>
        <w:rPr>
          <w:rStyle w:val="Fontdeparagrafimplicit"/>
          <w:b/>
        </w:rPr>
      </w:pPr>
    </w:p>
    <w:p w:rsidR="00001564" w:rsidP="00001564" w14:paraId="195FF6BE" w14:textId="77777777">
      <w:pPr>
        <w:ind w:firstLine="709"/>
        <w:jc w:val="both"/>
        <w:rPr>
          <w:rStyle w:val="Fontdeparagrafimplicit"/>
          <w:b/>
        </w:rPr>
      </w:pPr>
    </w:p>
    <w:p w:rsidR="00001564" w:rsidP="00001564" w14:paraId="11898A94" w14:textId="77777777">
      <w:pPr>
        <w:ind w:firstLine="709"/>
        <w:jc w:val="both"/>
        <w:rPr>
          <w:rStyle w:val="Fontdeparagrafimplicit"/>
          <w:b/>
        </w:rPr>
      </w:pPr>
    </w:p>
    <w:p w:rsidR="00001564" w:rsidP="00001564" w14:paraId="6496020A" w14:textId="77777777">
      <w:pPr>
        <w:ind w:firstLine="709"/>
        <w:jc w:val="both"/>
        <w:rPr>
          <w:rStyle w:val="Fontdeparagrafimplicit"/>
          <w:b/>
        </w:rPr>
      </w:pPr>
    </w:p>
    <w:p w:rsidR="00001564" w:rsidP="00001564" w14:paraId="69D93543" w14:textId="77777777">
      <w:pPr>
        <w:ind w:firstLine="709"/>
        <w:jc w:val="both"/>
        <w:rPr>
          <w:rStyle w:val="Fontdeparagrafimplicit"/>
          <w:b/>
        </w:rPr>
      </w:pPr>
    </w:p>
    <w:p w:rsidR="00001564" w:rsidP="00001564" w14:paraId="4CDD404D" w14:textId="77777777">
      <w:pPr>
        <w:ind w:firstLine="709"/>
        <w:jc w:val="both"/>
        <w:rPr>
          <w:rStyle w:val="Fontdeparagrafimplicit"/>
          <w:b/>
        </w:rPr>
      </w:pPr>
    </w:p>
    <w:p w:rsidR="00001564" w:rsidP="00001564" w14:paraId="5EF8B891" w14:textId="77777777">
      <w:pPr>
        <w:ind w:firstLine="709"/>
        <w:jc w:val="both"/>
        <w:rPr>
          <w:rStyle w:val="Fontdeparagrafimplicit"/>
          <w:b/>
        </w:rPr>
      </w:pPr>
    </w:p>
    <w:p w:rsidR="00001564" w:rsidP="00001564" w14:paraId="06CD706A" w14:textId="77777777">
      <w:pPr>
        <w:jc w:val="both"/>
        <w:rPr>
          <w:rStyle w:val="Fontdeparagrafimplicit"/>
          <w:b/>
        </w:rPr>
      </w:pPr>
    </w:p>
    <w:p w:rsidR="00001564" w:rsidP="00001564" w14:paraId="125E4EE7" w14:textId="77777777">
      <w:pPr>
        <w:ind w:firstLine="709"/>
        <w:jc w:val="both"/>
        <w:rPr>
          <w:rStyle w:val="Fontdeparagrafimplicit"/>
          <w:b/>
        </w:rPr>
      </w:pPr>
    </w:p>
    <w:p w:rsidR="00001564" w:rsidP="00001564" w14:paraId="4705B6D4" w14:textId="77777777">
      <w:pPr>
        <w:ind w:firstLine="709"/>
        <w:jc w:val="both"/>
        <w:rPr>
          <w:rStyle w:val="Fontdeparagrafimplicit"/>
          <w:b/>
        </w:rPr>
      </w:pPr>
    </w:p>
    <w:p w:rsidR="00001564" w:rsidP="00001564" w14:paraId="4143C4B9" w14:textId="77777777">
      <w:pPr>
        <w:jc w:val="both"/>
        <w:rPr>
          <w:rStyle w:val="Fontdeparagrafimplicit"/>
        </w:rPr>
      </w:pPr>
    </w:p>
    <w:p w:rsidR="00001564" w:rsidP="00001564" w14:paraId="5FDEC1A6" w14:textId="77777777">
      <w:pPr>
        <w:jc w:val="both"/>
        <w:rPr>
          <w:rStyle w:val="Fontdeparagrafimplicit"/>
          <w:sz w:val="16"/>
        </w:rPr>
      </w:pPr>
      <w:r>
        <w:rPr>
          <w:rStyle w:val="Fontdeparagrafimplicit"/>
          <w:sz w:val="16"/>
        </w:rPr>
        <w:t>Tribunalul .................... - ........................</w:t>
      </w:r>
    </w:p>
    <w:p w:rsidR="00001564" w:rsidP="00001564" w14:paraId="7FB7F257" w14:textId="77777777">
      <w:pPr>
        <w:jc w:val="both"/>
        <w:rPr>
          <w:rStyle w:val="Fontdeparagrafimplicit"/>
          <w:sz w:val="16"/>
        </w:rPr>
      </w:pPr>
      <w:r>
        <w:rPr>
          <w:rStyle w:val="Fontdeparagrafimplicit"/>
          <w:sz w:val="16"/>
        </w:rPr>
        <w:t>Jud. fond – ...............................</w:t>
      </w:r>
    </w:p>
    <w:p w:rsidR="00001564" w:rsidP="00001564" w14:paraId="4ED8E92B" w14:textId="7C9E29AD">
      <w:pPr>
        <w:jc w:val="both"/>
        <w:rPr>
          <w:rStyle w:val="Fontdeparagrafimplicit"/>
          <w:sz w:val="16"/>
        </w:rPr>
      </w:pPr>
      <w:r>
        <w:rPr>
          <w:rStyle w:val="Fontdeparagrafimplicit"/>
          <w:sz w:val="16"/>
        </w:rPr>
        <w:t>Red.</w:t>
      </w:r>
      <w:r>
        <w:rPr>
          <w:rStyle w:val="Fontdeparagrafimplicit"/>
          <w:sz w:val="16"/>
        </w:rPr>
        <w:t>A0016</w:t>
      </w:r>
      <w:r>
        <w:rPr>
          <w:rStyle w:val="Fontdeparagrafimplicit"/>
          <w:sz w:val="16"/>
        </w:rPr>
        <w:t>/4 ex.</w:t>
      </w:r>
    </w:p>
    <w:p w:rsidR="00001564" w:rsidP="00001564" w14:paraId="7275F04F" w14:textId="77777777">
      <w:pPr>
        <w:ind w:firstLine="709"/>
        <w:jc w:val="both"/>
        <w:rPr>
          <w:rStyle w:val="Fontdeparagrafimplicit"/>
          <w:b/>
        </w:rPr>
      </w:pPr>
    </w:p>
    <w:p w:rsidR="00001564" w:rsidP="00001564" w14:paraId="3190F0CD" w14:textId="77777777">
      <w:pPr>
        <w:ind w:firstLine="709"/>
        <w:jc w:val="both"/>
        <w:rPr>
          <w:rStyle w:val="Fontdeparagrafimplicit"/>
          <w:b/>
        </w:rPr>
      </w:pPr>
    </w:p>
    <w:p w:rsidR="00001564" w:rsidP="00001564" w14:paraId="2072A3BE" w14:textId="77777777">
      <w:pPr>
        <w:ind w:firstLine="709"/>
        <w:jc w:val="both"/>
        <w:rPr>
          <w:rStyle w:val="Fontdeparagrafimplicit"/>
          <w:b/>
        </w:rPr>
      </w:pPr>
    </w:p>
    <w:p w:rsidR="00001564" w:rsidP="00001564" w14:paraId="69007D7F" w14:textId="77777777">
      <w:pPr>
        <w:ind w:firstLine="709"/>
        <w:jc w:val="both"/>
        <w:rPr>
          <w:rStyle w:val="Fontdeparagrafimplicit"/>
          <w:i/>
          <w:sz w:val="16"/>
        </w:rPr>
      </w:pPr>
    </w:p>
    <w:p w:rsidR="00001564" w:rsidP="00001564" w14:paraId="52DB6A4C" w14:textId="77777777">
      <w:pPr>
        <w:ind w:firstLine="709"/>
        <w:jc w:val="both"/>
        <w:rPr>
          <w:rStyle w:val="Fontdeparagrafimplicit"/>
          <w:i/>
          <w:sz w:val="16"/>
        </w:rPr>
      </w:pPr>
    </w:p>
    <w:p w:rsidR="00001564" w:rsidP="00001564" w14:paraId="4689B46F" w14:textId="77777777">
      <w:pPr>
        <w:rPr>
          <w:rStyle w:val="Fontdeparagrafimplicit"/>
        </w:rPr>
      </w:pPr>
    </w:p>
    <w:p w:rsidRPr="00001564" w:rsidR="00803697" w:rsidP="00001564" w14:paraId="245C42A6" w14:textId="77777777">
      <w:pPr>
        <w:rPr>
          <w:rStyle w:val="Fontdeparagrafimplicit"/>
        </w:rPr>
      </w:pPr>
    </w:p>
    <w:sectPr>
      <w:footerReference w:type="default" r:id="rId4"/>
      <w:pgSz w:w="11907" w:h="16840"/>
      <w:pgMar w:top="567" w:right="851" w:bottom="567"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03697" w14:paraId="0C396900" w14:textId="77777777">
    <w:pPr>
      <w:pStyle w:val="Subsol"/>
      <w:jc w:val="center"/>
      <w:rPr>
        <w:rStyle w:val="Fontdeparagrafimplicit"/>
        <w:sz w:val="16"/>
      </w:rPr>
    </w:pPr>
    <w:r>
      <w:fldChar w:fldCharType="begin"/>
    </w:r>
    <w:r>
      <w:rPr>
        <w:rStyle w:val="Fontdeparagrafimplicit"/>
        <w:sz w:val="16"/>
      </w:rPr>
      <w:instrText>PAGE   \* MERGEFORMAT</w:instrText>
    </w:r>
    <w:r>
      <w:rPr>
        <w:rStyle w:val="Fontdeparagrafimplicit"/>
        <w:sz w:val="16"/>
      </w:rPr>
      <w:fldChar w:fldCharType="separate"/>
    </w:r>
    <w:r>
      <w:rPr>
        <w:rStyle w:val="Fontdeparagrafimplicit"/>
        <w:sz w:val="16"/>
      </w:rPr>
      <w:t>#</w:t>
    </w:r>
    <w:r>
      <w:rPr>
        <w:rStyle w:val="Fontdeparagrafimplicit"/>
        <w:sz w:val="16"/>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697"/>
    <w:rsid w:val="00001564"/>
    <w:rsid w:val="002A6899"/>
    <w:rsid w:val="00803697"/>
    <w:rsid w:val="00EC6589"/>
  </w:rsids>
  <w:docVars>
    <w:docVar w:name="url" w:val="https://cabuc.just.ro/ecris_cdms/document_upload.aspx?id_document=200000004995720&amp;id_departament=58&amp;id_sesiune=5769794&amp;id_user=658&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549D405C"/>
  <w15:docId w15:val="{2752110A-0C09-4681-BF26-7484D40AA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20</ap:TotalTime>
  <ap:Pages>5</ap:Pages>
  <ap:Words>2848</ap:Words>
  <ap:Characters>16236</ap:Characters>
  <ap:Application>Microsoft Office Word</ap:Application>
  <ap:DocSecurity>0</ap:DocSecurity>
  <ap:Lines>135</ap:Lines>
  <ap:Paragraphs>38</ap:Paragraphs>
  <ap:ScaleCrop>false</ap:ScaleCrop>
  <ap:CharactersWithSpaces>19046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