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049A5" w14:textId="73375785" w:rsidR="00F7215E" w:rsidRDefault="00255492">
      <w:pPr>
        <w:rPr>
          <w:rStyle w:val="Fontdeparagrafimplicit1"/>
          <w:rFonts w:ascii="Garamond" w:hAnsi="Garamond"/>
        </w:rPr>
      </w:pPr>
      <w:r>
        <w:rPr>
          <w:rStyle w:val="Fontdeparagrafimplicit1"/>
          <w:rFonts w:ascii="Garamond" w:hAnsi="Garamond"/>
        </w:rPr>
        <w:t>Cod ECLI    ECLI:RO:CA</w:t>
      </w:r>
      <w:r w:rsidR="00AB6FB3">
        <w:rPr>
          <w:rStyle w:val="Fontdeparagrafimplicit1"/>
          <w:rFonts w:ascii="Garamond" w:hAnsi="Garamond"/>
        </w:rPr>
        <w:t>...</w:t>
      </w:r>
      <w:r>
        <w:rPr>
          <w:rStyle w:val="Fontdeparagrafimplicit1"/>
          <w:rFonts w:ascii="Garamond" w:hAnsi="Garamond"/>
        </w:rPr>
        <w:t>:</w:t>
      </w:r>
      <w:r w:rsidR="00AB6FB3">
        <w:rPr>
          <w:rStyle w:val="Fontdeparagrafimplicit1"/>
          <w:rFonts w:ascii="Garamond" w:hAnsi="Garamond"/>
        </w:rPr>
        <w:t>....</w:t>
      </w:r>
    </w:p>
    <w:p w14:paraId="643607D8" w14:textId="77777777" w:rsidR="00F7215E" w:rsidRDefault="00255492">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07D7DF8F" w14:textId="6D42E472" w:rsidR="00F7215E" w:rsidRDefault="00255492">
      <w:pPr>
        <w:rPr>
          <w:rStyle w:val="Fontdeparagrafimplicit1"/>
          <w:b/>
          <w:i/>
        </w:rPr>
      </w:pPr>
      <w:r>
        <w:rPr>
          <w:rStyle w:val="Fontdeparagrafimplicit1"/>
          <w:b/>
          <w:i/>
        </w:rPr>
        <w:t xml:space="preserve">  CURTEA DE APEL </w:t>
      </w:r>
      <w:r w:rsidR="00AB6FB3">
        <w:rPr>
          <w:rStyle w:val="Fontdeparagrafimplicit1"/>
          <w:b/>
          <w:i/>
        </w:rPr>
        <w:t>X</w:t>
      </w:r>
    </w:p>
    <w:p w14:paraId="7FA82E9D" w14:textId="0868DFDD" w:rsidR="00F7215E" w:rsidRDefault="00255492">
      <w:pPr>
        <w:rPr>
          <w:rStyle w:val="Fontdeparagrafimplicit1"/>
          <w:b/>
          <w:i/>
        </w:rPr>
      </w:pPr>
      <w:r>
        <w:rPr>
          <w:rStyle w:val="Fontdeparagrafimplicit1"/>
          <w:b/>
          <w:i/>
        </w:rPr>
        <w:t xml:space="preserve">    SECŢIA  </w:t>
      </w:r>
      <w:r w:rsidR="00AD2C94">
        <w:rPr>
          <w:rStyle w:val="Fontdeparagrafimplicit1"/>
          <w:b/>
          <w:i/>
        </w:rPr>
        <w:t>....</w:t>
      </w:r>
    </w:p>
    <w:p w14:paraId="721129AE" w14:textId="193559DC" w:rsidR="00F7215E" w:rsidRDefault="00255492">
      <w:pPr>
        <w:rPr>
          <w:rStyle w:val="Fontdeparagrafimplicit1"/>
          <w:b/>
          <w:i/>
        </w:rPr>
      </w:pPr>
      <w:r>
        <w:rPr>
          <w:rStyle w:val="Fontdeparagrafimplicit1"/>
          <w:b/>
          <w:i/>
        </w:rPr>
        <w:t xml:space="preserve"> Număr operator de date cu caracter personal </w:t>
      </w:r>
      <w:r w:rsidR="00AB6FB3">
        <w:rPr>
          <w:rStyle w:val="Fontdeparagrafimplicit1"/>
          <w:b/>
          <w:i/>
        </w:rPr>
        <w:t>....</w:t>
      </w:r>
    </w:p>
    <w:p w14:paraId="1778E0BD" w14:textId="75ADB5EE" w:rsidR="00F7215E" w:rsidRDefault="00255492">
      <w:pPr>
        <w:rPr>
          <w:rStyle w:val="Fontdeparagrafimplicit1"/>
          <w:b/>
          <w:i/>
        </w:rPr>
      </w:pPr>
      <w:r>
        <w:rPr>
          <w:rStyle w:val="Fontdeparagrafimplicit1"/>
          <w:b/>
          <w:i/>
        </w:rPr>
        <w:t xml:space="preserve">  DOSAR NR. </w:t>
      </w:r>
      <w:r w:rsidR="00AB6FB3">
        <w:rPr>
          <w:rStyle w:val="Fontdeparagrafimplicit1"/>
          <w:b/>
          <w:i/>
        </w:rPr>
        <w:t>....</w:t>
      </w:r>
      <w:r>
        <w:rPr>
          <w:rStyle w:val="Fontdeparagrafimplicit1"/>
          <w:b/>
          <w:i/>
        </w:rPr>
        <w:t>2</w:t>
      </w:r>
    </w:p>
    <w:p w14:paraId="13527520" w14:textId="77777777" w:rsidR="00F7215E" w:rsidRDefault="00255492">
      <w:pPr>
        <w:rPr>
          <w:rStyle w:val="Fontdeparagrafimplicit1"/>
          <w:i/>
        </w:rPr>
      </w:pPr>
      <w:r>
        <w:rPr>
          <w:rStyle w:val="Fontdeparagrafimplicit1"/>
          <w:i/>
        </w:rPr>
        <w:t xml:space="preserve">        </w:t>
      </w:r>
    </w:p>
    <w:p w14:paraId="5D640485" w14:textId="77777777" w:rsidR="00F7215E" w:rsidRDefault="00F7215E">
      <w:pPr>
        <w:rPr>
          <w:rStyle w:val="Fontdeparagrafimplicit1"/>
          <w:i/>
        </w:rPr>
      </w:pPr>
    </w:p>
    <w:p w14:paraId="610E4F7C" w14:textId="5D8C5D2D" w:rsidR="00F7215E" w:rsidRDefault="00255492">
      <w:pPr>
        <w:keepNext/>
        <w:jc w:val="center"/>
        <w:outlineLvl w:val="0"/>
        <w:rPr>
          <w:rStyle w:val="Fontdeparagrafimplicit1"/>
          <w:b/>
          <w:i/>
          <w:u w:val="single"/>
        </w:rPr>
      </w:pPr>
      <w:r>
        <w:rPr>
          <w:rStyle w:val="Fontdeparagrafimplicit1"/>
          <w:b/>
          <w:i/>
          <w:u w:val="single"/>
        </w:rPr>
        <w:t>DECIZIA CIVILĂ NR.</w:t>
      </w:r>
      <w:r w:rsidR="00AB6FB3">
        <w:rPr>
          <w:rStyle w:val="Fontdeparagrafimplicit1"/>
          <w:b/>
          <w:i/>
          <w:u w:val="single"/>
        </w:rPr>
        <w:t>...</w:t>
      </w:r>
      <w:r>
        <w:rPr>
          <w:rStyle w:val="Fontdeparagrafimplicit1"/>
          <w:b/>
          <w:i/>
          <w:u w:val="single"/>
        </w:rPr>
        <w:t xml:space="preserve"> </w:t>
      </w:r>
    </w:p>
    <w:p w14:paraId="7D0C3AD5" w14:textId="77777777" w:rsidR="00F7215E" w:rsidRDefault="00F7215E">
      <w:pPr>
        <w:keepNext/>
        <w:jc w:val="center"/>
        <w:outlineLvl w:val="0"/>
        <w:rPr>
          <w:rStyle w:val="Fontdeparagrafimplicit1"/>
          <w:b/>
          <w:i/>
          <w:u w:val="single"/>
        </w:rPr>
      </w:pPr>
    </w:p>
    <w:p w14:paraId="593A0812" w14:textId="60D2F99C" w:rsidR="00F7215E" w:rsidRDefault="00255492">
      <w:pPr>
        <w:jc w:val="center"/>
        <w:rPr>
          <w:rStyle w:val="Fontdeparagrafimplicit1"/>
          <w:b/>
          <w:i/>
        </w:rPr>
      </w:pPr>
      <w:r>
        <w:rPr>
          <w:rStyle w:val="Fontdeparagrafimplicit1"/>
          <w:b/>
          <w:i/>
        </w:rPr>
        <w:t xml:space="preserve">Şedinţa publică din </w:t>
      </w:r>
      <w:r w:rsidR="00AB6FB3">
        <w:rPr>
          <w:rStyle w:val="Fontdeparagrafimplicit1"/>
          <w:b/>
          <w:i/>
        </w:rPr>
        <w:t>...</w:t>
      </w:r>
      <w:r>
        <w:rPr>
          <w:rStyle w:val="Fontdeparagrafimplicit1"/>
          <w:b/>
          <w:i/>
        </w:rPr>
        <w:t xml:space="preserve">   </w:t>
      </w:r>
    </w:p>
    <w:p w14:paraId="22547CC6" w14:textId="77777777" w:rsidR="00F7215E" w:rsidRDefault="00F7215E">
      <w:pPr>
        <w:jc w:val="center"/>
        <w:rPr>
          <w:rStyle w:val="Fontdeparagrafimplicit1"/>
          <w:b/>
          <w:i/>
        </w:rPr>
      </w:pPr>
    </w:p>
    <w:p w14:paraId="1E43706E" w14:textId="3F668AEE" w:rsidR="00F7215E" w:rsidRDefault="00255492">
      <w:pPr>
        <w:ind w:left="2124" w:firstLine="708"/>
        <w:rPr>
          <w:rStyle w:val="Fontdeparagrafimplicit1"/>
          <w:b/>
          <w:i/>
        </w:rPr>
      </w:pPr>
      <w:r>
        <w:rPr>
          <w:rStyle w:val="Fontdeparagrafimplicit1"/>
          <w:b/>
          <w:i/>
        </w:rPr>
        <w:t>PREŞEDINTE:</w:t>
      </w:r>
      <w:r>
        <w:t xml:space="preserve"> </w:t>
      </w:r>
      <w:r w:rsidR="00AB6FB3">
        <w:rPr>
          <w:rStyle w:val="Fontdeparagrafimplicit1"/>
          <w:b/>
          <w:i/>
        </w:rPr>
        <w:t>A0011</w:t>
      </w:r>
      <w:r>
        <w:rPr>
          <w:rStyle w:val="Fontdeparagrafimplicit1"/>
          <w:b/>
          <w:i/>
        </w:rPr>
        <w:t xml:space="preserve"> </w:t>
      </w:r>
    </w:p>
    <w:p w14:paraId="1C3CDDCA" w14:textId="2E2F5994" w:rsidR="00F7215E" w:rsidRDefault="00255492">
      <w:pPr>
        <w:ind w:left="2124" w:firstLine="708"/>
        <w:rPr>
          <w:rStyle w:val="Fontdeparagrafimplicit1"/>
          <w:b/>
          <w:i/>
        </w:rPr>
      </w:pPr>
      <w:r>
        <w:rPr>
          <w:rStyle w:val="Fontdeparagrafimplicit1"/>
          <w:b/>
          <w:i/>
        </w:rPr>
        <w:t xml:space="preserve">JUDECĂTOR:  </w:t>
      </w:r>
      <w:r w:rsidR="00AB6FB3">
        <w:rPr>
          <w:rStyle w:val="Fontdeparagrafimplicit1"/>
          <w:b/>
          <w:i/>
        </w:rPr>
        <w:t>....</w:t>
      </w:r>
    </w:p>
    <w:p w14:paraId="66156034" w14:textId="5B45286D" w:rsidR="00F7215E" w:rsidRDefault="00255492">
      <w:pPr>
        <w:ind w:left="2124" w:firstLine="708"/>
        <w:rPr>
          <w:rStyle w:val="Fontdeparagrafimplicit1"/>
          <w:b/>
          <w:i/>
        </w:rPr>
      </w:pPr>
      <w:r>
        <w:rPr>
          <w:rStyle w:val="Fontdeparagrafimplicit1"/>
          <w:b/>
          <w:i/>
        </w:rPr>
        <w:t xml:space="preserve">GREFIER : </w:t>
      </w:r>
      <w:r w:rsidR="00AB6FB3">
        <w:rPr>
          <w:rStyle w:val="Fontdeparagrafimplicit1"/>
          <w:b/>
          <w:i/>
        </w:rPr>
        <w:t>....</w:t>
      </w:r>
      <w:r>
        <w:rPr>
          <w:rStyle w:val="Fontdeparagrafimplicit1"/>
          <w:b/>
          <w:i/>
        </w:rPr>
        <w:t xml:space="preserve"> </w:t>
      </w:r>
    </w:p>
    <w:p w14:paraId="5D189237" w14:textId="77777777" w:rsidR="00F7215E" w:rsidRDefault="00F7215E">
      <w:pPr>
        <w:ind w:firstLine="708"/>
        <w:jc w:val="both"/>
        <w:rPr>
          <w:rStyle w:val="Fontdeparagrafimplicit1"/>
        </w:rPr>
      </w:pPr>
    </w:p>
    <w:p w14:paraId="12AE3454" w14:textId="77777777" w:rsidR="00F7215E" w:rsidRDefault="00F7215E">
      <w:pPr>
        <w:ind w:firstLine="708"/>
        <w:jc w:val="both"/>
        <w:rPr>
          <w:rStyle w:val="Fontdeparagrafimplicit1"/>
        </w:rPr>
      </w:pPr>
    </w:p>
    <w:p w14:paraId="401A4705" w14:textId="5AC0AE0D" w:rsidR="00F7215E" w:rsidRDefault="00255492">
      <w:pPr>
        <w:ind w:firstLine="708"/>
        <w:jc w:val="both"/>
        <w:rPr>
          <w:rStyle w:val="Fontdeparagrafimplicit1"/>
          <w:rFonts w:ascii="Garamond" w:hAnsi="Garamond"/>
          <w:color w:val="BFBFBF"/>
          <w:sz w:val="20"/>
        </w:rPr>
      </w:pPr>
      <w:r>
        <w:t>Pe rol fiind pronunțarea  asupra  apelului civil declarat de apelanții reclamanţi</w:t>
      </w:r>
      <w:r>
        <w:rPr>
          <w:rStyle w:val="Fontdeparagrafimplicit1"/>
          <w:b/>
        </w:rPr>
        <w:t xml:space="preserve"> </w:t>
      </w:r>
      <w:r w:rsidR="00AB6FB3">
        <w:rPr>
          <w:rStyle w:val="Fontdeparagrafimplicit1"/>
          <w:b/>
        </w:rPr>
        <w:t>- 187</w:t>
      </w:r>
      <w:r>
        <w:t xml:space="preserve">, toţi cu domiciliul procesual ales în </w:t>
      </w:r>
      <w:r w:rsidR="00AB6FB3">
        <w:t>X</w:t>
      </w:r>
      <w:r>
        <w:t xml:space="preserve">, </w:t>
      </w:r>
      <w:r w:rsidR="00AB6FB3">
        <w:t>....</w:t>
      </w:r>
      <w:r>
        <w:t>, nr.</w:t>
      </w:r>
      <w:r w:rsidR="00AB6FB3">
        <w:t>...</w:t>
      </w:r>
      <w:r>
        <w:t>, ap.</w:t>
      </w:r>
      <w:r w:rsidR="00AB6FB3">
        <w:t>...</w:t>
      </w:r>
      <w:r>
        <w:t xml:space="preserve">, judeţul </w:t>
      </w:r>
      <w:r w:rsidR="00AB6FB3">
        <w:t>Z</w:t>
      </w:r>
      <w:r>
        <w:t xml:space="preserve"> la cabinet de avocat </w:t>
      </w:r>
      <w:r w:rsidR="00AB6FB3">
        <w:t>...</w:t>
      </w:r>
      <w:r>
        <w:rPr>
          <w:rStyle w:val="Fontdeparagrafimplicit1"/>
          <w:sz w:val="28"/>
        </w:rPr>
        <w:t xml:space="preserve"> </w:t>
      </w:r>
      <w:r>
        <w:t xml:space="preserve">în contradictoriu cu  intimații pârâţi </w:t>
      </w:r>
      <w:r>
        <w:rPr>
          <w:rStyle w:val="Fontdeparagrafimplicit1"/>
          <w:b/>
        </w:rPr>
        <w:t xml:space="preserve">SPITALUL CLINIC MUNICIPAL </w:t>
      </w:r>
      <w:r w:rsidR="00AB6FB3">
        <w:rPr>
          <w:rStyle w:val="Fontdeparagrafimplicit1"/>
          <w:b/>
        </w:rPr>
        <w:t>YY</w:t>
      </w:r>
      <w:r>
        <w:rPr>
          <w:rStyle w:val="Fontdeparagrafimplicit1"/>
          <w:b/>
        </w:rPr>
        <w:t>,</w:t>
      </w:r>
      <w:r>
        <w:t xml:space="preserve"> cu sediul în </w:t>
      </w:r>
      <w:r w:rsidR="00AB6FB3">
        <w:t>X</w:t>
      </w:r>
      <w:r>
        <w:t>, str.</w:t>
      </w:r>
      <w:r w:rsidR="00AB6FB3">
        <w:t>...</w:t>
      </w:r>
      <w:r>
        <w:t>, nr.</w:t>
      </w:r>
      <w:r w:rsidR="00AB6FB3">
        <w:t>...</w:t>
      </w:r>
      <w:r>
        <w:t xml:space="preserve">, judeţul </w:t>
      </w:r>
      <w:r w:rsidR="00AB6FB3">
        <w:t>Z</w:t>
      </w:r>
      <w:r>
        <w:t xml:space="preserve">, </w:t>
      </w:r>
      <w:r>
        <w:rPr>
          <w:rStyle w:val="Fontdeparagrafimplicit1"/>
          <w:b/>
        </w:rPr>
        <w:t xml:space="preserve">INSPECTORATUL TERITORIAL DE MUNCĂ </w:t>
      </w:r>
      <w:r w:rsidR="00AB6FB3">
        <w:rPr>
          <w:rStyle w:val="Fontdeparagrafimplicit1"/>
          <w:b/>
        </w:rPr>
        <w:t>Z</w:t>
      </w:r>
      <w:r>
        <w:t xml:space="preserve"> cu sediul în </w:t>
      </w:r>
      <w:r w:rsidR="00AB6FB3">
        <w:t>X</w:t>
      </w:r>
      <w:r>
        <w:t xml:space="preserve">, str. </w:t>
      </w:r>
      <w:r w:rsidR="00AB6FB3">
        <w:t>...</w:t>
      </w:r>
      <w:r>
        <w:t xml:space="preserve">, nr. </w:t>
      </w:r>
      <w:r w:rsidR="00AB6FB3">
        <w:t>...</w:t>
      </w:r>
      <w:r>
        <w:t xml:space="preserve">, judeţul </w:t>
      </w:r>
      <w:r w:rsidR="00AB6FB3">
        <w:t>Z</w:t>
      </w:r>
      <w:r>
        <w:t xml:space="preserve"> şi </w:t>
      </w:r>
      <w:r>
        <w:rPr>
          <w:rStyle w:val="Fontdeparagrafimplicit1"/>
          <w:b/>
        </w:rPr>
        <w:t>INSPECŢIA MUNCII</w:t>
      </w:r>
      <w:r>
        <w:t xml:space="preserve">, cu sediul în </w:t>
      </w:r>
      <w:r w:rsidR="00AB6FB3">
        <w:t>...</w:t>
      </w:r>
      <w:r>
        <w:t xml:space="preserve">, strada </w:t>
      </w:r>
      <w:r w:rsidR="00AB6FB3">
        <w:t>...</w:t>
      </w:r>
      <w:r>
        <w:t>, nr.</w:t>
      </w:r>
      <w:r w:rsidR="00AB6FB3">
        <w:t>...</w:t>
      </w:r>
      <w:r>
        <w:t xml:space="preserve">, </w:t>
      </w:r>
      <w:r w:rsidR="00AB6FB3">
        <w:t>...</w:t>
      </w:r>
      <w:r>
        <w:t>, împotriva sentinţei civile nr.</w:t>
      </w:r>
      <w:r w:rsidR="00AB6FB3">
        <w:t>...</w:t>
      </w:r>
      <w:r>
        <w:t xml:space="preserve"> din </w:t>
      </w:r>
      <w:r w:rsidR="00AB6FB3">
        <w:t>...</w:t>
      </w:r>
      <w:r>
        <w:t xml:space="preserve"> 2020 pronunţată de Tribunalul </w:t>
      </w:r>
      <w:r w:rsidR="00AB6FB3">
        <w:t>Z</w:t>
      </w:r>
      <w:r>
        <w:t xml:space="preserve">, având ca obiect acțiune în constatare.    </w:t>
      </w:r>
    </w:p>
    <w:p w14:paraId="4B234FC0" w14:textId="3D6FCAE0" w:rsidR="00F7215E" w:rsidRDefault="00255492">
      <w:pPr>
        <w:ind w:firstLine="708"/>
        <w:jc w:val="both"/>
      </w:pPr>
      <w:r>
        <w:t xml:space="preserve">Se constată că dezbaterea în fond a cauzei a avut loc în şedinţa publică din </w:t>
      </w:r>
      <w:r w:rsidR="00AB6FB3">
        <w:t>...</w:t>
      </w:r>
      <w:r>
        <w:t xml:space="preserve">, când părţile prezente au formulat concluzii ce au fost consemnate în încheierea de şedinţă din acea zi şi când a fost amânată pronunţarea hotărârii pentru data de </w:t>
      </w:r>
      <w:r w:rsidR="00AB6FB3">
        <w:t>...</w:t>
      </w:r>
      <w:r>
        <w:t xml:space="preserve">, respectiv pentru data de azi. </w:t>
      </w:r>
    </w:p>
    <w:p w14:paraId="24B756C9" w14:textId="77777777" w:rsidR="00F7215E" w:rsidRDefault="00F7215E">
      <w:pPr>
        <w:ind w:firstLine="708"/>
        <w:jc w:val="both"/>
      </w:pPr>
    </w:p>
    <w:p w14:paraId="28893549" w14:textId="77777777" w:rsidR="00F7215E" w:rsidRDefault="00F7215E">
      <w:pPr>
        <w:ind w:firstLine="708"/>
        <w:jc w:val="both"/>
      </w:pPr>
    </w:p>
    <w:p w14:paraId="32CE0A50" w14:textId="77777777" w:rsidR="00F7215E" w:rsidRDefault="00255492">
      <w:pPr>
        <w:jc w:val="center"/>
        <w:rPr>
          <w:rStyle w:val="Fontdeparagrafimplicit1"/>
          <w:b/>
          <w:i/>
        </w:rPr>
      </w:pPr>
      <w:r>
        <w:rPr>
          <w:rStyle w:val="Fontdeparagrafimplicit1"/>
          <w:b/>
          <w:i/>
        </w:rPr>
        <w:t xml:space="preserve">CURTEA DE APEL </w:t>
      </w:r>
    </w:p>
    <w:p w14:paraId="256E5BE8" w14:textId="77777777" w:rsidR="00F7215E" w:rsidRDefault="00255492">
      <w:pPr>
        <w:jc w:val="center"/>
        <w:rPr>
          <w:rStyle w:val="Fontdeparagrafimplicit1"/>
          <w:b/>
          <w:i/>
        </w:rPr>
      </w:pPr>
      <w:r>
        <w:rPr>
          <w:rStyle w:val="Fontdeparagrafimplicit1"/>
          <w:b/>
          <w:i/>
        </w:rPr>
        <w:t xml:space="preserve">D E L I B E R Â N D : </w:t>
      </w:r>
    </w:p>
    <w:p w14:paraId="15C899A4" w14:textId="77777777" w:rsidR="00F7215E" w:rsidRDefault="00F7215E">
      <w:pPr>
        <w:jc w:val="center"/>
        <w:rPr>
          <w:rStyle w:val="Fontdeparagrafimplicit1"/>
          <w:b/>
          <w:i/>
        </w:rPr>
      </w:pPr>
    </w:p>
    <w:p w14:paraId="4BBAF18F" w14:textId="77777777" w:rsidR="00F7215E" w:rsidRDefault="00255492">
      <w:pPr>
        <w:jc w:val="both"/>
      </w:pPr>
      <w:r>
        <w:tab/>
        <w:t xml:space="preserve">Asupra apelului civil de faţă, contată următoarele :  </w:t>
      </w:r>
    </w:p>
    <w:p w14:paraId="5DD1D1A4" w14:textId="17121FCC" w:rsidR="00F7215E" w:rsidRDefault="00255492">
      <w:pPr>
        <w:ind w:firstLine="708"/>
        <w:jc w:val="both"/>
      </w:pPr>
      <w:r>
        <w:t>Prin sentinţa civilă nr.</w:t>
      </w:r>
      <w:r w:rsidR="00AB6FB3">
        <w:t>...</w:t>
      </w:r>
      <w:r>
        <w:t xml:space="preserve"> din </w:t>
      </w:r>
      <w:r w:rsidR="00AB6FB3">
        <w:t>...</w:t>
      </w:r>
      <w:r>
        <w:t xml:space="preserve"> 2020 pronunţată de Tribunalul </w:t>
      </w:r>
      <w:r w:rsidR="00AB6FB3">
        <w:t>Z</w:t>
      </w:r>
      <w:r>
        <w:t xml:space="preserve">, a fost respinsă ca nefondată excepţia lipsei calităţii procesuale pasive a Inspectoratului Teritorial de Muncă </w:t>
      </w:r>
      <w:r w:rsidR="00AB6FB3">
        <w:t>Z</w:t>
      </w:r>
      <w:r>
        <w:t>.</w:t>
      </w:r>
    </w:p>
    <w:p w14:paraId="5564607C" w14:textId="1C29C24D" w:rsidR="00F7215E" w:rsidRDefault="00255492">
      <w:pPr>
        <w:ind w:firstLine="708"/>
        <w:jc w:val="both"/>
      </w:pPr>
      <w:r>
        <w:t xml:space="preserve">A fost admisă excepţia lipsei de interes cu privire la acţiunea formulată de reclamantele </w:t>
      </w:r>
      <w:r w:rsidR="00AB6FB3">
        <w:t>MA</w:t>
      </w:r>
      <w:r>
        <w:t xml:space="preserve">, </w:t>
      </w:r>
      <w:r w:rsidR="00AB6FB3">
        <w:t>NDL</w:t>
      </w:r>
      <w:r>
        <w:t xml:space="preserve"> și </w:t>
      </w:r>
      <w:r w:rsidR="00AB6FB3">
        <w:t>PL</w:t>
      </w:r>
      <w:r>
        <w:t xml:space="preserve"> şi în consecinţă a fost respinsă acţiunea formulată de acestea în contradictoriu cu  pârâţii Spitalul Clinic Municipal </w:t>
      </w:r>
      <w:r w:rsidR="00AB6FB3">
        <w:t>YY</w:t>
      </w:r>
      <w:r>
        <w:t xml:space="preserve">, Inspectoratul Teritorial de Muncă </w:t>
      </w:r>
      <w:r w:rsidR="00AB6FB3">
        <w:t>Z</w:t>
      </w:r>
      <w:r>
        <w:t xml:space="preserve"> şi Inspecţia Muncii.</w:t>
      </w:r>
    </w:p>
    <w:p w14:paraId="06D66212" w14:textId="450C7D11" w:rsidR="00F7215E" w:rsidRDefault="00255492">
      <w:pPr>
        <w:ind w:firstLine="708"/>
        <w:jc w:val="both"/>
      </w:pPr>
      <w:r>
        <w:t>A fost respinsă  acţiunea formulată de reclamanţii</w:t>
      </w:r>
      <w:r>
        <w:rPr>
          <w:rStyle w:val="Fontdeparagrafimplicit1"/>
          <w:b/>
        </w:rPr>
        <w:t xml:space="preserve"> </w:t>
      </w:r>
      <w:r w:rsidR="0059091A" w:rsidRPr="0059091A">
        <w:rPr>
          <w:b/>
          <w:bCs/>
        </w:rPr>
        <w:t>aprox. 187</w:t>
      </w:r>
      <w:r w:rsidR="0059091A">
        <w:t xml:space="preserve"> </w:t>
      </w:r>
      <w:r>
        <w:t xml:space="preserve">în contradictoriu cu  pârâţii Spitalul Clinic Municipal </w:t>
      </w:r>
      <w:r w:rsidR="00AB6FB3">
        <w:t>YY</w:t>
      </w:r>
      <w:r>
        <w:t xml:space="preserve">, Inspectoratul Teritorial de Muncă </w:t>
      </w:r>
      <w:r w:rsidR="00AB6FB3">
        <w:t>Z</w:t>
      </w:r>
      <w:r>
        <w:t xml:space="preserve"> şi Inspecţia Muncii. </w:t>
      </w:r>
    </w:p>
    <w:p w14:paraId="697D0B07" w14:textId="77777777" w:rsidR="00F7215E" w:rsidRDefault="00255492">
      <w:pPr>
        <w:ind w:firstLine="708"/>
        <w:jc w:val="both"/>
      </w:pPr>
      <w:r>
        <w:t xml:space="preserve">Pentru a pronunța astfel, tribunalul a reținut următoarele : </w:t>
      </w:r>
    </w:p>
    <w:p w14:paraId="7D1CF81C" w14:textId="589383DF" w:rsidR="00F7215E" w:rsidRDefault="00255492">
      <w:pPr>
        <w:ind w:firstLine="708"/>
        <w:jc w:val="both"/>
      </w:pPr>
      <w:r>
        <w:t>Între reclamanţi şi unitatea pârâtă Spitalul Clinic Municipal „</w:t>
      </w:r>
      <w:r w:rsidR="00AB6FB3">
        <w:t>YY</w:t>
      </w:r>
      <w:r>
        <w:t xml:space="preserve">” </w:t>
      </w:r>
      <w:r w:rsidR="00AB6FB3">
        <w:t>X</w:t>
      </w:r>
      <w:r>
        <w:t xml:space="preserve">, în perioada în litigiu, au existat raporturi de muncă, aceştia desfăşurând activitatea în cadrul secţiilor de pneumologie şi a laboratorului de bacteriologie BK având locaţia în localitatea </w:t>
      </w:r>
      <w:r w:rsidR="00AB6FB3">
        <w:t>X</w:t>
      </w:r>
      <w:r>
        <w:t xml:space="preserve">, str. </w:t>
      </w:r>
      <w:r w:rsidR="00AB6FB3">
        <w:t>...</w:t>
      </w:r>
      <w:r>
        <w:t xml:space="preserve"> nr.</w:t>
      </w:r>
      <w:r w:rsidR="00AB6FB3">
        <w:t>...</w:t>
      </w:r>
      <w:r>
        <w:t xml:space="preserve">, judeţul </w:t>
      </w:r>
      <w:r w:rsidR="00AB6FB3">
        <w:t>Z</w:t>
      </w:r>
      <w:r>
        <w:t xml:space="preserve"> precum şi în cadrul  Dispensarului TBC având locaţia în </w:t>
      </w:r>
      <w:r w:rsidR="00AB6FB3">
        <w:t>X</w:t>
      </w:r>
      <w:r>
        <w:t xml:space="preserve"> Str.</w:t>
      </w:r>
      <w:r w:rsidR="00AB6FB3">
        <w:t>...</w:t>
      </w:r>
      <w:r>
        <w:t xml:space="preserve"> nr.</w:t>
      </w:r>
      <w:r w:rsidR="00AB6FB3">
        <w:t>...</w:t>
      </w:r>
      <w:r>
        <w:t xml:space="preserve">, judeţul </w:t>
      </w:r>
      <w:r w:rsidR="00AB6FB3">
        <w:t>Z</w:t>
      </w:r>
      <w:r>
        <w:t xml:space="preserve">. </w:t>
      </w:r>
    </w:p>
    <w:p w14:paraId="5B6751F1" w14:textId="48E68ABB" w:rsidR="00F7215E" w:rsidRDefault="00255492">
      <w:pPr>
        <w:tabs>
          <w:tab w:val="left" w:pos="0"/>
        </w:tabs>
        <w:jc w:val="both"/>
      </w:pPr>
      <w:r>
        <w:tab/>
        <w:t xml:space="preserve">Instanţa, examinând cu precădere conform art. 248 Cod procedură civilă, excepţia lipsei de interes a reclamantelor </w:t>
      </w:r>
      <w:r w:rsidR="00AB6FB3">
        <w:t>MA</w:t>
      </w:r>
      <w:r>
        <w:t xml:space="preserve">, </w:t>
      </w:r>
      <w:r w:rsidR="00AB6FB3">
        <w:t>NDL</w:t>
      </w:r>
      <w:r>
        <w:t xml:space="preserve"> și </w:t>
      </w:r>
      <w:r w:rsidR="00AB6FB3">
        <w:t>PL</w:t>
      </w:r>
      <w:r>
        <w:t xml:space="preserve"> invocată de pârâtul Spitalul Clinic Municipal „</w:t>
      </w:r>
      <w:r w:rsidR="00AB6FB3">
        <w:t>YY</w:t>
      </w:r>
      <w:r>
        <w:t xml:space="preserve">” </w:t>
      </w:r>
      <w:r w:rsidR="00AB6FB3">
        <w:t>X</w:t>
      </w:r>
      <w:r>
        <w:t>, a apreciat-o ca întemeiată, pentru următoarele considerente :</w:t>
      </w:r>
    </w:p>
    <w:p w14:paraId="25BF697D" w14:textId="77777777" w:rsidR="00F7215E" w:rsidRDefault="00255492">
      <w:pPr>
        <w:tabs>
          <w:tab w:val="left" w:pos="0"/>
        </w:tabs>
        <w:jc w:val="both"/>
      </w:pPr>
      <w:r>
        <w:tab/>
        <w:t>Potrivit art.32 alin 1 lit. d din Codul de procedură civilă, una din condiţiile de exercitare a acţiunii civile este justificarea unui interes.</w:t>
      </w:r>
    </w:p>
    <w:p w14:paraId="3B3E9935" w14:textId="77777777" w:rsidR="00F7215E" w:rsidRDefault="00255492">
      <w:pPr>
        <w:tabs>
          <w:tab w:val="left" w:pos="0"/>
        </w:tabs>
        <w:jc w:val="both"/>
      </w:pPr>
      <w:r>
        <w:lastRenderedPageBreak/>
        <w:tab/>
        <w:t xml:space="preserve">Interesul trebuie să îndeplinească, potrivit art. 33 din Codul de procedură civilă, cumulativ, următoarele condiţii: să fie determinat, legitim, personal, născut şi actual. Neîndeplinirea oricăreia dintre aceste condiţii sus atrage respingerea acţiunii ca lipsită de interes. În definirea ultimei condiţii se arată că folosul practic trebuie să îl vizeze pe cel care recurge la forma procedurală, iar nu pe altcineva. </w:t>
      </w:r>
    </w:p>
    <w:p w14:paraId="6B8853F4" w14:textId="77777777" w:rsidR="00F7215E" w:rsidRDefault="00255492">
      <w:pPr>
        <w:tabs>
          <w:tab w:val="left" w:pos="0"/>
        </w:tabs>
        <w:jc w:val="both"/>
      </w:pPr>
      <w:r>
        <w:tab/>
        <w:t>În analiza condiției existenței interesului, trebuie verificat dacă reclamantul în cazul în care nu ar recurge la acţiune în momentul respectiv s-ar expune la un prejudiciu, adică trebuie să urmărească obținerea unui folos practic prin declanşarea procedurii judiciare.</w:t>
      </w:r>
    </w:p>
    <w:p w14:paraId="68099F57" w14:textId="12FB7170" w:rsidR="00F7215E" w:rsidRDefault="00255492">
      <w:pPr>
        <w:jc w:val="both"/>
      </w:pPr>
      <w:r>
        <w:rPr>
          <w:rStyle w:val="Fontdeparagrafimplicit1"/>
          <w:color w:val="FF0000"/>
        </w:rPr>
        <w:tab/>
      </w:r>
      <w:r>
        <w:t>Astfel cum rezultă din actele depuse la dosar, respectiv adresa nr.</w:t>
      </w:r>
      <w:r w:rsidR="00AB6FB3">
        <w:t>...</w:t>
      </w:r>
      <w:r>
        <w:t xml:space="preserve">/09.04.2013 şi lista persoanelor care lucrează în condiţii conform avizului emis de CNCAN pe anul 2012, reclamantele </w:t>
      </w:r>
      <w:r w:rsidR="00AB6FB3">
        <w:t>MA</w:t>
      </w:r>
      <w:r>
        <w:t xml:space="preserve">, </w:t>
      </w:r>
      <w:r w:rsidR="00AB6FB3">
        <w:t>NDL</w:t>
      </w:r>
      <w:r>
        <w:t xml:space="preserve"> şi </w:t>
      </w:r>
      <w:r w:rsidR="00AB6FB3">
        <w:t>PL</w:t>
      </w:r>
      <w:r>
        <w:t xml:space="preserve"> îşi desfăşoară activitatea în cadrul Laboratorului de Radiologie şi Imagistică din str. </w:t>
      </w:r>
      <w:r w:rsidR="00AB6FB3">
        <w:t>...</w:t>
      </w:r>
      <w:r>
        <w:t xml:space="preserve"> nr.</w:t>
      </w:r>
      <w:r w:rsidR="00AB6FB3">
        <w:t>...</w:t>
      </w:r>
      <w:r>
        <w:t xml:space="preserve">, loc de muncă pentru care s-a obţinut de către unitatea angajatoare reînnoirea avizului pentru încadrarea în condiţii deosebite de la CNCAN </w:t>
      </w:r>
      <w:r w:rsidR="00AB6FB3">
        <w:t>...</w:t>
      </w:r>
      <w:r>
        <w:t>, conform prevederilor art.3 din H.G. nr.246/2007, pentru anii 2013, 2014 şi 2015.</w:t>
      </w:r>
    </w:p>
    <w:p w14:paraId="5432B56E" w14:textId="67DCC0BC" w:rsidR="00F7215E" w:rsidRDefault="00255492">
      <w:pPr>
        <w:jc w:val="both"/>
      </w:pPr>
      <w:r>
        <w:tab/>
        <w:t xml:space="preserve">Susţinerea reclamantelor </w:t>
      </w:r>
      <w:r w:rsidR="00AB6FB3">
        <w:t>MA</w:t>
      </w:r>
      <w:r>
        <w:t xml:space="preserve">, </w:t>
      </w:r>
      <w:r w:rsidR="00AB6FB3">
        <w:t>NDL</w:t>
      </w:r>
      <w:r>
        <w:t xml:space="preserve"> şi </w:t>
      </w:r>
      <w:r w:rsidR="00AB6FB3">
        <w:t>PL</w:t>
      </w:r>
      <w:r>
        <w:t>, în sensul că interesul procesual există  chiar dacă activează în cadrul Laboratorului de Radiologie şi Imagistică Medicală, avizele pentru acest loc de muncă au fost obţinute având în vedere că lucrează în contact cu expunerea la radiaţii, ori la fel ca şi ceilalţi reclamanţi lucrează însă şi cu persoane bolnave din cadrul secţiilor de pneumologie, a laboratorului de bacteriologie BK şi a Dispensarului TBC, nu justifică existenta unui interes născut si actual în promovarea unei acţiuni în constatare, ce tinde la obţinerea încadrării locului de muncă în condiţii deosebite, câta vreme există menţiuni exprese în documentele unităţii angajatoare prin care ar putea dovedi această încadrare, în eventualitatea în care ar urmări obţinerea unui drept de asigurări sociale.</w:t>
      </w:r>
    </w:p>
    <w:p w14:paraId="38671B39" w14:textId="5637DB27" w:rsidR="00F7215E" w:rsidRDefault="00255492">
      <w:pPr>
        <w:tabs>
          <w:tab w:val="left" w:pos="0"/>
        </w:tabs>
        <w:jc w:val="both"/>
      </w:pPr>
      <w:r>
        <w:tab/>
        <w:t xml:space="preserve">Pentru aceste considerente, în temeiul art. 248 Cod proc. Civ. raportat la obiectul dedus judecăţii, instanţa a admis excepţia lipsei de interes a reclamantelor </w:t>
      </w:r>
      <w:r w:rsidR="00AB6FB3">
        <w:t>MA</w:t>
      </w:r>
      <w:r>
        <w:t xml:space="preserve">, </w:t>
      </w:r>
      <w:r w:rsidR="00AB6FB3">
        <w:t>NDL</w:t>
      </w:r>
      <w:r>
        <w:t xml:space="preserve"> şi </w:t>
      </w:r>
      <w:r w:rsidR="00AB6FB3">
        <w:t>PL</w:t>
      </w:r>
      <w:r>
        <w:t xml:space="preserve"> în formularea acţiunii şi a respins acţiunea acestora ca fiind lipsită de interes.</w:t>
      </w:r>
    </w:p>
    <w:p w14:paraId="668C2083" w14:textId="5EAE8C08" w:rsidR="00F7215E" w:rsidRDefault="00255492">
      <w:pPr>
        <w:jc w:val="both"/>
      </w:pPr>
      <w:r>
        <w:tab/>
        <w:t xml:space="preserve">În ceea ce priveşte excepţia lipsei calităţii procesuale pasive a Inspectoratului Teritorial de Muncă </w:t>
      </w:r>
      <w:r w:rsidR="00AB6FB3">
        <w:t>Z</w:t>
      </w:r>
      <w:r>
        <w:t>, instanţa a apreciat-o ca neîntemeiată şi a respins-o, având în vedere următoarele:</w:t>
      </w:r>
    </w:p>
    <w:p w14:paraId="28C83462" w14:textId="77777777" w:rsidR="00F7215E" w:rsidRDefault="00255492">
      <w:pPr>
        <w:jc w:val="both"/>
      </w:pPr>
      <w:r>
        <w:tab/>
        <w:t>În temeiul art.19 alin 3 din Legea nr.19/2000 a fost adoptată H.G. nr.261/2001 privind criteriile şi metodologia de încadrare a locurilor de muncă în condiţii deosebite. Potrivit dispoziţiilor art. 3 din H.G. nr.261/2001, încadrarea în condiţii deosebite se face în cadrul unei metodologii obligatorii are printre altele prevede şi obţinerea avizului Inspectoratului Teritorial de Muncă.</w:t>
      </w:r>
    </w:p>
    <w:p w14:paraId="238E5192" w14:textId="77777777" w:rsidR="00F7215E" w:rsidRDefault="00255492">
      <w:pPr>
        <w:jc w:val="both"/>
      </w:pPr>
      <w:r>
        <w:tab/>
        <w:t>Din analiza prevederilor art.2 alin 1 din H.G.nr.246/2007 privind metodologia de reînnoire a avizelor de încadrare a locurilor de muncă în condiţii deosebite, act normativ care abrogă H.G. nr.261/001, precum şi a prevederilor H.G. nr.1622/2008, H.G. nr.1274/2012, H.G. nr.1077/2013, H.G. 1173/2014 acte normative emise pentru modificarea şi completarea H.G. nr. 246/2007 privind metodologia de reînnoire a avizelor de încadrare a locurilor de munca în condiţii deosebite, instanţa reţine că reînnoirea avizului de încadrare a locurilor de muncă în condiţii deosebite se acordă de către Inspecţia Muncii, în baza unor documente însoţite de copia documentelor de control întocmite de către inspectoratul teritorial de muncă pe raza căruia îşi desfăşoară activitatea sau au sediul social, după caz. Angajatorii vor raporta lunar inspectoratelor teritoriale de muncă în a căror raza îşi desfăşoară activitatea stadiul realizării măsurilor prevăzute în vederea normalizării condiţiilor de muncă.</w:t>
      </w:r>
    </w:p>
    <w:p w14:paraId="25DC09D5" w14:textId="77777777" w:rsidR="00F7215E" w:rsidRDefault="00255492">
      <w:pPr>
        <w:jc w:val="both"/>
      </w:pPr>
      <w:r>
        <w:tab/>
        <w:t>Prin actele normative menţionate legiuitorul a conferit Inspectoratului Teritorial de Muncă competenţa de a realiza încadrarea locurilor de muncă în condiţii deosebite, de a reînnoi avizul de încadrare a locurilor de muncă în condiţii deosebite, de a fi deţinătorul  planului de prevenire şi protecţie conform art.6 din HG nr.nr.246/2007.</w:t>
      </w:r>
    </w:p>
    <w:p w14:paraId="05720846" w14:textId="5594527B" w:rsidR="00F7215E" w:rsidRDefault="00255492">
      <w:pPr>
        <w:jc w:val="both"/>
      </w:pPr>
      <w:r>
        <w:tab/>
        <w:t xml:space="preserve">Instanţa a mai reţinut faptul că pârâtul Inspectoratul Teritorial de Muncă </w:t>
      </w:r>
      <w:r w:rsidR="00AB6FB3">
        <w:t>Z</w:t>
      </w:r>
      <w:r>
        <w:t xml:space="preserve"> este o instituţie publică organizată în subordinea pârâtei Inspecţia Muncii </w:t>
      </w:r>
      <w:r w:rsidR="00AB6FB3">
        <w:t>...</w:t>
      </w:r>
      <w:r>
        <w:t xml:space="preserve">, care controlează aplicarea prevederilor legale, generale şi speciale, în domeniile relaţiilor de muncă, securităţii şi sănătăţii în muncă şi supravegherii pieţei, la toate persoanele juridice şi fizice din sectorul </w:t>
      </w:r>
      <w:r>
        <w:lastRenderedPageBreak/>
        <w:t xml:space="preserve">public, mixt, privat şi alte categorii de angajatori, în condiţiile Legii nr.108/1999 pentru înfiinţarea şi organizare a Inspecţiei Muncii. </w:t>
      </w:r>
    </w:p>
    <w:p w14:paraId="02B41B62" w14:textId="19E2E01A" w:rsidR="00F7215E" w:rsidRDefault="00255492">
      <w:pPr>
        <w:jc w:val="both"/>
      </w:pPr>
      <w:r>
        <w:tab/>
        <w:t xml:space="preserve">Pentru aceste motive instanţa a apreciat că pârâtul Inspectoratul Teritorial de Muncă </w:t>
      </w:r>
      <w:r w:rsidR="00AB6FB3">
        <w:t>Z</w:t>
      </w:r>
      <w:r>
        <w:t xml:space="preserve"> are calitate procesuală pasivă în prezenta cauză, şi a respins excepţia lipsei calităţii procesuale pasive a Inspectoratului Teritorial de Muncă </w:t>
      </w:r>
      <w:r w:rsidR="00AB6FB3">
        <w:t>Z</w:t>
      </w:r>
      <w:r>
        <w:t xml:space="preserve"> ca fiind nefondată.</w:t>
      </w:r>
    </w:p>
    <w:p w14:paraId="528B29AF" w14:textId="77777777" w:rsidR="00F7215E" w:rsidRDefault="00255492">
      <w:pPr>
        <w:ind w:firstLine="708"/>
        <w:jc w:val="both"/>
      </w:pPr>
      <w:r>
        <w:t>În ceea ce priveşte la fondul cauzei,</w:t>
      </w:r>
      <w:r>
        <w:rPr>
          <w:rStyle w:val="Fontdeparagrafimplicit1"/>
          <w:b/>
        </w:rPr>
        <w:t xml:space="preserve"> </w:t>
      </w:r>
      <w:r>
        <w:t>instanţa a reţinut că odată cu intrarea în vigoare a Legii nr.19/2000 a încetat şi posibilitatea încadrării angajaţilor în grupe de muncă, fiind însă reglementată o nouă procedură de încadrare în condiţii deosebite. În acest sens dispoziţiile art. 19 alin. 4 din Legea nr. 19/2000 au prevăzut în mod expres că locurile de muncă în condiţii deosebite se stabilesc prin contractul colectiv de muncă sau, în cazul în care nu se încheie contracte colective de muncă, prin decizia organului de conducere legal constituit, cu respectarea criteriilor şi metodologiei de încadrare prevăzute la alin. (2).</w:t>
      </w:r>
    </w:p>
    <w:p w14:paraId="3FCB096D" w14:textId="77777777" w:rsidR="00F7215E" w:rsidRDefault="00255492">
      <w:pPr>
        <w:ind w:firstLine="708"/>
        <w:jc w:val="both"/>
      </w:pPr>
      <w:r>
        <w:t>În consecinţă, legiuitorul a stabilit în mod expres şi limitativ posibilitatea încadrării unor locuri de muncă în condiţii deosebite, arătând că acest lucru poate rezulta exclusiv din contractul colectiv de muncă sau decizia organului de conducere legal constituit cu respectarea unei metodologii prestabilite.</w:t>
      </w:r>
    </w:p>
    <w:p w14:paraId="6B3565D3" w14:textId="77777777" w:rsidR="00F7215E" w:rsidRDefault="00255492">
      <w:pPr>
        <w:ind w:firstLine="708"/>
        <w:jc w:val="both"/>
      </w:pPr>
      <w:r>
        <w:t>Pentru punerea în aplicare a noii Legi nr.19/2000 a fost adoptată H.G.nr.261/2001 care reglementează în art. 2 alin. 1 criteriile pentru încadrarea locurilor de muncă în condiţii deosebite care sunt următoarele: a) prezenţa în mediul de muncă a noxelor profesionale fizice constând în zgomot, vibraţii, unde electromagnetice, presiune, radiaţii ionizante, radiaţii laser de putere neprotejate, precum şi a noxelor profesionale chimice sau biologice prevăzute în Normele generale de protecţie a muncii, care nu respectă limitele admise prevăzute în aceste norme; b) răspunsul specific al organismului la agresiunea noxei profesionale, evidenţiat prin indicatori de expunere şi/sau de efect biologic, stabiliţi prin ordin al ministrului sănătăţii şi familiei; c)morbiditatea, exprimată prin boli profesionale înregistrate la locul de muncă în ultimii 15 ani.</w:t>
      </w:r>
    </w:p>
    <w:p w14:paraId="7A903793" w14:textId="77777777" w:rsidR="00F7215E" w:rsidRDefault="00255492">
      <w:pPr>
        <w:ind w:firstLine="708"/>
        <w:jc w:val="both"/>
      </w:pPr>
      <w:r>
        <w:t xml:space="preserve">Aliniatul (2) al articolului 2 din H.G.nr.261/2001 prevede că încadrarea locurilor de muncă în condiţii deosebite se face cu respectarea dispoziţiilor art. 7 şi/sau art. 8, după caz, şi cu îndeplinirea cumulativă a criteriilor prevăzute la alin. (1) lit. a) şi b) sau la alin. (1) lit. a) şi c), iar  (3) al aceluiaşi articol arată că pentru locurile de muncă în care sunt prezente substanţe foarte periculoase notate cu Fp în anexele nr. 17 şi 18 la Normele generale de protecţie a muncii sau noxe profesionale biologice, care nu au prevăzută limită admisibilă, simpla prezenţă reprezintă noxă profesională. </w:t>
      </w:r>
    </w:p>
    <w:p w14:paraId="09B10036" w14:textId="77777777" w:rsidR="00F7215E" w:rsidRDefault="00255492">
      <w:pPr>
        <w:ind w:firstLine="708"/>
        <w:jc w:val="both"/>
      </w:pPr>
      <w:r>
        <w:t xml:space="preserve">Pe lângă condiţiile ce trebuiau îndeplinite, legea reglementa şi o procedură pe care societăţile trebuiau să o urmeze pentru încadrarea salariaţilor în condiţii deosebite de muncă. În baza art. 3 şi art. 4 din H.G.nr.261/2001 încadrarea locurilor de muncă în condiţii deosebite se face în cadrul unei metodologii, alcătuită dintr-o succesiune recomandată de operaţiuni specifice şi care constau într-o serie de operaţiuni, care în speţă nu au dovedite a fi îndeplinite. </w:t>
      </w:r>
    </w:p>
    <w:p w14:paraId="6661CA31" w14:textId="77777777" w:rsidR="00F7215E" w:rsidRDefault="00255492">
      <w:pPr>
        <w:ind w:firstLine="708"/>
        <w:jc w:val="both"/>
      </w:pPr>
      <w:r>
        <w:t>Potrivit art. 16 din HG nr. 261/2001 „Angajatorii care au locuri de muncă, activităţi şi categorii profesionale încadrate în grupele I şi a II-a de muncă vor face reevaluarea acestora, în vederea încadrării locurilor de muncă în condiţii deosebite, respectând dispoziţiile prezentei hotărâri, în cel mult 90 zile de la data intrării în vigoare a acesteia”.</w:t>
      </w:r>
    </w:p>
    <w:p w14:paraId="5096AAF1" w14:textId="77777777" w:rsidR="00F7215E" w:rsidRDefault="00255492">
      <w:pPr>
        <w:ind w:firstLine="708"/>
        <w:jc w:val="both"/>
      </w:pPr>
      <w:r>
        <w:t xml:space="preserve">Din aceste texte de lege rezultă că după ce se constată că sunt îndeplinite cumulativ toate condiţiile impuse de art. 2 alin. 1 din H.G. nr.261/2001, trebuiau parcurse în ordine cronologică următoarele etape: nominalizarea locurilor de muncă pentru care se solicitau condiţii deosebite, expertizarea locurilor de muncă, efectuarea determinărilor de noxe profesionale, solicitarea de către angajator de la Ministerul Sănătăţii a listei bolilor profesionale, efectuarea evaluării locurilor de muncă nominalizate, stabilirea măsurilor tehnice de protecţie a muncii, obţinerea avizului ITM şi stabilirea locurilor de muncă în condiţiile art. 19 alin. (4) din Legea nr. 19/2000. </w:t>
      </w:r>
      <w:r>
        <w:tab/>
        <w:t>Art. 5 alin. 3 din HG nr.261/2001 prevedea obligaţia angajatorului de a depune lunar la casele teritoriale de pensii lista cuprinzând persoanele care în luna anterioară au desfăşurat activitatea în locuri de muncă în condiţii deosebite.</w:t>
      </w:r>
    </w:p>
    <w:p w14:paraId="3F28C408" w14:textId="77777777" w:rsidR="00F7215E" w:rsidRDefault="00255492">
      <w:pPr>
        <w:ind w:firstLine="708"/>
        <w:jc w:val="both"/>
      </w:pPr>
      <w:r>
        <w:lastRenderedPageBreak/>
        <w:t>Instanţa a reţinut că parcurgerea procedurii analizate anterior, la nivelul fiecărui angajator, era obligatorie. Valabilitatea avizului obţinut ca urmare a respectării procedurii reglementată de H.G. nr. 261/2001 nu putea fi mai mare de 3 ani. Toate avizele obţinute au fost supuse prelungirii şi, din 2007, conform HG nr.246/2007, reînnoirii.</w:t>
      </w:r>
    </w:p>
    <w:p w14:paraId="19F530A3" w14:textId="77777777" w:rsidR="00F7215E" w:rsidRDefault="00255492">
      <w:pPr>
        <w:ind w:firstLine="708"/>
        <w:jc w:val="both"/>
      </w:pPr>
      <w:r>
        <w:t>Instanţa a constatat că potrivit art.11 din HG nr.261/2001, nominalizarea salariaţilor care îşi desfăşoară efectiv activitatea, pe întreaga durată a programului de lucru, în locurile de muncă încadrate în condiţii deosebite de muncă se face periodic de către angajator împreună cu sindicatele reprezentative potrivit legii sau, după caz, cu reprezentanţii salariaţilor. În conformitate cu art. 12 din acelaşi act normativ perioadele în care un salariat lucrează permanent în locuri de muncă în condiţii deosebite de stabilesc prin decizie a angajatorului care reglementează atribuţiile de serviciu ce revin fiecărui salariat conform sarcinii specifice, în raport cu funcţia îndeplinită. Aceste dispoziţiile legale au fost reluate şi prin art. 8 şi 9 din HG nr. 246/2007.</w:t>
      </w:r>
    </w:p>
    <w:p w14:paraId="6E57ACDC" w14:textId="77777777" w:rsidR="00F7215E" w:rsidRDefault="00255492">
      <w:pPr>
        <w:ind w:firstLine="708"/>
        <w:jc w:val="both"/>
      </w:pPr>
      <w:r>
        <w:t>Instanţa a reţinut faptul că încadrarea locurilor de muncă în condiţii deosebite în sensul art. 19 din Legea nr. 19/2000 s-a făcut începând cu data de 1 aprilie 2001 prin lege în virtutea competenţei constituţionale stabilite în favoarea legislativului de a edicta acte normative cu putere obligatorie, iar metodologia şi criteriile de încadrare a persoanelor şi locurilor de muncă în condiţii deosebite este prevăzută prin acte normative emise de puterea executivă în aplicarea legii, conform art. 107 din Constituţia României, art. 19 (2-4) din Legea pensiilor nr. 19/2000 şi art. 29 alin.1 din Legea nr. 263/2010.</w:t>
      </w:r>
    </w:p>
    <w:p w14:paraId="348F7759" w14:textId="77777777" w:rsidR="00F7215E" w:rsidRDefault="00255492">
      <w:pPr>
        <w:ind w:firstLine="708"/>
        <w:jc w:val="both"/>
      </w:pPr>
      <w:r>
        <w:t>Prin H.G. nr. 261/2001 şi apoi H.G. nr. 246/2007 s-au reglementat criteriile şi metodologia de încadrare a locurilor de muncă în condiţii deosebite. Ambele acte normative impun parcurgerea cronologică a mai multor etape de verificări, depunerea unor documente şi elaborarea unor avize de către organele special şi expres constituite în scopul îndeplinirii acestei proceduri. Aceste acte normative stabilesc clar, precis şi fără echivoc atât procedura de urmat pentru obţinerea avizului de îndeplinire a criteriilor de încadrare în condiţii deosebite cât şi dreptul şi mijlocul de contestare a refuzului nejustificat al angajatorului de a parcurge această procedură, astfel că nu există nici o încălcare a dreptului de acces în componentele sale stabilite de jurisprudenţa dezvoltată de Curtea Europeană a Drepturilor Omului în interpretarea art.6 din Convenţie.</w:t>
      </w:r>
    </w:p>
    <w:p w14:paraId="7EE25BE2" w14:textId="77777777" w:rsidR="00F7215E" w:rsidRDefault="00255492">
      <w:pPr>
        <w:ind w:firstLine="708"/>
        <w:jc w:val="both"/>
      </w:pPr>
      <w:r>
        <w:t>Instanţa a mai reţinut faptul că după intrarea în vigoare a H.G. nr. 246 din 7 martie 2007 respectiv data de 09.03.2007, nu mai este posibilă emiterea unor  noi avize de încadrare a locurilor de muncă în condiţii deosebite, ci numai reînnoirea etapizată a avizelor deja acordate.</w:t>
      </w:r>
    </w:p>
    <w:p w14:paraId="4CEBE30A" w14:textId="77777777" w:rsidR="00F7215E" w:rsidRDefault="00255492">
      <w:pPr>
        <w:ind w:firstLine="708"/>
        <w:jc w:val="both"/>
      </w:pPr>
      <w:r>
        <w:t>Prevederile H.G. nr. 246 din 07.03.2007 au fost modificate prin acte normative  care conţin prevederi cu privire la procedura de reînnoire a avizelor acordate, de încadrare a locurilor de muncă în condiţii deosebite, pentru fiecare an după cum urmează:</w:t>
      </w:r>
    </w:p>
    <w:p w14:paraId="1071CCE1" w14:textId="77777777" w:rsidR="00F7215E" w:rsidRDefault="00255492">
      <w:pPr>
        <w:ind w:firstLine="708"/>
        <w:jc w:val="both"/>
      </w:pPr>
      <w:r>
        <w:t>- H.G. nr. 1622/10.12.2008 cu privire la reînnoirea avizelor valabile până la data de 31 decembrie 2008 inclusiv;</w:t>
      </w:r>
    </w:p>
    <w:p w14:paraId="78CD89D5" w14:textId="77777777" w:rsidR="00F7215E" w:rsidRDefault="00255492">
      <w:pPr>
        <w:ind w:firstLine="708"/>
        <w:jc w:val="both"/>
      </w:pPr>
      <w:r>
        <w:t>- H.G. nr. 1627/29.12.2009 cu privire la reînnoirea avizelor valabile  până la data de 31.12.2009 inclusiv;</w:t>
      </w:r>
    </w:p>
    <w:p w14:paraId="002DB621" w14:textId="77777777" w:rsidR="00F7215E" w:rsidRDefault="00255492">
      <w:pPr>
        <w:ind w:firstLine="708"/>
        <w:jc w:val="both"/>
      </w:pPr>
      <w:r>
        <w:t>- H.G. nr. 1349/22.12.2010 cu privire la reînnoirea avizelor valabile până la data de 31.12.2010 inclusiv;</w:t>
      </w:r>
    </w:p>
    <w:p w14:paraId="74B0CC4D" w14:textId="77777777" w:rsidR="00F7215E" w:rsidRDefault="00255492">
      <w:pPr>
        <w:ind w:firstLine="708"/>
        <w:jc w:val="both"/>
      </w:pPr>
      <w:r>
        <w:t>- H.G. nr. 1280/27.12.2011 cu privire la reînnoirea avizelor valabile  până la data de 31.12.2011 inclusiv;</w:t>
      </w:r>
    </w:p>
    <w:p w14:paraId="3D9AAEA5" w14:textId="77777777" w:rsidR="00F7215E" w:rsidRDefault="00255492">
      <w:pPr>
        <w:ind w:firstLine="708"/>
        <w:jc w:val="both"/>
      </w:pPr>
      <w:r>
        <w:t>- H.G. nr. 1274/18.12.2012 cu privire la reînnoirea avizelor valabile  până la data de 31.12.2012 inclusiv;</w:t>
      </w:r>
    </w:p>
    <w:p w14:paraId="722ABDCA" w14:textId="77777777" w:rsidR="00F7215E" w:rsidRDefault="00255492">
      <w:pPr>
        <w:ind w:firstLine="708"/>
        <w:jc w:val="both"/>
      </w:pPr>
      <w:r>
        <w:t>- H.G. nr. 1077/11.12.2013 cu privire la reînnoirea avizelor valabile  până la data de 31.12.2013 inclusiv;</w:t>
      </w:r>
    </w:p>
    <w:p w14:paraId="6CBFE405" w14:textId="77777777" w:rsidR="00F7215E" w:rsidRDefault="00255492">
      <w:pPr>
        <w:ind w:firstLine="708"/>
        <w:jc w:val="both"/>
      </w:pPr>
      <w:r>
        <w:t>- H.G. nr. 1173/19.12.2014 cu privire la reînnoirea avizelor valabile  până la data de 31.12.2014;</w:t>
      </w:r>
    </w:p>
    <w:p w14:paraId="189B748D" w14:textId="77777777" w:rsidR="00F7215E" w:rsidRDefault="00255492">
      <w:pPr>
        <w:ind w:firstLine="708"/>
        <w:jc w:val="both"/>
      </w:pPr>
      <w:r>
        <w:t xml:space="preserve">- H.G. nr. 1044/30.12.2015 cu privire la reînnoirea avizelor valabile  până la data de 31.12.2015. </w:t>
      </w:r>
    </w:p>
    <w:p w14:paraId="1ED30BE2" w14:textId="77777777" w:rsidR="00F7215E" w:rsidRDefault="00255492">
      <w:pPr>
        <w:ind w:firstLine="708"/>
        <w:jc w:val="both"/>
      </w:pPr>
      <w:r>
        <w:lastRenderedPageBreak/>
        <w:t>Având în vederea succesiunea în timp actelor normative, instanţa a reţinut că pentru a fi reînnoit un aviz de încadrare a locurilor de muncă în condiţii deosebite pentru un an în curs, acesta trebuie să fie valabil până la finele anului precedent şi se acordă urmare analizării  documentelor  potrivit art. 2 alin. 1 din H.G. nr.246/2007 modificată şi completată prin actele normative mai sus menţionate.</w:t>
      </w:r>
    </w:p>
    <w:p w14:paraId="217B9B98" w14:textId="6E0AF6E6" w:rsidR="00F7215E" w:rsidRDefault="00255492">
      <w:pPr>
        <w:ind w:firstLine="708"/>
        <w:jc w:val="both"/>
      </w:pPr>
      <w:r>
        <w:t xml:space="preserve">Din actele depuse la dosarul cauzei, instanţa a constatat că unitatea angajatoare prin adresa nr. </w:t>
      </w:r>
      <w:r w:rsidR="007A2BAF">
        <w:t>...</w:t>
      </w:r>
      <w:r>
        <w:t xml:space="preserve"> din 17.01.2013 şi adresa </w:t>
      </w:r>
      <w:r w:rsidR="007A2BAF">
        <w:t>...</w:t>
      </w:r>
      <w:r>
        <w:t xml:space="preserve"> din 13.03.2013 a solicitat pârâtei Inspecţia Muncii reînnoirea avizelor de încadrare în condiţii deosebite începând cu data de 01.01.2013, conform prevederilor HG nr. 246/2007 modificată prin HG nr. 1274/2012, pentru secţiile şi compartimentele în care nu s-au realizat măsurile necesare în vederea normalizării condiţiilor de muncă: laboratorul de analize medicale, laboratorul de anatomie patologică, secţiile şi compartimentele de pneumoftiziologie, secţiile şi compartimentele de boli infecţioase - filele 48 şi 49 dosar primul ciclu procesual.</w:t>
      </w:r>
    </w:p>
    <w:p w14:paraId="1E0CDC6E" w14:textId="21E892CC" w:rsidR="00F7215E" w:rsidRDefault="00255492">
      <w:pPr>
        <w:jc w:val="both"/>
      </w:pPr>
      <w:r>
        <w:tab/>
        <w:t xml:space="preserve">Urmare a analizării îndeplinirii condiţiilor pentru reînnoirea avizelor de încadrare a locurilor de muncă în condiţii deosebite, Comisia constituită la nivelul Inspecţiei Muncii în temeiul art. 2 alin. 1 din H.G. nr. 1274/2012, a hotărât neacordarea reînnoirii avizului de încadrare a locurilor de muncă în condiţii deosebite, cu motivaţia că documentele transmise nu îndeplinesc cerinţele prevăzute de HG nr. 246/2007 şi cu solicitarea completării acestora  aspect comunicat unităţii angajatoare prin adresa nr. </w:t>
      </w:r>
      <w:r w:rsidR="007A2BAF">
        <w:t>...</w:t>
      </w:r>
      <w:r>
        <w:t>/21.03.2013 emisă de Inspecţia Muncii.</w:t>
      </w:r>
    </w:p>
    <w:p w14:paraId="6E712300" w14:textId="4878271D" w:rsidR="00F7215E" w:rsidRDefault="00255492">
      <w:pPr>
        <w:jc w:val="both"/>
      </w:pPr>
      <w:r>
        <w:t xml:space="preserve"> </w:t>
      </w:r>
      <w:r>
        <w:tab/>
        <w:t>Pârâtul Spitalul Clinic Municipal „</w:t>
      </w:r>
      <w:r w:rsidR="00AB6FB3">
        <w:t>YY</w:t>
      </w:r>
      <w:r>
        <w:t xml:space="preserve">” </w:t>
      </w:r>
      <w:r w:rsidR="00AB6FB3">
        <w:t>X</w:t>
      </w:r>
      <w:r>
        <w:t xml:space="preserve"> a arătat prin întâmpinare că nu deţine alte documente care să conţină informaţii cu privire la influenţa noxelor asupra stării de sănătate a lucrătorilor în afara celor  depuse pârâtului Inspecţia Muncii- fila 43 la dosar primul ciclu procesual.</w:t>
      </w:r>
    </w:p>
    <w:p w14:paraId="0558BC4D" w14:textId="07C05FA2" w:rsidR="00F7215E" w:rsidRDefault="00255492">
      <w:pPr>
        <w:jc w:val="both"/>
      </w:pPr>
      <w:r>
        <w:tab/>
        <w:t xml:space="preserve"> Prin adresa nr.</w:t>
      </w:r>
      <w:r w:rsidR="007A2BAF">
        <w:t>...</w:t>
      </w:r>
      <w:r>
        <w:t xml:space="preserve"> din 23.04.2013, pârâta Inspecţia Muncii a comunicat Spitalului Clinic Municipal „</w:t>
      </w:r>
      <w:r w:rsidR="00AB6FB3">
        <w:t>YY</w:t>
      </w:r>
      <w:r>
        <w:t xml:space="preserve">” </w:t>
      </w:r>
      <w:r w:rsidR="00AB6FB3">
        <w:t>X</w:t>
      </w:r>
      <w:r>
        <w:t xml:space="preserve"> că urmare a faptului că documentele  transmise nu îndeplinesc cerinţelor prevăzute de  H.G. nr. 246/2007, începând cu data de 01.01.2013 locurile de muncă pentru care a solicitat reînnoirea avizului  nu vor mai fi considerate locuri de muncă în condiţii deosebite, sens în care pârâta a emis decizia nr. </w:t>
      </w:r>
      <w:r w:rsidR="007A2BAF">
        <w:t>..</w:t>
      </w:r>
      <w:r>
        <w:t xml:space="preserve"> din 01.04.2013 (f. 32 dosar primul ciclu procesual).</w:t>
      </w:r>
    </w:p>
    <w:p w14:paraId="383C8ED8" w14:textId="126C2549" w:rsidR="00F7215E" w:rsidRDefault="00255492">
      <w:pPr>
        <w:jc w:val="both"/>
      </w:pPr>
      <w:r>
        <w:tab/>
        <w:t>Reclamanţii au solicitat constatarea faptului că în perioada 2013-2015 locurile de muncă din cadrul secţiilor de pneumologie şi a laboratorului de bacteriologie BK şi a Dispensarului TBC aparţinând Spitalului Clinic Municipal „</w:t>
      </w:r>
      <w:r w:rsidR="00AB6FB3">
        <w:t>YY</w:t>
      </w:r>
      <w:r>
        <w:t xml:space="preserve">” </w:t>
      </w:r>
      <w:r w:rsidR="00AB6FB3">
        <w:t>X</w:t>
      </w:r>
      <w:r>
        <w:t xml:space="preserve">, se încadrează ca fiind locuri de muncă în condiţii deosebite conform dispoziţiilor art. 29 din Legea nr. 263/2010 precum şi obligarea pârâtelor la reînnoirea Avizului nr. </w:t>
      </w:r>
      <w:r w:rsidR="007A2BAF">
        <w:t>...</w:t>
      </w:r>
      <w:r>
        <w:t xml:space="preserve"> pentru încadrarea locurilor de muncă pentru sediile şi compartimentele de pneumoftiziologie până la data de 31 decembrie 2018, în conformitate cu prevederile H.G. nr. 1014/2015. </w:t>
      </w:r>
    </w:p>
    <w:p w14:paraId="0640C924" w14:textId="77777777" w:rsidR="00F7215E" w:rsidRDefault="00255492">
      <w:pPr>
        <w:ind w:firstLine="708"/>
        <w:jc w:val="both"/>
      </w:pPr>
      <w:r>
        <w:t xml:space="preserve">Problema de drept în litigiu a fost tranşată de Înalta Curte de Casaţie şi Justiţie prin  Decizia RIL nr.12/2016 în care  a stabilit că: ” În interpretarea şi aplicarea dispoziţiilor art. 19 din Legea nr. 19/2000 privind sistemul public de pensii şi alte drepturi de asigurări sociale, cu modificările şi completările ulterioare, art. 29 alin. (1) din Legea nr. 263/2010 privind sistemul unitar de pensii publice, cu modificările şi completările ulterioare, raportate la art. 2 alin. (2), art. 3, art. 4, art. 11, art. 12, art. 15, art. 16 şi art. 18 din Hotărârea Guvernului nr. 261/2001 privind criteriile şi metodologia de încadrare a locurilor de muncă în condiţii deosebite, cu modificările şi completările ulterioare, respectiv, art. 1 – art. 4, art. 7 – art. 9, art. 13 alin. (4) şi art. 131 din Hotărârea Guvernului nr. 246/2007 privind metodologia de reînnoire a avizelor de încadrare a locurilor de muncă în condiţii deosebite, cu modificările şi completările ulterioare, </w:t>
      </w:r>
      <w:r>
        <w:rPr>
          <w:rStyle w:val="Fontdeparagrafimplicit1"/>
          <w:i/>
        </w:rPr>
        <w:t>nu este deschisă calea unei acţiuni în constatare de drept comun a condiţiilor deosebite de muncă în care angajaţii şi-au desfăşurat activitatea după data de 1 aprilie 2001 şi nici a acţiunii în obligare a angajatorilor la încadrarea locurilor de muncă în aceste condiţii, atunci când aceştia din urmă nu au obţinut sau, după caz, nu au reînnoit avizele pentru încadrarea locurilor de muncă în aceste condiţii</w:t>
      </w:r>
      <w:r>
        <w:t>.”</w:t>
      </w:r>
    </w:p>
    <w:p w14:paraId="7E71274B" w14:textId="77777777" w:rsidR="00F7215E" w:rsidRDefault="00255492">
      <w:pPr>
        <w:jc w:val="both"/>
      </w:pPr>
      <w:r>
        <w:tab/>
        <w:t xml:space="preserve">De asemenea, Înalta Curte de Casaţie şi Justiţie a reţinut că similar metodologiei prevăzute de HG nr. 261/2001, cu modificările şi completările ulterioare, procedura instituită </w:t>
      </w:r>
      <w:r>
        <w:lastRenderedPageBreak/>
        <w:t>prin noua reglementare (HG nr. 246/2007) a presupus parcurgerea mai multor etape în ordinea cronologică arătată de art. 2 alin. (1)-(3) şi art.8, se reglementau obligaţia autorităţii administrative competente de a soluţiona cererea de reînnoire a avizului prin analiza îndeplinirii atât a condiţiilor de formă referitoare la cerere, respectiv a depunerii documentaţiei prevăzute de metodologie în termenele stabilite pentru derularea acesteia, cât şi a îndeplinirii condiţiilor de fond, precum şi posibilitatea angajatorului, care nu a obţinut reînnoirea avizului pentru încadrarea locurilor de muncă în condiţii deosebite, de a contesta refuzul autorităţii publice la Inspecţia Muncii sau direct la instanţa competentă (pct.56).</w:t>
      </w:r>
    </w:p>
    <w:p w14:paraId="55FD5172" w14:textId="77777777" w:rsidR="00F7215E" w:rsidRDefault="00255492">
      <w:pPr>
        <w:jc w:val="both"/>
      </w:pPr>
      <w:r>
        <w:tab/>
        <w:t>Potrivit art. 29 alin. (1) din Legea nr. 263/2010 intrată în vigoare la data de 01.01.2011, cu modificările şi completările ulterioare,  sunt considerate încadrate în condiţii deosebite doar locurile de muncă stabilite în baza criteriilor şi metodologiei prevăzute de legislaţia în vigoare la data încadrării acestora.</w:t>
      </w:r>
    </w:p>
    <w:p w14:paraId="722A5D26" w14:textId="77777777" w:rsidR="00F7215E" w:rsidRDefault="00255492">
      <w:pPr>
        <w:jc w:val="both"/>
      </w:pPr>
      <w:r>
        <w:tab/>
        <w:t>Prin OG nr.65/2015 au fost introduse în cuprinsul art. 29 din Legea nr. 263/2010, cu modificările şi completările ulterioare, noi alineate, alin. (1^1) şi (1^2), potrivit cărora locurile de muncă pot fi menţinute în condiţii deosebite, prin reînnoirea avizelor de încadrare pe baza metodologiei stabilite prin hotărâre a Guvernului pentru o perioadă de maximum 3 ani, începând cu data de 1 ianuarie 2016, termen în care angajatorii au obligaţia de a normaliza condiţiile de muncă. Aceste dispoziţii confirmă prioritatea legiuitorului pentru normalizarea condiţiilor de muncă, încadrarea locurilor de muncă în condiţii deosebite fiind tratată legislativ ca o alternativă subsidiară şi temporară, supusă unor condiţii de recunoaştere şi menţinere strict reglementate la nivel infralegislativ.</w:t>
      </w:r>
    </w:p>
    <w:p w14:paraId="5E4479BB" w14:textId="77777777" w:rsidR="00F7215E" w:rsidRDefault="00255492">
      <w:pPr>
        <w:jc w:val="both"/>
      </w:pPr>
      <w:r>
        <w:t xml:space="preserve">     </w:t>
      </w:r>
      <w:r>
        <w:tab/>
        <w:t>În aplicarea prevederilor art. 29 alin. (1^1) din Legea nr. 263/2010, cu modificările şi completările ulterioare, a fost emisă HG  nr. 1.014/2015 privind metodologia de reînnoire a avizelor de încadrare a locurilor de muncă în condiţii deosebite, în vigoare din data de 1 ianuarie 2016, care, în esenţă, instituie aceleaşi etape anterior prevăzute prin HG nr. 246/2007, cu modificările şi completările ulterioare. Din sfera sa de aplicare, expres şi limitativ determinată prin art. 1 alin. (2), fac parte doar angajatorii care deţineau la data de 31 decembrie 2015 avizul de încadrare a locurilor de muncă în condiţii deosebite reînnoit şi care nu au realizat până la această dată măsurile necesare în vederea normalizării condiţiilor de muncă pentru locurile de muncă în condiţii deosebite (pct.58-60 din Decizia nr.12/23.05.2016).</w:t>
      </w:r>
    </w:p>
    <w:p w14:paraId="03FEEFC0" w14:textId="77777777" w:rsidR="00F7215E" w:rsidRDefault="00255492">
      <w:pPr>
        <w:jc w:val="both"/>
      </w:pPr>
      <w:r>
        <w:tab/>
        <w:t>Înalta Curte de Casaţie şi Justiţie, concluzionând, a statuat că instanţa nu se poate substitui organelor administrative, eludând procedura ce intră în competenţa acestora, pentru a recunoaşte apartenenţa unor locuri de muncă la categoria celor aflate în astfel de condiţii. În acest sens, dacă avizele emise pentru angajator, ce nu includ locurile de muncă ale reclamanţilor, nu au fost contestate în procedura administrativă prevăzută de art. 18 din HG  nr. 261/2001, cu modificările şi completările ulterioare, iar ulterior, la instanţa de contencios administrativ ori, după caz, în condiţiile art. 4 din HG nr. 246/2007, cu modificările şi completările ulterioare, fie la Inspecţia Muncii, fie direct, la instanţa de judecată competentă, acestea se bucură de prezumţia de legalitate. Absenţa acestor acte administrative prezumă că activitatea se desfăşoară în condiţii normale.</w:t>
      </w:r>
    </w:p>
    <w:p w14:paraId="6640530B" w14:textId="77777777" w:rsidR="00F7215E" w:rsidRDefault="00255492">
      <w:pPr>
        <w:jc w:val="both"/>
      </w:pPr>
      <w:r>
        <w:tab/>
        <w:t>Instanţele de judecată nu se pot substitui partenerilor sociali şi autorităţilor administrative cu atribuţii în aplicarea legii (inspectorate teritoriale de muncă, Inspecţia Muncii şi Comisia Naţională pentru Controlul Activităţilor Nucleare), îndrituite să constate, în cadrul unei proceduri strict reglementate, condiţiile concrete de muncă, situaţia medicală a lucrătorilor care au activat/activează în aceste locuri de muncă, să analizeze planul de prevenire şi protecţie întocmit de angajator pentru îmbunătăţirea nivelului securităţii şi al protecţiei sănătăţii lucrătorilor şi să dispună, în final, încadrarea sau nu a unor locuri de muncă în condiţii deosebite (pct-81 şi 82 ).</w:t>
      </w:r>
    </w:p>
    <w:p w14:paraId="4CBEB2F9" w14:textId="77777777" w:rsidR="00F7215E" w:rsidRDefault="00255492">
      <w:pPr>
        <w:ind w:firstLine="708"/>
        <w:jc w:val="both"/>
      </w:pPr>
      <w:r>
        <w:t xml:space="preserve">Înalta Curte a mai reţinut că excedează abilitării instanţei de drept comun a statua asupra încadrării/reevaluării locului de muncă, întrucât legiuitorul nu a deschis, în această situaţie, calea dreptului comun, abilitând instanţa de judecată să preia atribuţiile organului administrativ din respectiva procedură (în ceea ce priveşte constatarea tehnico-ştiinţifică şi </w:t>
      </w:r>
      <w:r>
        <w:lastRenderedPageBreak/>
        <w:t>medicală şi avizarea locului de muncă ca fiind încadrabil în condiţii deosebite/speciale). În cazul de faţă nu există nici o prevedere legală sau constituţională care să confere instanţelor judecătoreşti competenţa de a înlătura normele juridice instituite prin lege care vizează procedura administrativă dată în competenţa organelor specializate ale statului şi termenele de desfăşurare, întrucât printr-o asemenea practică s-ar încălca principiul separaţiei puterilor, consacrat în art. 1 alin. (4) din Constituţia României. (pct.101 şi 102 din Decizia nr.12/23.05.2016).</w:t>
      </w:r>
    </w:p>
    <w:p w14:paraId="4AE4DC77" w14:textId="77777777" w:rsidR="00F7215E" w:rsidRDefault="00255492">
      <w:pPr>
        <w:ind w:firstLine="708"/>
        <w:jc w:val="both"/>
      </w:pPr>
      <w:r>
        <w:t>Faţă de aceste considerente, instanţa a dat eficienţă şi Deciziei RIL nr.12/23 mai 2016 a Înaltei Curţi de Casaţie şi Justiţie, raportat la art. 517, alin. 4 Noul Cod de procedură civilă şi a respins acţiunea reclamanţilor ca fiind neîntemeiată.</w:t>
      </w:r>
    </w:p>
    <w:p w14:paraId="48EA8B2F" w14:textId="77777777" w:rsidR="00F7215E" w:rsidRDefault="00255492">
      <w:pPr>
        <w:ind w:firstLine="708"/>
        <w:jc w:val="both"/>
      </w:pPr>
      <w:r>
        <w:t xml:space="preserve">Instanța a luat act că intimații nu au solicitat cheltuieli de judecată în litigiul de față în condițiile art 453 Noul Cod de procedură civilă. </w:t>
      </w:r>
    </w:p>
    <w:p w14:paraId="68EA6EA0" w14:textId="17DDEBFE" w:rsidR="00F7215E" w:rsidRDefault="00255492">
      <w:pPr>
        <w:ind w:firstLine="708"/>
        <w:jc w:val="both"/>
      </w:pPr>
      <w:r>
        <w:rPr>
          <w:rStyle w:val="Fontdeparagrafimplicit1"/>
          <w:b/>
        </w:rPr>
        <w:t xml:space="preserve">Împotriva acestei sentinţe în termne legal au declarat apel reclamanţii </w:t>
      </w:r>
      <w:r w:rsidR="0059091A">
        <w:rPr>
          <w:rStyle w:val="Fontdeparagrafimplicit1"/>
          <w:b/>
        </w:rPr>
        <w:t>(</w:t>
      </w:r>
      <w:r w:rsidR="0059091A" w:rsidRPr="0059091A">
        <w:rPr>
          <w:b/>
          <w:bCs/>
        </w:rPr>
        <w:t>aprox. 187</w:t>
      </w:r>
      <w:r w:rsidR="0059091A">
        <w:rPr>
          <w:b/>
          <w:bCs/>
        </w:rPr>
        <w:t>)</w:t>
      </w:r>
      <w:r w:rsidR="0059091A">
        <w:t xml:space="preserve"> </w:t>
      </w:r>
      <w:r>
        <w:t xml:space="preserve">solictând admiterea apelului, schimbarea în totalitate a hotărârii atacate în sensul admiterii cererii de chemare în judecată. </w:t>
      </w:r>
    </w:p>
    <w:p w14:paraId="04A2E731" w14:textId="77777777" w:rsidR="00F7215E" w:rsidRDefault="00255492">
      <w:pPr>
        <w:ind w:firstLine="708"/>
        <w:jc w:val="both"/>
        <w:rPr>
          <w:rStyle w:val="Fontdeparagrafimplicit1"/>
        </w:rPr>
      </w:pPr>
      <w:r>
        <w:t xml:space="preserve">În motivarea apelului au arătat că instanţa de fond a concluzionat că problema de drept în litigiu a fost tranşată de Înalta Curte de Casaţie şi Justiţie prin Decizia RIL nr.12/2016 în care a stabilit că  „În interpretarea şi aplicarea dispoziţiilor art. 19 din Legea nr. 19/2000 privind sistemul public de pensii şi alte drepturi de asigurări sociale, cu modificările şi completările ulterioare, art. 29 alin. (1) din Legea nr. 263/2010 privind sistemul unitar de pensii publice, cu modificările şi completările ulterioare, raportate la art. 2 alin. (2), art. 3, art. 4, art. 11, art. 12, art. 15, art. 16 şi art. 18 din Hotărârea Guvernului nr. 261/2001 privind criteriile şi metodologia de încadrare a locurilor de muncă în condiţii deosebite, cu modificările şi completările ulterioare, respectiv, art. 1 – art. 4, art. 7 – art. 9, art. 13 alin. (4) şi art. 131 din Hotărârea Guvernului nr. 246/2007 privind metodologia de reînnoire a avizelor de încadrare a locurilor de muncă în condiţii deosebite, cu modificările şi completările ulterioare, </w:t>
      </w:r>
      <w:r>
        <w:rPr>
          <w:rStyle w:val="Fontdeparagrafimplicit1"/>
          <w:i/>
        </w:rPr>
        <w:t>nu este deschisă calea unei acţiuni în constatare de drept comun a condiţiilor deosebite de muncă în care angajaţii şi-au desfăşurat activitatea după data de 1 aprilie 2001 şi nici a acţiunii în obligare a angajatorilor la încadrarea locurilor de muncă în aceste condiţii, atunci când aceştia din urmă nu au obţinut sau, după caz, nu au reînnoit avizele pentru încadrarea locurilor de muncă în aceste condiţii”.</w:t>
      </w:r>
    </w:p>
    <w:p w14:paraId="788BE7F6" w14:textId="77777777" w:rsidR="00F7215E" w:rsidRDefault="00255492">
      <w:pPr>
        <w:ind w:firstLine="708"/>
        <w:jc w:val="both"/>
      </w:pPr>
      <w:r>
        <w:t>Ca urmare, instanţa nu se poate substitui organelor administrative, eludând procedura ce intră în competenţa acestora, pentru a recunoaşte apartenenţa unor locuri de muncă la categoria celor aflate în astfel de condiţii. În acest sens, dacă avizele emise pentru angajator, ce nu includ locurile de muncă ale reclamanţilor, nu au fost contestate în procedura administrativă prevăzută de art. 18 din HG  nr. 261/2001, cu modificările şi completările ulterioare, iar ulterior, la instanţa de contencios administrativ ori, după caz, în condiţiile art. 4 din HG nr. 246/2007, cu modificările şi completările ulterioare, fie la Inspecţia Muncii, fie direct, la instanţa de judecată competentă, acestea se bucură de prezumţia de legalitate. Absenţa acestor acte administrative prezumă că activitatea se desfăşoară în condiţii normale.</w:t>
      </w:r>
    </w:p>
    <w:p w14:paraId="2A4ECC2B" w14:textId="77777777" w:rsidR="00F7215E" w:rsidRDefault="00255492">
      <w:pPr>
        <w:ind w:firstLine="708"/>
        <w:jc w:val="both"/>
      </w:pPr>
      <w:r>
        <w:t xml:space="preserve">Or, din cele reţinute de instanţa de fond în aplicarea Deciziei RIL nr.12/2016 a ÎCCJ, situaţia dedusă judecăţii în litigiul de faţă este una cu totul deosebită motiv pentru care instanţa de judecată este în măsură să nu dea eficienţă deciziei menţionate în condiţiile în care, prin aplicarea acesteia şi soluţia pronunţată sunt încălcate drepturi fundamentale ale reclamanţilor regăsite atât în Convenţia Europeană a Drepturilor Omului cât şi în Constituţia României.     </w:t>
      </w:r>
    </w:p>
    <w:p w14:paraId="2BFB5494" w14:textId="3B4B8C74" w:rsidR="00F7215E" w:rsidRDefault="00255492">
      <w:pPr>
        <w:ind w:firstLine="710"/>
        <w:jc w:val="both"/>
        <w:rPr>
          <w:rStyle w:val="Fontdeparagrafimplicit1"/>
          <w:color w:val="000000"/>
        </w:rPr>
      </w:pPr>
      <w:r>
        <w:t xml:space="preserve">Au arătat apelanţii că </w:t>
      </w:r>
      <w:r>
        <w:rPr>
          <w:rStyle w:val="Fontdeparagrafimplicit1"/>
          <w:color w:val="000000"/>
        </w:rPr>
        <w:t>prin acţiunea formulată au solicitat constatarea faptului că în perioada 2013-2015 locurile de muncă din cadrul secțiilor de pneumologie şi a laboratorului de bacteriologie BK si a Dispensarului TBC aparținând Spitalului Clinic Municipal „</w:t>
      </w:r>
      <w:r w:rsidR="007A2BAF">
        <w:rPr>
          <w:rStyle w:val="Fontdeparagrafimplicit1"/>
          <w:color w:val="000000"/>
        </w:rPr>
        <w:t>YY</w:t>
      </w:r>
      <w:r>
        <w:rPr>
          <w:rStyle w:val="Fontdeparagrafimplicit1"/>
          <w:color w:val="000000"/>
        </w:rPr>
        <w:t xml:space="preserve">" </w:t>
      </w:r>
      <w:r w:rsidR="00AB6FB3">
        <w:rPr>
          <w:rStyle w:val="Fontdeparagrafimplicit1"/>
          <w:color w:val="000000"/>
        </w:rPr>
        <w:t>X</w:t>
      </w:r>
      <w:r>
        <w:rPr>
          <w:rStyle w:val="Fontdeparagrafimplicit1"/>
          <w:color w:val="000000"/>
        </w:rPr>
        <w:t>, se încadrează ca fiind locuri de muncă în condiţii deosebite conform dispozițiilor art. 29 din Legea nr.263/2010 precum obligarea pârâtelor la reînnoirea Avizului nr. OIOR pentru încadrarea locurilor de muncă pentru sediile şi compartimentele de pneumoftiziologie până la data de 31 decembrie 2018, în conformitate cu prevederile H.G. nr. 1014/2015.</w:t>
      </w:r>
    </w:p>
    <w:p w14:paraId="63E88C21" w14:textId="07F2BCDF" w:rsidR="00F7215E" w:rsidRDefault="00255492">
      <w:pPr>
        <w:ind w:firstLine="710"/>
        <w:jc w:val="both"/>
      </w:pPr>
      <w:r>
        <w:lastRenderedPageBreak/>
        <w:t>Ori neîncadrarea locurilor de muncă ale apelanţilor în condiţii deosebite în perioada menţionată s-a produs nu ca urmare a faptului că în locurile de muncă respective nu s-ar mai fi generat noxe care să pună în pericol sănătatea acestora ci, locurile de muncă respective nu au fost încadrate în condiţii deosebite din culpa intimatului Spitalul Clinic Municipal „</w:t>
      </w:r>
      <w:r w:rsidR="007A2BAF">
        <w:t>YY</w:t>
      </w:r>
      <w:r>
        <w:t xml:space="preserve">" </w:t>
      </w:r>
      <w:r w:rsidR="00AB6FB3">
        <w:t>X</w:t>
      </w:r>
      <w:r>
        <w:t xml:space="preserve"> ca urmare a faptului că nu a trimis către Inspecția Muncii documentele necesare în timp util pe de o parte iar pe de altă parte documentele trimise tardiv prin care a solicitat reînnoirea avizului nu au îndeplinit cerințelor prevăzute de H.G. nr. 246/2007, motiv pentru care începând cu data de 01.01.2013 locurile de muncă pentru care Spitalul Clinic Municipal „</w:t>
      </w:r>
      <w:r w:rsidR="00AB6FB3">
        <w:t>YY</w:t>
      </w:r>
      <w:r>
        <w:t xml:space="preserve">" </w:t>
      </w:r>
      <w:r w:rsidR="00AB6FB3">
        <w:t>X</w:t>
      </w:r>
      <w:r>
        <w:t xml:space="preserve"> a solicitat reînnoirea avizului nu au mai fost considerate locuri de muncă în condiţii deosebite. </w:t>
      </w:r>
    </w:p>
    <w:p w14:paraId="6B54AA13" w14:textId="77777777" w:rsidR="00F7215E" w:rsidRDefault="00255492">
      <w:pPr>
        <w:ind w:left="14" w:right="14" w:firstLine="710"/>
        <w:jc w:val="both"/>
        <w:rPr>
          <w:rStyle w:val="Fontdeparagrafimplicit1"/>
          <w:color w:val="000000"/>
        </w:rPr>
      </w:pPr>
      <w:r>
        <w:rPr>
          <w:rStyle w:val="Fontdeparagrafimplicit1"/>
          <w:color w:val="000000"/>
        </w:rPr>
        <w:t>De altfel, sub acest aspect trebuie observată şi reținerea instanţei de fond care precizează faptul că, în lipsa actelor administrative (avizul) se prezumă faptul că activitatea de desfășoară în condiţii normale.</w:t>
      </w:r>
    </w:p>
    <w:p w14:paraId="2A0D7DCF" w14:textId="77777777" w:rsidR="00F7215E" w:rsidRDefault="00255492">
      <w:pPr>
        <w:ind w:left="14" w:right="14" w:firstLine="720"/>
        <w:jc w:val="both"/>
        <w:rPr>
          <w:rStyle w:val="Fontdeparagrafimplicit1"/>
          <w:color w:val="000000"/>
        </w:rPr>
      </w:pPr>
      <w:r>
        <w:rPr>
          <w:rStyle w:val="Fontdeparagrafimplicit1"/>
          <w:color w:val="000000"/>
        </w:rPr>
        <w:t>Ori, în pofida dispozițiilor Deciziei RIL nr.12/23 mai 2016 a Înaltei Curți de Casație şi Justiție, instanţa de fond trebuia să se raporteze si la situaţia actuală generată de pandemia COVID 19 pentru a fi în măsură să procedeze la o analiză obiectivă a situației existente privind locurile de muncă ale apelanţilor.</w:t>
      </w:r>
    </w:p>
    <w:p w14:paraId="62A03F0C" w14:textId="77777777" w:rsidR="00F7215E" w:rsidRDefault="00255492">
      <w:pPr>
        <w:ind w:left="14" w:right="14" w:firstLine="691"/>
        <w:jc w:val="both"/>
        <w:rPr>
          <w:rStyle w:val="Fontdeparagrafimplicit1"/>
          <w:color w:val="000000"/>
        </w:rPr>
      </w:pPr>
      <w:r>
        <w:rPr>
          <w:rStyle w:val="Fontdeparagrafimplicit1"/>
          <w:color w:val="000000"/>
        </w:rPr>
        <w:t>Astfel, cele trei unități, secția de pneumologie, laboratorul de bacteriologie si dispensarul TBC nu au avizate condiţiile de muncă deosebite şi trebuiau avizate, însă din culpa angajatorului nu s-au făcut demersurile necesare, motiv pentru care apelanţii au şi formulat acţiunea de faţă, iar derularea ulterioară a evenimentelor vine să confirme justețea demersului apelanţilor.</w:t>
      </w:r>
    </w:p>
    <w:p w14:paraId="389F88D3" w14:textId="780C6C4C" w:rsidR="00F7215E" w:rsidRDefault="00255492">
      <w:pPr>
        <w:ind w:left="14" w:right="14" w:firstLine="768"/>
        <w:jc w:val="both"/>
        <w:rPr>
          <w:rStyle w:val="Fontdeparagrafimplicit1"/>
          <w:color w:val="000000"/>
        </w:rPr>
      </w:pPr>
      <w:r>
        <w:rPr>
          <w:rStyle w:val="Fontdeparagrafimplicit1"/>
          <w:color w:val="000000"/>
        </w:rPr>
        <w:t xml:space="preserve">S-a ajuns astfel, în anul 2020, pe fondul crizei Covid, în situaţia în care, chiar daca deține trei unități spitalicești specializate de pneumologie, Municipiul </w:t>
      </w:r>
      <w:r w:rsidR="00AB6FB3">
        <w:rPr>
          <w:rStyle w:val="Fontdeparagrafimplicit1"/>
          <w:color w:val="000000"/>
        </w:rPr>
        <w:t>X</w:t>
      </w:r>
      <w:r>
        <w:rPr>
          <w:rStyle w:val="Fontdeparagrafimplicit1"/>
          <w:color w:val="000000"/>
        </w:rPr>
        <w:t xml:space="preserve"> să relocheze spitalul militar ca secție Covid deşi avea trei asemenea unități. La această situație s-a ajuns tocmai pentru că în anul 2012, Spitalul Clinic Municipal „</w:t>
      </w:r>
      <w:r w:rsidR="00AB6FB3">
        <w:rPr>
          <w:rStyle w:val="Fontdeparagrafimplicit1"/>
          <w:color w:val="000000"/>
        </w:rPr>
        <w:t>YY</w:t>
      </w:r>
      <w:r>
        <w:rPr>
          <w:rStyle w:val="Fontdeparagrafimplicit1"/>
          <w:color w:val="000000"/>
        </w:rPr>
        <w:t xml:space="preserve">" </w:t>
      </w:r>
      <w:r w:rsidR="00AB6FB3">
        <w:rPr>
          <w:rStyle w:val="Fontdeparagrafimplicit1"/>
          <w:color w:val="000000"/>
        </w:rPr>
        <w:t>X</w:t>
      </w:r>
      <w:r>
        <w:rPr>
          <w:rStyle w:val="Fontdeparagrafimplicit1"/>
          <w:color w:val="000000"/>
        </w:rPr>
        <w:t xml:space="preserve"> nu a depus toate diligențele de avizare. Dacă ar fi existat, atunci s-ar fi dat avizul, acum în anul 2020 ar fost trei unități spitaliceşti la </w:t>
      </w:r>
      <w:r w:rsidR="00AB6FB3">
        <w:rPr>
          <w:rStyle w:val="Fontdeparagrafimplicit1"/>
          <w:color w:val="000000"/>
        </w:rPr>
        <w:t>X</w:t>
      </w:r>
      <w:r>
        <w:rPr>
          <w:rStyle w:val="Fontdeparagrafimplicit1"/>
          <w:color w:val="000000"/>
        </w:rPr>
        <w:t xml:space="preserve"> unde să fie tratat Covid.</w:t>
      </w:r>
    </w:p>
    <w:p w14:paraId="5B50DBD8" w14:textId="77777777" w:rsidR="00F7215E" w:rsidRDefault="00255492">
      <w:pPr>
        <w:ind w:firstLine="710"/>
        <w:jc w:val="both"/>
      </w:pPr>
      <w:r>
        <w:rPr>
          <w:rStyle w:val="Fontdeparagrafimplicit1"/>
          <w:color w:val="000000"/>
        </w:rPr>
        <w:t xml:space="preserve">În egală măsură, trebuie reținută şi încălcarea prin soluția instanţei de fond a dreptului apelanţilor la sănătate consacrat prin art. 34 din Constituție, dreptul apelanţilor la viață, consacrat prin art.8 al CEDO, respectiv dreptul de acces la justiție consacrat prin art.21 din Constituția României şi art.6 al CEDO, drepturi care au prioritate şi în faţa deciziei </w:t>
      </w:r>
      <w:r>
        <w:t>Înaltei Curți de Casație si Justiție a României pe care instanţa de fond a reţinut-o ca fiind de incidentă în prezenta cauză.</w:t>
      </w:r>
    </w:p>
    <w:p w14:paraId="480EDB77" w14:textId="77777777" w:rsidR="00F7215E" w:rsidRDefault="00255492">
      <w:pPr>
        <w:ind w:firstLine="710"/>
        <w:jc w:val="both"/>
        <w:rPr>
          <w:rStyle w:val="Fontdeparagrafimplicit1"/>
          <w:color w:val="000000"/>
        </w:rPr>
      </w:pPr>
      <w:r>
        <w:rPr>
          <w:rStyle w:val="Fontdeparagrafimplicit1"/>
          <w:color w:val="000000"/>
        </w:rPr>
        <w:t xml:space="preserve">Cu toate ca, deşi legea încadrează condiţiile de muncă ca fiind normale, deosebite şi speciale prin imposibilitatea constatării acestora de către instanţa de judecată ca urmare a Deciziei nr.12/2016, condiţiile deosebite, respectiv speciale de muncă dispar din cuprinsul legii întrucât, pe linia de gândire a instanţei supreme şi prin raportare la legislația incidentă dacă angajatorul nu reînnoiește avizele indiferent de motiv acestea dispar ca si aplicabilitate practică şi ca urmare, deşi legea face trimitere la existenţa acestora devine astfel exclusiv apanajul angajatorului de a le stabili nemaiexistând niciun fel de control judecătoresc asupra legalității unui asemenea demers al agățătorului. </w:t>
      </w:r>
    </w:p>
    <w:p w14:paraId="7D063094" w14:textId="77777777" w:rsidR="00F7215E" w:rsidRDefault="00255492">
      <w:pPr>
        <w:ind w:firstLine="730"/>
        <w:jc w:val="both"/>
        <w:rPr>
          <w:rStyle w:val="Fontdeparagrafimplicit1"/>
          <w:color w:val="000000"/>
        </w:rPr>
      </w:pPr>
      <w:r>
        <w:rPr>
          <w:rStyle w:val="Fontdeparagrafimplicit1"/>
          <w:color w:val="000000"/>
        </w:rPr>
        <w:t>Prin urmare angajații nu mai dețin nicio pârghie legală de a sancționa un angajator care refuză să-şi reînnoiască avizele privitoare la încadrarea locurilor de muncă în condiţii deosebite si/sau speciale, deşi conform dispozițiilor legale în vigoare în funcție de calificarea acestor condiţii de muncă drepturile lor constituționale le sunt afectate.</w:t>
      </w:r>
    </w:p>
    <w:p w14:paraId="7182A17D" w14:textId="77777777" w:rsidR="00F7215E" w:rsidRDefault="00255492">
      <w:pPr>
        <w:ind w:firstLine="710"/>
        <w:jc w:val="both"/>
        <w:rPr>
          <w:rStyle w:val="Fontdeparagrafimplicit1"/>
          <w:color w:val="000000"/>
        </w:rPr>
      </w:pPr>
      <w:r>
        <w:rPr>
          <w:rStyle w:val="Fontdeparagrafimplicit1"/>
          <w:color w:val="000000"/>
        </w:rPr>
        <w:t>Se poate observa așadar că, în cazul în care deşi sănătatea salariaților este afectată în mod direct de condiţiile de muncă în care aceștia își prestează activitatea dacă angajatorul o singură dată refuză prelungirea avizului specific acesta nu numai ca nu poate fi reînnoit dar nici nu se mai poate obține unul nou, întrucât legea nu permite acest lucru, iar prin Decizia nr.12/2016 s-a interzis si instanțelor de judecată să procedeze la efectuarea unui asemene demers la solicitarea salariaților direct implicați.</w:t>
      </w:r>
    </w:p>
    <w:p w14:paraId="3B7A1ED6" w14:textId="77777777" w:rsidR="00F7215E" w:rsidRDefault="00255492">
      <w:pPr>
        <w:ind w:firstLine="720"/>
        <w:jc w:val="both"/>
        <w:rPr>
          <w:rStyle w:val="Fontdeparagrafimplicit1"/>
          <w:color w:val="000000"/>
        </w:rPr>
      </w:pPr>
      <w:r>
        <w:rPr>
          <w:rStyle w:val="Fontdeparagrafimplicit1"/>
          <w:color w:val="000000"/>
        </w:rPr>
        <w:lastRenderedPageBreak/>
        <w:t>Au mai precizat apelanții că urmare a Deciziei nr,12/2016 le-a fost interzis dreptul de a beneficia, prin intermediul promovării unei acțiuni, de un drept gândit de legiuitor pentru a beneficia de el cei care au lucrat efectiv în condiţii grele şi nu doar cei care dintr-un motiv sau altul au avut parte de bunăvoința angajatorului care şi-a înnoit avizele necesare.</w:t>
      </w:r>
    </w:p>
    <w:p w14:paraId="56FDDD45" w14:textId="77777777" w:rsidR="00F7215E" w:rsidRDefault="00255492">
      <w:pPr>
        <w:ind w:firstLine="720"/>
        <w:jc w:val="both"/>
        <w:rPr>
          <w:rStyle w:val="Fontdeparagrafimplicit1"/>
          <w:color w:val="000000"/>
        </w:rPr>
      </w:pPr>
      <w:r>
        <w:rPr>
          <w:rStyle w:val="Fontdeparagrafimplicit1"/>
          <w:color w:val="000000"/>
        </w:rPr>
        <w:t>S-ar putea reţine şi încălcarea dreptului unui acces efectiv la o instanţă, cât timp este stabilită, de jure, inadmisibilitatea unei acțiuni, adică a unui demers procesual, ceea ce face inutil demersul in sine, căci, chiar dacă teoretic justițiabilul se poate adresa cu o cerere instanţei, soluția acesteia de respingere e mai mult decât previzibilă, chiar obligatorie, subliniind ca, într-o logică sănătoasă, niciodată, neîndeplinirea unei obligații de către o persoană (fizica sau juridica) nu poate fi opusă persoanei care, daca prima şi-ar fi îndeplinit obligaţia prevăzută de lege, ar fi beneficiat de dreptul corelativ, atunci când ultima dintre cele două nu are nicio pârghie legala în a controla activitatea primeia şi în a o obliga să acționeze în felul prescris de lege.</w:t>
      </w:r>
    </w:p>
    <w:p w14:paraId="641E7EA0" w14:textId="77777777" w:rsidR="00F7215E" w:rsidRDefault="00255492">
      <w:pPr>
        <w:ind w:left="-15" w:firstLine="720"/>
        <w:jc w:val="both"/>
        <w:rPr>
          <w:rStyle w:val="Fontdeparagrafimplicit1"/>
          <w:color w:val="000000"/>
        </w:rPr>
      </w:pPr>
      <w:r>
        <w:rPr>
          <w:rStyle w:val="Fontdeparagrafimplicit1"/>
          <w:color w:val="000000"/>
        </w:rPr>
        <w:t>O asemenea soluție se impune şi prin raportare la cuprinsul unei alte decizii a ICCJ, respectiv Decizia nr. 9/2016 prin care Înalta Curte, deşi face trimitere la un text legal abrogat deschide calea acțiunilor în justiție în baza dispozițiilor acestuia : Prin Decizia nr. 9/2016, ICCJ a admis recursul in interesul legii declarat de Colegiul de conducere al Curtii de Apel Constanta si, pe cale de consecință, stabilește că: "În interpretarea şi aplicarea unitară a dispozițiilor pct. 6 -8 şi 12 din Ordinul Ministerului Muncii şi Protecției Sociale nr. 50/1990, instanțele de judecată au posibilitatea analizării şi constatării pe cale judiciară, ulterior</w:t>
      </w:r>
      <w:r>
        <w:rPr>
          <w:rStyle w:val="Fontdeparagrafimplicit1"/>
          <w:color w:val="000000"/>
          <w:u w:val="single" w:color="000000"/>
        </w:rPr>
        <w:t xml:space="preserve"> </w:t>
      </w:r>
      <w:r>
        <w:rPr>
          <w:rStyle w:val="Fontdeparagrafimplicit1"/>
          <w:color w:val="000000"/>
        </w:rPr>
        <w:t>abrogării acestui act normativ a încadrării muncii prestate în perioada 18 martie 1969 - 1 aprilie 2001, după caz, în grupele I sau II de muncă".</w:t>
      </w:r>
    </w:p>
    <w:p w14:paraId="00ECA2CF" w14:textId="77777777" w:rsidR="00F7215E" w:rsidRDefault="00255492">
      <w:pPr>
        <w:ind w:left="14" w:right="14" w:firstLine="720"/>
        <w:jc w:val="both"/>
        <w:rPr>
          <w:rStyle w:val="Fontdeparagrafimplicit1"/>
          <w:color w:val="000000"/>
        </w:rPr>
      </w:pPr>
      <w:r>
        <w:rPr>
          <w:rStyle w:val="Fontdeparagrafimplicit1"/>
          <w:color w:val="000000"/>
        </w:rPr>
        <w:t xml:space="preserve">Ca o garanție a respectării drepturilor omului, Convenția Europeană a Drepturilor Omului prevede, în art. 6 alin. I, dreptul oricărei persoane la un proces echitabil: "Orice persoană are dreptul de a-i fi examinată cauza în mod echitabil, public şi într-un termen rezonabil, de către un tribunal independent si imparțial, stabilit prin lege, care va hotărî fie asupra încălcării drepturilor si obligațiilor cu caracter civil...”. În explicitarea acestuia drept, în doctrina dreptului european dreptul de acces la un tribunal este înţeles ca un drept de acces concret şi efectiv, care presupune ca justiţiabilul „să beneficieze de o posibilitate clară şi concretă de a contesta atingerea adusă drepturilor sale”.  </w:t>
      </w:r>
    </w:p>
    <w:p w14:paraId="112E9B25" w14:textId="77777777" w:rsidR="00F7215E" w:rsidRDefault="00255492">
      <w:pPr>
        <w:ind w:left="14" w:right="14" w:firstLine="739"/>
        <w:jc w:val="both"/>
        <w:rPr>
          <w:rStyle w:val="Fontdeparagrafimplicit1"/>
          <w:color w:val="000000"/>
        </w:rPr>
      </w:pPr>
      <w:r>
        <w:rPr>
          <w:rStyle w:val="Fontdeparagrafimplicit1"/>
          <w:color w:val="000000"/>
        </w:rPr>
        <w:t>Au concluzionat apelanţii că dreptul de acces la justiție impune obligații în sarcina legiuitorului şi executivului, iar Statul este ținut să acorde oricărei persoane toate facilitățile rezonabile de drept şi de fapt, pentru a accede la instanţă, într-un cuvânt, trebuie să asigure efectivitatea dreptului de acces.</w:t>
      </w:r>
    </w:p>
    <w:p w14:paraId="440299E8" w14:textId="77777777" w:rsidR="00F7215E" w:rsidRDefault="00255492">
      <w:pPr>
        <w:ind w:left="14" w:right="14" w:firstLine="739"/>
        <w:jc w:val="both"/>
        <w:rPr>
          <w:rStyle w:val="Fontdeparagrafimplicit1"/>
          <w:color w:val="000000"/>
        </w:rPr>
      </w:pPr>
      <w:r>
        <w:rPr>
          <w:rStyle w:val="Fontdeparagrafimplicit1"/>
          <w:color w:val="000000"/>
        </w:rPr>
        <w:t xml:space="preserve">În drept au invocat prevederile art.466 Cod procedură civilă.  </w:t>
      </w:r>
    </w:p>
    <w:p w14:paraId="32D738DA" w14:textId="77777777" w:rsidR="00F7215E" w:rsidRDefault="00255492">
      <w:pPr>
        <w:ind w:firstLine="708"/>
        <w:jc w:val="both"/>
        <w:rPr>
          <w:rStyle w:val="Fontdeparagrafimplicit1"/>
          <w:b/>
        </w:rPr>
      </w:pPr>
      <w:r>
        <w:rPr>
          <w:rStyle w:val="Fontdeparagrafimplicit1"/>
          <w:b/>
        </w:rPr>
        <w:t xml:space="preserve">Prin întâmpinare intimata Inspecţia Muncii </w:t>
      </w:r>
      <w:r>
        <w:t>a solicitat respingerea apelului ca nefondat şi menţinerea hotărârii atacate ca fiind temeinică şi legală.</w:t>
      </w:r>
      <w:r>
        <w:rPr>
          <w:rStyle w:val="Fontdeparagrafimplicit1"/>
          <w:b/>
        </w:rPr>
        <w:t xml:space="preserve">  </w:t>
      </w:r>
    </w:p>
    <w:p w14:paraId="05ACE402" w14:textId="77777777" w:rsidR="00F7215E" w:rsidRDefault="00255492">
      <w:pPr>
        <w:ind w:firstLine="708"/>
        <w:jc w:val="both"/>
      </w:pPr>
      <w:r>
        <w:t>În motivarea întâmpinării a arătat că în mod corect instanţa de fond a constatat că nu se poate substitui organelor administrative eludând procedura ce intră în competenţa acestora, pentru a recunoaşte apartenenţa unor locuri de muncă la categoria celor aflate în astfel de condiţii . În acest sens, dacă avizele emise pentru angajator, ce nu includ locurile de muncă ale reclamanţilor, nu au fost contestate în procedura administrativă prevăzută de art. 18 din HG  nr. 261/2001, cu modificările şi completările ulterioare, iar ulterior, la instanţa de contencios administrativ ori, după caz, în condiţiile art. 4 din HG nr. 246/2007, cu modificările şi completările ulterioare, fie la Inspecţia Muncii, fie direct, la instanţa de judecată competentă, acestea se bucură de prezumţia de legalitate. Absenţa acestor acte administrative prezumă că activitatea se desfăşoară în condiţii normale.</w:t>
      </w:r>
    </w:p>
    <w:p w14:paraId="54B3C7EA" w14:textId="77777777" w:rsidR="00F7215E" w:rsidRDefault="00255492">
      <w:pPr>
        <w:ind w:firstLine="708"/>
        <w:jc w:val="both"/>
      </w:pPr>
      <w:r>
        <w:t xml:space="preserve">A susţinut intimata că argumentele apelanţilor sunt neîntemeiate şi nefondate. </w:t>
      </w:r>
    </w:p>
    <w:p w14:paraId="100935C6" w14:textId="77777777" w:rsidR="00F7215E" w:rsidRDefault="00255492">
      <w:pPr>
        <w:ind w:firstLine="708"/>
        <w:jc w:val="both"/>
      </w:pPr>
      <w:r>
        <w:t xml:space="preserve">A arătat că pe de o parte conform art.4 al art.517 Cod procedură civilă, dezlegarea dată problemelor de drept judecate este obligatorie de la data publicării deciziei în Monitorul Oficial al României, partea I, ori Decizia nr.12/2016 s-a publicat în Monitorul Oficial nr.408 din 30 </w:t>
      </w:r>
      <w:r>
        <w:lastRenderedPageBreak/>
        <w:t xml:space="preserve">mai 2016, astfel că instanţa de fond şi în egală măsură a considerat că şi instanţa de apel este obligată să ţină cont de cele stabilite de ÎCCJ. </w:t>
      </w:r>
    </w:p>
    <w:p w14:paraId="4C60B7A2" w14:textId="14186048" w:rsidR="00F7215E" w:rsidRDefault="00255492">
      <w:pPr>
        <w:ind w:firstLine="708"/>
        <w:jc w:val="both"/>
      </w:pPr>
      <w:r>
        <w:t xml:space="preserve">Pe de altă parte, a considerat că argumentele învederate de apelanţi conform cărora la nivelul </w:t>
      </w:r>
      <w:r w:rsidR="0043629E">
        <w:t>X</w:t>
      </w:r>
      <w:r>
        <w:t xml:space="preserve"> nu ar exista mai multe unităţi spitaliceşti alocate tratării bolnavilor de COVID întrucât salariaţilor reclamanţi nu le-au fost recunoscută încadrarea locurilor de muncă în condiţii deosebite, a apreciat că nu pot sta la fundamentarea cererii de chemare în judecată astfel cum a fost aceasta formulată şi care vizează oricum o perioadă mult anterioară declanşării pandemiei. </w:t>
      </w:r>
    </w:p>
    <w:p w14:paraId="35719F5D" w14:textId="77777777" w:rsidR="00F7215E" w:rsidRDefault="00255492">
      <w:pPr>
        <w:ind w:firstLine="708"/>
        <w:jc w:val="both"/>
      </w:pPr>
      <w:r>
        <w:t xml:space="preserve">A reiterat intimata faptul că în temeiul art.2 alin.1 din HG nr.246/20017 solicitarea de reînnoire a avizului de încadrare în condiţii deosebite revine exclusiv societăţii ce declară existenţa acestor locuri de muncă ce comportă condiţii deosebite şi se depune într-un termen reglementat expres de legiuitor.         </w:t>
      </w:r>
    </w:p>
    <w:p w14:paraId="62FB80A2" w14:textId="77777777" w:rsidR="00F7215E" w:rsidRDefault="00255492">
      <w:pPr>
        <w:ind w:firstLine="708"/>
        <w:jc w:val="both"/>
      </w:pPr>
      <w:r>
        <w:t>A precizat intimata că potrivit prevederilor legale angajatorul are obligaţia de a normaliza condiţiile de muncă, astfel că în cazul în care la nivelul acesteia ar exista locuri de muncă încadrate în condiţii deosebite în Planul de prevenire şi protecţie elaborat de aceasta trebuie inserate măsurile ce se impun a fi luate aferente perioadei în care există aviz de încadrare, asumate pentru normalizarea condiţiilor de muncă şi rămase restante, şi, după caz, măsurile de protecţie colectivă şi cele care rezultă din recomandările medicului de medicina muncii.</w:t>
      </w:r>
    </w:p>
    <w:p w14:paraId="6582BC7D" w14:textId="77777777" w:rsidR="00F7215E" w:rsidRDefault="00255492">
      <w:pPr>
        <w:jc w:val="both"/>
      </w:pPr>
      <w:r>
        <w:tab/>
        <w:t>Prin urmare, faţă de raportarea la prevederile art.2 alin.1 din HG nr. 246/2007, dacă angajatorul nu a mai depus documentaţia în vederea reînnoirii avizului de încadrare a locurilor de muncă în condiţii deosebite, există indubitabil prezumţia de normalizare a condiţiilor de muncă ale respectivelor locuri de muncă. Având în vedere aceste considerente Comisia pentru acordarea reînnoirii avizelor de încadrare a locurilor de muncă în condiţii deosebite, nu poate emite un aviz de reînnoire a avizului de încadrare a locurilor de muncă respective în condiţii deosebite.</w:t>
      </w:r>
    </w:p>
    <w:p w14:paraId="6385E7FE" w14:textId="77777777" w:rsidR="00F7215E" w:rsidRDefault="00255492">
      <w:pPr>
        <w:jc w:val="both"/>
      </w:pPr>
      <w:r>
        <w:tab/>
        <w:t>Conform prevederilor legale angajatorul are obligaţia de a normaliza condiţiile de muncă, astfel că în cazul în care la nivelul acesteia ar exista locuri de muncă încadrate în condiţii deosebite în Planul de prevenire şi protecţie elaborat de aceasta trebuie inserate măsurile ce se impun a fi luate aferente perioadei în care există aviz de încadrare, asumate pentru normalizarea condiţiilor de muncă şi rămase restante, şi, după caz, măsurile de protecţie colectivă şi cele care rezultă din recomandările medicului de medicina muncii.</w:t>
      </w:r>
    </w:p>
    <w:p w14:paraId="2321DA49" w14:textId="77777777" w:rsidR="00F7215E" w:rsidRDefault="00255492">
      <w:pPr>
        <w:jc w:val="both"/>
      </w:pPr>
      <w:r>
        <w:tab/>
        <w:t xml:space="preserve">Prin urmare, faţă de raportarea la prevederile art.2 alin.1 din HG nr. 246/2007, dacă angajatorul nu a mai depus documentaţia în vederea reînnoirii avizului de încadrare a locurilor de muncă în condiţii deosebite, există indubitabil prezumţia de normalizare a condiţiilor de muncă ale respectivelor locuri de muncă. </w:t>
      </w:r>
    </w:p>
    <w:p w14:paraId="64BFE248" w14:textId="77777777" w:rsidR="00F7215E" w:rsidRDefault="00255492">
      <w:pPr>
        <w:ind w:firstLine="708"/>
        <w:jc w:val="both"/>
      </w:pPr>
      <w:r>
        <w:t>Având în vedere aceste considerente Comisia pentru acordarea reînnoirii avizelor de încadrare a locurilor de muncă în condiţii deosebite, nu poate emite un aviz de reînnoire a avizului de încadrare a locurilor de muncă respective în condiţii deosebite.</w:t>
      </w:r>
    </w:p>
    <w:p w14:paraId="3058D41A" w14:textId="77777777" w:rsidR="00F7215E" w:rsidRDefault="00255492">
      <w:pPr>
        <w:ind w:firstLine="708"/>
        <w:jc w:val="both"/>
      </w:pPr>
      <w:r>
        <w:t>Pe de altă parte instituţia publică nu este abilitată, conform legii de a analiza şi a se pronunţa asupra relei credinţe a angajatorului, în raport de diligentele şi de obligaţiile ce le are acesta faţă de salariaţii săi.</w:t>
      </w:r>
    </w:p>
    <w:p w14:paraId="5ACDAB28" w14:textId="77777777" w:rsidR="00F7215E" w:rsidRDefault="00255492">
      <w:pPr>
        <w:jc w:val="both"/>
      </w:pPr>
      <w:r>
        <w:tab/>
        <w:t>Sindicatele, reprezentanţii salariaţilor, salariaţii, conform legii, în baza rolului activ de care dispun, au avut deschisă calea accesului la justiţie în promovarea unui litigiu de muncă prin care să fie obligată societatea a priori şi nu a posteriori de a depune documentaţia în vederea obţinerii unui nou aviz.</w:t>
      </w:r>
    </w:p>
    <w:p w14:paraId="1F2C02D6" w14:textId="77777777" w:rsidR="00F7215E" w:rsidRDefault="00255492">
      <w:pPr>
        <w:jc w:val="both"/>
      </w:pPr>
      <w:r>
        <w:tab/>
        <w:t xml:space="preserve">Referitor la susţinerea apelanţilor privind aplicabilitatea în speţă a prevederilor Deciziei RIL nr.9/2016 pronunţată de Înalta Curte de Casaţie şi Justiţie a solicitat instanţei a reţine că prin soluţia dată în respectiva chestiune de drept viza o perioadă mult anterioară celei solicitată de reclamanţii apelanţi, astfel că prevederile acesteia nu pot fi avute la soluţionarea prezentului dosar. </w:t>
      </w:r>
    </w:p>
    <w:p w14:paraId="76759565" w14:textId="77777777" w:rsidR="00F7215E" w:rsidRDefault="00255492">
      <w:pPr>
        <w:jc w:val="both"/>
      </w:pPr>
      <w:r>
        <w:lastRenderedPageBreak/>
        <w:tab/>
        <w:t xml:space="preserve">În drept a invocat prevederile art.205 alin.2 Cod procedură civilă, HG nr.246/2007 privind metodologia de reînnoire a avizelor de încadrare a locurilor de muncă în condiţii deosegbite, cu modificările şi completările ulterioare şi celelalte acte normative indicate în întâmpinare.      </w:t>
      </w:r>
    </w:p>
    <w:p w14:paraId="17F132BD" w14:textId="138A1C7D" w:rsidR="00F7215E" w:rsidRDefault="00255492">
      <w:pPr>
        <w:jc w:val="both"/>
      </w:pPr>
      <w:r>
        <w:tab/>
      </w:r>
      <w:r>
        <w:rPr>
          <w:rStyle w:val="Fontdeparagrafimplicit1"/>
          <w:b/>
        </w:rPr>
        <w:t xml:space="preserve">Prin concluzii scrise, intimatul Spitalul Clinic Municipal </w:t>
      </w:r>
      <w:r w:rsidR="00AB6FB3">
        <w:rPr>
          <w:rStyle w:val="Fontdeparagrafimplicit1"/>
          <w:b/>
        </w:rPr>
        <w:t>YY</w:t>
      </w:r>
      <w:r>
        <w:rPr>
          <w:rStyle w:val="Fontdeparagrafimplicit1"/>
          <w:b/>
        </w:rPr>
        <w:t xml:space="preserve"> </w:t>
      </w:r>
      <w:r w:rsidR="00AB6FB3">
        <w:rPr>
          <w:rStyle w:val="Fontdeparagrafimplicit1"/>
          <w:b/>
        </w:rPr>
        <w:t>X</w:t>
      </w:r>
      <w:r>
        <w:t xml:space="preserve"> a solicitat respingerea ca neîntemeiat şi nefondat a apelului, cu consecinţa menţinerii ca legală şi temeinică a hotărârii primei instanţe, arătând în esenţă că instanţa de fond a analizat în mod cât se poate de judicios cererea reclamanţilor apelanţi, pronunţând o soluţie justă prin raportare la prevederile legale şi dând eficienţă Deciziei RIL nr.12/2016, niciunul din argumentele invocate de reclamanţi nefiind apt să răstoarne considerentele vaste şi întemeiate reţinute de instanţa de fond. </w:t>
      </w:r>
    </w:p>
    <w:p w14:paraId="1B3437A2" w14:textId="77777777" w:rsidR="00F7215E" w:rsidRDefault="00255492">
      <w:pPr>
        <w:ind w:right="-30" w:firstLine="720"/>
        <w:jc w:val="both"/>
        <w:rPr>
          <w:rStyle w:val="Fontdeparagrafimplicit1"/>
          <w:b/>
        </w:rPr>
      </w:pPr>
      <w:r>
        <w:rPr>
          <w:rStyle w:val="Fontdeparagrafimplicit1"/>
          <w:b/>
        </w:rPr>
        <w:t xml:space="preserve">Examinând sentinţa apelată prin prisma motivelor invocate şi din oficiu, Curtea reţine următoarele : </w:t>
      </w:r>
    </w:p>
    <w:p w14:paraId="3D46F374" w14:textId="77777777" w:rsidR="00F7215E" w:rsidRDefault="00255492">
      <w:pPr>
        <w:ind w:right="-286" w:firstLine="720"/>
        <w:jc w:val="both"/>
        <w:rPr>
          <w:rStyle w:val="Fontdeparagrafimplicit1"/>
        </w:rPr>
      </w:pPr>
      <w:r>
        <w:t xml:space="preserve">Prin Decizia nr. 12/2016, ÎCCJ (Complet RIL) a admis recursul în interesul legii formulat de procurorul general al Parchetului de pe lângă Înalta Curte de Casație și Justiție și, pe cale de consecință, a stabilit că: în interpretarea și aplicarea dispozițiilor art. 19 din Legea nr. 19/2000 privind sistemul public de pensii și alte drepturi de asigurări sociale, cu modificările și completările ulterioare, art. 29 alin. (1) din Legea nr. 263/2010 privind sistemul unitar de pensii publice, cu modificările și completările ulterioare, raportate la art. 2 alin. (2), art. 3, art. 4, art. 11, art. 12, art. 15, art. 16 și art. 18 din H.G. nr. 261/2001 privind criteriile și metodologia de încadrare a locurilor de muncă în condiții deosebite, cu modificările și completările ulterioare, respectiv, art. 1 – art. 4, art. 7 – art. 9, art. 13 alin. (4) și art. 131 din H.G. nr. 246/2007 privind metodologia de reînnoire a avizelor de încadrare a locurilor de muncă în condiții deosebite, cu modificările și completările ulterioare, </w:t>
      </w:r>
      <w:r>
        <w:rPr>
          <w:rStyle w:val="Fontdeparagrafimplicit1"/>
          <w:b/>
          <w:u w:val="single"/>
        </w:rPr>
        <w:t>nu este deschisă calea unei acțiuni în constatare de drept comun a condițiilor deosebite de muncă în care angajații și-au desfășurat activitatea după data de 1 aprilie 2001 și nici a acțiunii în obligare a angajatorilor la încadrarea locurilor de muncă în aceste condiții, atunci când aceștia din urmă nu au obținut sau, după caz, nu au reînnoit avizele pentru încadrarea locurilor de muncă în aceste condiții</w:t>
      </w:r>
      <w:r>
        <w:rPr>
          <w:rStyle w:val="Fontdeparagrafimplicit1"/>
          <w:u w:val="single"/>
        </w:rPr>
        <w:t xml:space="preserve">. </w:t>
      </w:r>
    </w:p>
    <w:p w14:paraId="65F68C6B" w14:textId="77777777" w:rsidR="00F7215E" w:rsidRDefault="00255492">
      <w:pPr>
        <w:ind w:right="-286" w:firstLine="720"/>
        <w:jc w:val="both"/>
      </w:pPr>
      <w:r>
        <w:t>În interpretarea și aplicarea dispozițiilor art. 20 alin. (2) și (3) din Legea nr. 19/2000, cu modificările și completările ulterioare, a dispozițiilor art. 1 alin. (1) și (2), art. 2 alin. (2) din Legea nr. 226/2006 privind încadrarea unor locuri de muncă în condiții speciale, raportate la prevederile art. 2 – art. 6, art. 9, art. 13 și art. 16 din H.G. nr. 1025/2003 privind metodologia și criteriile de încadrare a persoanelor în locuri de muncă în condiții speciale, cu modificările și completările ulterioare, precum și a prevederilor art. 30 alin. (1) lit. e) din Legea nr. 263/2010, cu modificările și completările ulterioare, în ceea ce privește condițiile speciale, acest tip de acțiuni nu sunt deschise, atunci când nu sunt întrunite condițiile cumulative privind înscrierea activității și a unității angajatoare în anexele nr. 1 și 2 la Legea nr. 226/2006 și, respectiv, în anexele nr. 2 și 3 la Legea nr. 263/2010, cu modificările și completările ulterioare.</w:t>
      </w:r>
    </w:p>
    <w:p w14:paraId="3E75D890" w14:textId="77777777" w:rsidR="00F7215E" w:rsidRDefault="00255492">
      <w:pPr>
        <w:ind w:right="-286" w:firstLine="720"/>
        <w:jc w:val="both"/>
      </w:pPr>
      <w:r>
        <w:t>Potrivit art. 517 alin. 4 Cod procedură civilă  dezlegarea dată problemelor de drept judecate este obligatorie pentru instanţe de la data publicării deciziei în Monitorul Oficial al României, Partea I.</w:t>
      </w:r>
    </w:p>
    <w:p w14:paraId="4A01D12C" w14:textId="77777777" w:rsidR="00F7215E" w:rsidRDefault="00255492">
      <w:pPr>
        <w:ind w:right="-286" w:firstLine="720"/>
        <w:jc w:val="both"/>
      </w:pPr>
      <w:r>
        <w:t xml:space="preserve">În cazul pendinte revine autorităților naționale sarcina de a stabili, în conformitate cu normele din legea națională, o procedură clară, compatibilă cu principiul respectării dreptului reclamanţilor. Curtea nu poate constata încălcări ale dreptului la viaţa reglementat de art. 8 CEDO, în sensul jurisprudenţei CEDO, aşa cum susţin reclamanţii prin apelul formulat. </w:t>
      </w:r>
    </w:p>
    <w:p w14:paraId="42C25C0D" w14:textId="77777777" w:rsidR="00F7215E" w:rsidRDefault="00255492">
      <w:pPr>
        <w:ind w:right="-286" w:firstLine="720"/>
        <w:jc w:val="both"/>
      </w:pPr>
      <w:r>
        <w:t>Cum prin decizia obligatorie precitată s-a statuat cu caracter imperativ că aceste acţiuni în constatare nu pot fi primite, Curtea va constata în temeiul art. 480 Cod procedură civilă că apelul formulat este nefondat şi-l va respinge.</w:t>
      </w:r>
    </w:p>
    <w:p w14:paraId="35523B1C" w14:textId="77777777" w:rsidR="00F7215E" w:rsidRDefault="00255492">
      <w:pPr>
        <w:ind w:right="-286" w:firstLine="720"/>
        <w:jc w:val="both"/>
      </w:pPr>
      <w:r>
        <w:t>Va lua act că nu s-au solicitat cheltuieli de judecată.</w:t>
      </w:r>
    </w:p>
    <w:p w14:paraId="2EB27997" w14:textId="77777777" w:rsidR="00F7215E" w:rsidRDefault="00F7215E">
      <w:pPr>
        <w:ind w:right="-286" w:firstLine="720"/>
        <w:jc w:val="both"/>
      </w:pPr>
    </w:p>
    <w:p w14:paraId="0FEF5639" w14:textId="77777777" w:rsidR="00F7215E" w:rsidRDefault="00F7215E">
      <w:pPr>
        <w:ind w:right="-286" w:firstLine="720"/>
        <w:jc w:val="both"/>
      </w:pPr>
    </w:p>
    <w:p w14:paraId="6BCB7D4E" w14:textId="77777777" w:rsidR="00F7215E" w:rsidRDefault="00255492">
      <w:pPr>
        <w:ind w:right="-284"/>
        <w:jc w:val="center"/>
        <w:rPr>
          <w:rStyle w:val="Fontdeparagrafimplicit1"/>
          <w:b/>
          <w:i/>
        </w:rPr>
      </w:pPr>
      <w:r>
        <w:rPr>
          <w:rStyle w:val="Fontdeparagrafimplicit1"/>
          <w:b/>
          <w:i/>
        </w:rPr>
        <w:t xml:space="preserve">PENTRU ACESTE MOTIVE </w:t>
      </w:r>
    </w:p>
    <w:p w14:paraId="789306CE" w14:textId="77777777" w:rsidR="00F7215E" w:rsidRDefault="00255492">
      <w:pPr>
        <w:ind w:right="-284"/>
        <w:jc w:val="center"/>
        <w:rPr>
          <w:rStyle w:val="Fontdeparagrafimplicit1"/>
          <w:b/>
          <w:i/>
        </w:rPr>
      </w:pPr>
      <w:r>
        <w:rPr>
          <w:rStyle w:val="Fontdeparagrafimplicit1"/>
          <w:b/>
          <w:i/>
        </w:rPr>
        <w:lastRenderedPageBreak/>
        <w:t xml:space="preserve">ÎN NUMELE  LEGII </w:t>
      </w:r>
    </w:p>
    <w:p w14:paraId="3B78F536" w14:textId="77777777" w:rsidR="00F7215E" w:rsidRDefault="00255492">
      <w:pPr>
        <w:ind w:right="-284"/>
        <w:jc w:val="center"/>
        <w:rPr>
          <w:rStyle w:val="Fontdeparagrafimplicit1"/>
          <w:b/>
          <w:i/>
        </w:rPr>
      </w:pPr>
      <w:r>
        <w:rPr>
          <w:rStyle w:val="Fontdeparagrafimplicit1"/>
          <w:b/>
          <w:i/>
        </w:rPr>
        <w:t xml:space="preserve">D E C I D E : </w:t>
      </w:r>
    </w:p>
    <w:p w14:paraId="2A63F382" w14:textId="77777777" w:rsidR="00F7215E" w:rsidRDefault="00F7215E">
      <w:pPr>
        <w:jc w:val="both"/>
        <w:rPr>
          <w:rStyle w:val="Fontdeparagrafimplicit1"/>
        </w:rPr>
      </w:pPr>
    </w:p>
    <w:p w14:paraId="5781825D" w14:textId="77777777" w:rsidR="00F7215E" w:rsidRDefault="00F7215E">
      <w:pPr>
        <w:jc w:val="both"/>
        <w:rPr>
          <w:rStyle w:val="Fontdeparagrafimplicit1"/>
        </w:rPr>
      </w:pPr>
    </w:p>
    <w:p w14:paraId="1E731635" w14:textId="024E708C" w:rsidR="00F7215E" w:rsidRDefault="00255492" w:rsidP="0043629E">
      <w:pPr>
        <w:ind w:firstLine="708"/>
        <w:jc w:val="both"/>
      </w:pPr>
      <w:r>
        <w:rPr>
          <w:rStyle w:val="Fontdeparagrafimplicit1"/>
          <w:b/>
        </w:rPr>
        <w:t>RESPINGE</w:t>
      </w:r>
      <w:r>
        <w:t xml:space="preserve"> ca nefondat apelul civil introdus de apelanţii </w:t>
      </w:r>
      <w:r w:rsidR="0043629E" w:rsidRPr="0043629E">
        <w:rPr>
          <w:b/>
          <w:bCs/>
        </w:rPr>
        <w:t>aprox. 187</w:t>
      </w:r>
      <w:r w:rsidR="0043629E">
        <w:t xml:space="preserve">, </w:t>
      </w:r>
      <w:r>
        <w:t xml:space="preserve">toţi cu domiciliul procesual ales în </w:t>
      </w:r>
      <w:r w:rsidR="00AB6FB3">
        <w:t>X</w:t>
      </w:r>
      <w:r>
        <w:t xml:space="preserve">, </w:t>
      </w:r>
      <w:r w:rsidR="00AB6FB3">
        <w:t>....</w:t>
      </w:r>
      <w:r>
        <w:t>, nr.</w:t>
      </w:r>
      <w:r w:rsidR="0059091A">
        <w:t>..</w:t>
      </w:r>
      <w:r>
        <w:t>, ap.</w:t>
      </w:r>
      <w:r w:rsidR="0059091A">
        <w:t>...</w:t>
      </w:r>
      <w:r>
        <w:t xml:space="preserve">, judeţul </w:t>
      </w:r>
      <w:r w:rsidR="00AB6FB3">
        <w:t>Z</w:t>
      </w:r>
      <w:r>
        <w:t xml:space="preserve"> la cabinet de avocat </w:t>
      </w:r>
      <w:r w:rsidR="0043629E">
        <w:t>...</w:t>
      </w:r>
      <w:r>
        <w:t xml:space="preserve"> în contradictoriu cu intimaţii SPITALUL CLINIC MUNICIPAL </w:t>
      </w:r>
      <w:r w:rsidR="00AB6FB3">
        <w:t>YY</w:t>
      </w:r>
      <w:r>
        <w:t xml:space="preserve">, cu sediul în </w:t>
      </w:r>
      <w:r w:rsidR="00AB6FB3">
        <w:t>X</w:t>
      </w:r>
      <w:r>
        <w:t>, str.</w:t>
      </w:r>
      <w:r w:rsidR="00AB6FB3">
        <w:t>...</w:t>
      </w:r>
      <w:r>
        <w:t>, nr.</w:t>
      </w:r>
      <w:r w:rsidR="0043629E">
        <w:t>..</w:t>
      </w:r>
      <w:r>
        <w:t xml:space="preserve">, judeţul </w:t>
      </w:r>
      <w:r w:rsidR="00AB6FB3">
        <w:t>Z</w:t>
      </w:r>
      <w:r>
        <w:t xml:space="preserve">, INSPECTORATUL TERITORIAL DE MUNCĂ </w:t>
      </w:r>
      <w:r w:rsidR="00AB6FB3">
        <w:t>Z</w:t>
      </w:r>
      <w:r>
        <w:t xml:space="preserve"> cu sediul în </w:t>
      </w:r>
      <w:r w:rsidR="00AB6FB3">
        <w:t>X</w:t>
      </w:r>
      <w:r>
        <w:t xml:space="preserve">, str. </w:t>
      </w:r>
      <w:r w:rsidR="00AB6FB3">
        <w:t>...</w:t>
      </w:r>
      <w:r>
        <w:t xml:space="preserve">, nr. </w:t>
      </w:r>
      <w:r w:rsidR="0043629E">
        <w:t>..</w:t>
      </w:r>
      <w:r>
        <w:t xml:space="preserve">, judeţul </w:t>
      </w:r>
      <w:r w:rsidR="00AB6FB3">
        <w:t>Z</w:t>
      </w:r>
      <w:r>
        <w:t xml:space="preserve"> şi INSPECŢIA MUNCII, cu sediul în </w:t>
      </w:r>
      <w:r w:rsidR="00AB6FB3">
        <w:t>...</w:t>
      </w:r>
      <w:r>
        <w:t xml:space="preserve">, strada </w:t>
      </w:r>
      <w:r w:rsidR="00AB6FB3">
        <w:t>...</w:t>
      </w:r>
      <w:r>
        <w:t>, nr.</w:t>
      </w:r>
      <w:r w:rsidR="0043629E">
        <w:t>..</w:t>
      </w:r>
      <w:r>
        <w:t xml:space="preserve">, </w:t>
      </w:r>
      <w:r w:rsidR="0043629E">
        <w:t>..</w:t>
      </w:r>
      <w:r>
        <w:t xml:space="preserve">, împotriva sentinţei civile nr. </w:t>
      </w:r>
      <w:r w:rsidR="00AB6FB3">
        <w:t>...</w:t>
      </w:r>
      <w:r>
        <w:t xml:space="preserve"> din data de </w:t>
      </w:r>
      <w:r w:rsidR="0043629E">
        <w:t>...</w:t>
      </w:r>
      <w:r>
        <w:t xml:space="preserve">, pronunţată de Tribunalul </w:t>
      </w:r>
      <w:r w:rsidR="00AB6FB3">
        <w:t>Z</w:t>
      </w:r>
      <w:r>
        <w:t>, pe care o păstrează în totalitate.</w:t>
      </w:r>
    </w:p>
    <w:p w14:paraId="4027C2B9" w14:textId="77777777" w:rsidR="00F7215E" w:rsidRDefault="00255492">
      <w:pPr>
        <w:ind w:firstLine="708"/>
        <w:jc w:val="both"/>
      </w:pPr>
      <w:r>
        <w:t>Fără cheltuieli de judecată.</w:t>
      </w:r>
    </w:p>
    <w:p w14:paraId="50661A62" w14:textId="77777777" w:rsidR="00F7215E" w:rsidRDefault="00255492">
      <w:pPr>
        <w:ind w:firstLine="708"/>
        <w:jc w:val="both"/>
      </w:pPr>
      <w:r>
        <w:t>DEFINITIVĂ.</w:t>
      </w:r>
    </w:p>
    <w:p w14:paraId="780F0002" w14:textId="6F734142" w:rsidR="00F7215E" w:rsidRDefault="00255492">
      <w:pPr>
        <w:ind w:firstLine="708"/>
        <w:jc w:val="both"/>
      </w:pPr>
      <w:r>
        <w:t xml:space="preserve">Pronunţată în data de </w:t>
      </w:r>
      <w:r w:rsidR="0043629E">
        <w:t>...</w:t>
      </w:r>
      <w:r>
        <w:t xml:space="preserve"> prin punerea soluţiei la dispoziţia părţilor prin grefa instanţei.</w:t>
      </w:r>
    </w:p>
    <w:p w14:paraId="728047D5" w14:textId="77777777" w:rsidR="00F7215E" w:rsidRDefault="00F7215E">
      <w:pPr>
        <w:ind w:firstLine="708"/>
        <w:jc w:val="both"/>
      </w:pPr>
    </w:p>
    <w:p w14:paraId="3E50A101" w14:textId="77777777" w:rsidR="00F7215E" w:rsidRDefault="00F7215E">
      <w:pPr>
        <w:ind w:firstLine="708"/>
        <w:jc w:val="both"/>
      </w:pPr>
    </w:p>
    <w:p w14:paraId="363D691F" w14:textId="374AD695" w:rsidR="00F7215E" w:rsidRDefault="00255492">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r>
      <w:r>
        <w:rPr>
          <w:rStyle w:val="Fontdeparagrafimplicit1"/>
          <w:b/>
          <w:i/>
        </w:rPr>
        <w:tab/>
        <w:t xml:space="preserve">        JUDECĂTOR </w:t>
      </w:r>
      <w:r>
        <w:rPr>
          <w:rStyle w:val="Fontdeparagrafimplicit1"/>
          <w:b/>
          <w:i/>
        </w:rPr>
        <w:tab/>
      </w:r>
      <w:r>
        <w:rPr>
          <w:rStyle w:val="Fontdeparagrafimplicit1"/>
          <w:b/>
          <w:i/>
        </w:rPr>
        <w:tab/>
        <w:t xml:space="preserve">                 GREFIER  </w:t>
      </w:r>
      <w:r w:rsidR="0043629E">
        <w:rPr>
          <w:rStyle w:val="Fontdeparagrafimplicit1"/>
          <w:b/>
          <w:i/>
        </w:rPr>
        <w:t xml:space="preserve">                      </w:t>
      </w:r>
      <w:r w:rsidR="0075786D">
        <w:rPr>
          <w:rStyle w:val="Fontdeparagrafimplicit1"/>
          <w:b/>
          <w:i/>
        </w:rPr>
        <w:t xml:space="preserve">  </w:t>
      </w:r>
      <w:r w:rsidR="00AB6FB3">
        <w:rPr>
          <w:rStyle w:val="Fontdeparagrafimplicit1"/>
          <w:i/>
        </w:rPr>
        <w:t>A0011</w:t>
      </w:r>
      <w:r>
        <w:rPr>
          <w:rStyle w:val="Fontdeparagrafimplicit1"/>
          <w:i/>
        </w:rPr>
        <w:t xml:space="preserve">      </w:t>
      </w:r>
      <w:r w:rsidR="0043629E">
        <w:rPr>
          <w:rStyle w:val="Fontdeparagrafimplicit1"/>
          <w:i/>
        </w:rPr>
        <w:t xml:space="preserve">                                         </w:t>
      </w:r>
      <w:r>
        <w:rPr>
          <w:rStyle w:val="Fontdeparagrafimplicit1"/>
          <w:i/>
        </w:rPr>
        <w:t xml:space="preserve">                </w:t>
      </w:r>
      <w:r w:rsidR="00AB6FB3">
        <w:rPr>
          <w:rStyle w:val="Fontdeparagrafimplicit1"/>
          <w:i/>
        </w:rPr>
        <w:t>....</w:t>
      </w:r>
      <w:r>
        <w:rPr>
          <w:rStyle w:val="Fontdeparagrafimplicit1"/>
          <w:i/>
        </w:rPr>
        <w:t xml:space="preserve">          </w:t>
      </w:r>
      <w:r w:rsidR="0043629E">
        <w:rPr>
          <w:rStyle w:val="Fontdeparagrafimplicit1"/>
          <w:i/>
        </w:rPr>
        <w:t xml:space="preserve">                        </w:t>
      </w:r>
      <w:r>
        <w:rPr>
          <w:rStyle w:val="Fontdeparagrafimplicit1"/>
          <w:i/>
        </w:rPr>
        <w:t xml:space="preserve">          </w:t>
      </w:r>
      <w:r w:rsidR="0043629E">
        <w:rPr>
          <w:rStyle w:val="Fontdeparagrafimplicit1"/>
          <w:i/>
        </w:rPr>
        <w:t xml:space="preserve"> </w:t>
      </w:r>
      <w:r w:rsidR="00AB6FB3">
        <w:rPr>
          <w:rStyle w:val="Fontdeparagrafimplicit1"/>
          <w:i/>
        </w:rPr>
        <w:t>....</w:t>
      </w:r>
      <w:r>
        <w:rPr>
          <w:rStyle w:val="Fontdeparagrafimplicit1"/>
          <w:i/>
        </w:rPr>
        <w:t xml:space="preserve">  </w:t>
      </w:r>
    </w:p>
    <w:p w14:paraId="6CF6A838" w14:textId="0657F085" w:rsidR="00F7215E" w:rsidRDefault="00255492">
      <w:pPr>
        <w:jc w:val="both"/>
        <w:rPr>
          <w:rStyle w:val="Fontdeparagrafimplicit1"/>
          <w:i/>
        </w:rPr>
      </w:pPr>
      <w:r>
        <w:rPr>
          <w:rStyle w:val="Fontdeparagrafimplicit1"/>
          <w:i/>
        </w:rPr>
        <w:t xml:space="preserve">           </w:t>
      </w:r>
    </w:p>
    <w:p w14:paraId="4DA06401" w14:textId="77777777" w:rsidR="00F7215E" w:rsidRDefault="00F7215E">
      <w:pPr>
        <w:jc w:val="both"/>
        <w:rPr>
          <w:rStyle w:val="Fontdeparagrafimplicit1"/>
          <w:i/>
        </w:rPr>
      </w:pPr>
    </w:p>
    <w:p w14:paraId="1D29575A" w14:textId="77777777" w:rsidR="00F7215E" w:rsidRDefault="00F7215E">
      <w:pPr>
        <w:jc w:val="both"/>
        <w:rPr>
          <w:rStyle w:val="Fontdeparagrafimplicit1"/>
          <w:i/>
        </w:rPr>
      </w:pPr>
    </w:p>
    <w:p w14:paraId="5608DB21" w14:textId="19DBEDD8" w:rsidR="00F7215E" w:rsidRDefault="00255492">
      <w:pPr>
        <w:jc w:val="both"/>
        <w:rPr>
          <w:rStyle w:val="Fontdeparagrafimplicit1"/>
          <w:i/>
          <w:sz w:val="16"/>
        </w:rPr>
      </w:pPr>
      <w:r>
        <w:rPr>
          <w:rStyle w:val="Fontdeparagrafimplicit1"/>
          <w:i/>
          <w:sz w:val="16"/>
        </w:rPr>
        <w:t xml:space="preserve">red. dec. jud. </w:t>
      </w:r>
      <w:r w:rsidR="0043629E">
        <w:rPr>
          <w:rStyle w:val="Fontdeparagrafimplicit1"/>
          <w:i/>
          <w:sz w:val="16"/>
        </w:rPr>
        <w:t>A0011</w:t>
      </w:r>
      <w:r>
        <w:rPr>
          <w:rStyle w:val="Fontdeparagrafimplicit1"/>
          <w:i/>
          <w:sz w:val="16"/>
        </w:rPr>
        <w:t>./</w:t>
      </w:r>
      <w:r w:rsidR="0043629E">
        <w:rPr>
          <w:rStyle w:val="Fontdeparagrafimplicit1"/>
          <w:i/>
          <w:sz w:val="16"/>
        </w:rPr>
        <w:t>...</w:t>
      </w:r>
    </w:p>
    <w:p w14:paraId="2CCB6D1C" w14:textId="542C40BF" w:rsidR="00F7215E" w:rsidRDefault="00255492">
      <w:pPr>
        <w:jc w:val="both"/>
        <w:rPr>
          <w:rStyle w:val="Fontdeparagrafimplicit1"/>
          <w:i/>
          <w:sz w:val="16"/>
        </w:rPr>
      </w:pPr>
      <w:r>
        <w:rPr>
          <w:rStyle w:val="Fontdeparagrafimplicit1"/>
          <w:i/>
          <w:sz w:val="16"/>
        </w:rPr>
        <w:t xml:space="preserve">jud. fond </w:t>
      </w:r>
      <w:r w:rsidR="0043629E">
        <w:rPr>
          <w:rStyle w:val="Fontdeparagrafimplicit1"/>
          <w:i/>
          <w:sz w:val="16"/>
        </w:rPr>
        <w:t>...</w:t>
      </w:r>
      <w:r>
        <w:rPr>
          <w:rStyle w:val="Fontdeparagrafimplicit1"/>
          <w:i/>
          <w:sz w:val="16"/>
        </w:rPr>
        <w:t xml:space="preserve">.  </w:t>
      </w:r>
    </w:p>
    <w:p w14:paraId="1325A923" w14:textId="757EBEA3" w:rsidR="00F7215E" w:rsidRDefault="00255492">
      <w:pPr>
        <w:jc w:val="both"/>
        <w:rPr>
          <w:rStyle w:val="Fontdeparagrafimplicit1"/>
          <w:i/>
          <w:sz w:val="16"/>
        </w:rPr>
      </w:pPr>
      <w:r>
        <w:rPr>
          <w:rStyle w:val="Fontdeparagrafimplicit1"/>
          <w:i/>
          <w:sz w:val="16"/>
        </w:rPr>
        <w:t xml:space="preserve">tehnored.GM/ 6 ex./ </w:t>
      </w:r>
      <w:r w:rsidR="0043629E">
        <w:rPr>
          <w:rStyle w:val="Fontdeparagrafimplicit1"/>
          <w:i/>
          <w:sz w:val="16"/>
        </w:rPr>
        <w:t>...</w:t>
      </w:r>
    </w:p>
    <w:p w14:paraId="26D64EA7" w14:textId="77777777" w:rsidR="00F7215E" w:rsidRDefault="00F7215E">
      <w:pPr>
        <w:jc w:val="both"/>
        <w:rPr>
          <w:rStyle w:val="Fontdeparagrafimplicit1"/>
          <w:i/>
          <w:sz w:val="16"/>
        </w:rPr>
      </w:pPr>
    </w:p>
    <w:p w14:paraId="06941338" w14:textId="77777777" w:rsidR="00F7215E" w:rsidRDefault="00F7215E">
      <w:pPr>
        <w:jc w:val="both"/>
        <w:rPr>
          <w:rStyle w:val="Fontdeparagrafimplicit1"/>
          <w:b/>
          <w:i/>
          <w:sz w:val="16"/>
          <w:u w:val="single"/>
        </w:rPr>
      </w:pPr>
    </w:p>
    <w:p w14:paraId="79B207CF" w14:textId="77777777" w:rsidR="00F7215E" w:rsidRDefault="00255492">
      <w:pPr>
        <w:jc w:val="both"/>
        <w:rPr>
          <w:rStyle w:val="Fontdeparagrafimplicit1"/>
          <w:b/>
          <w:sz w:val="16"/>
          <w:u w:val="single"/>
        </w:rPr>
      </w:pPr>
      <w:r>
        <w:rPr>
          <w:rStyle w:val="Fontdeparagrafimplicit1"/>
          <w:b/>
          <w:sz w:val="16"/>
          <w:u w:val="single"/>
        </w:rPr>
        <w:t xml:space="preserve">Emis 4 comunicări </w:t>
      </w:r>
    </w:p>
    <w:p w14:paraId="3DE28071" w14:textId="22850F9A" w:rsidR="00F7215E" w:rsidRDefault="00255492">
      <w:pPr>
        <w:numPr>
          <w:ilvl w:val="0"/>
          <w:numId w:val="2"/>
        </w:numPr>
        <w:jc w:val="both"/>
        <w:rPr>
          <w:rStyle w:val="Fontdeparagrafimplicit1"/>
          <w:sz w:val="16"/>
        </w:rPr>
      </w:pPr>
      <w:r>
        <w:rPr>
          <w:rStyle w:val="Fontdeparagrafimplicit1"/>
          <w:b/>
          <w:sz w:val="16"/>
        </w:rPr>
        <w:t>......</w:t>
      </w:r>
      <w:r>
        <w:rPr>
          <w:rStyle w:val="Fontdeparagrafimplicit1"/>
          <w:sz w:val="16"/>
        </w:rPr>
        <w:t xml:space="preserve">, toţi cu domiciliul procesual ales în </w:t>
      </w:r>
      <w:r w:rsidR="00AB6FB3">
        <w:rPr>
          <w:rStyle w:val="Fontdeparagrafimplicit1"/>
          <w:sz w:val="16"/>
        </w:rPr>
        <w:t>X</w:t>
      </w:r>
      <w:r>
        <w:rPr>
          <w:rStyle w:val="Fontdeparagrafimplicit1"/>
          <w:sz w:val="16"/>
        </w:rPr>
        <w:t xml:space="preserve">, </w:t>
      </w:r>
      <w:r w:rsidR="00AB6FB3">
        <w:rPr>
          <w:rStyle w:val="Fontdeparagrafimplicit1"/>
          <w:sz w:val="16"/>
        </w:rPr>
        <w:t>....</w:t>
      </w:r>
      <w:r>
        <w:rPr>
          <w:rStyle w:val="Fontdeparagrafimplicit1"/>
          <w:sz w:val="16"/>
        </w:rPr>
        <w:t>, nr.</w:t>
      </w:r>
      <w:r w:rsidR="006C29FC">
        <w:rPr>
          <w:rStyle w:val="Fontdeparagrafimplicit1"/>
          <w:sz w:val="16"/>
        </w:rPr>
        <w:t>..</w:t>
      </w:r>
      <w:r>
        <w:rPr>
          <w:rStyle w:val="Fontdeparagrafimplicit1"/>
          <w:sz w:val="16"/>
        </w:rPr>
        <w:t xml:space="preserve">, ap..., judeţul </w:t>
      </w:r>
      <w:r w:rsidR="00AB6FB3">
        <w:rPr>
          <w:rStyle w:val="Fontdeparagrafimplicit1"/>
          <w:sz w:val="16"/>
        </w:rPr>
        <w:t>Z</w:t>
      </w:r>
      <w:r>
        <w:rPr>
          <w:rStyle w:val="Fontdeparagrafimplicit1"/>
          <w:sz w:val="16"/>
        </w:rPr>
        <w:t xml:space="preserve"> la Cabinet de avocat ... </w:t>
      </w:r>
    </w:p>
    <w:p w14:paraId="35664CC9" w14:textId="5CE87DAA" w:rsidR="00F7215E" w:rsidRDefault="00255492">
      <w:pPr>
        <w:numPr>
          <w:ilvl w:val="0"/>
          <w:numId w:val="2"/>
        </w:numPr>
        <w:jc w:val="both"/>
        <w:rPr>
          <w:rStyle w:val="Fontdeparagrafimplicit1"/>
          <w:sz w:val="16"/>
        </w:rPr>
      </w:pPr>
      <w:r>
        <w:rPr>
          <w:rStyle w:val="Fontdeparagrafimplicit1"/>
          <w:b/>
          <w:sz w:val="16"/>
        </w:rPr>
        <w:t xml:space="preserve">SPITALUL CLINIC MUNICIPAL </w:t>
      </w:r>
      <w:r w:rsidR="00AB6FB3">
        <w:rPr>
          <w:rStyle w:val="Fontdeparagrafimplicit1"/>
          <w:b/>
          <w:sz w:val="16"/>
        </w:rPr>
        <w:t>YY</w:t>
      </w:r>
      <w:r>
        <w:rPr>
          <w:rStyle w:val="Fontdeparagrafimplicit1"/>
          <w:sz w:val="16"/>
        </w:rPr>
        <w:t xml:space="preserve">, cu sediul în </w:t>
      </w:r>
      <w:r w:rsidR="00AB6FB3">
        <w:rPr>
          <w:rStyle w:val="Fontdeparagrafimplicit1"/>
          <w:sz w:val="16"/>
        </w:rPr>
        <w:t>X</w:t>
      </w:r>
      <w:r>
        <w:rPr>
          <w:rStyle w:val="Fontdeparagrafimplicit1"/>
          <w:sz w:val="16"/>
        </w:rPr>
        <w:t>, str.</w:t>
      </w:r>
      <w:r w:rsidR="00AB6FB3">
        <w:rPr>
          <w:rStyle w:val="Fontdeparagrafimplicit1"/>
          <w:sz w:val="16"/>
        </w:rPr>
        <w:t>...</w:t>
      </w:r>
      <w:r>
        <w:rPr>
          <w:rStyle w:val="Fontdeparagrafimplicit1"/>
          <w:sz w:val="16"/>
        </w:rPr>
        <w:t>, nr.</w:t>
      </w:r>
      <w:r w:rsidR="0043629E">
        <w:rPr>
          <w:rStyle w:val="Fontdeparagrafimplicit1"/>
          <w:sz w:val="16"/>
        </w:rPr>
        <w:t>..</w:t>
      </w:r>
      <w:r>
        <w:rPr>
          <w:rStyle w:val="Fontdeparagrafimplicit1"/>
          <w:sz w:val="16"/>
        </w:rPr>
        <w:t xml:space="preserve">, judeţul </w:t>
      </w:r>
      <w:r w:rsidR="00AB6FB3">
        <w:rPr>
          <w:rStyle w:val="Fontdeparagrafimplicit1"/>
          <w:sz w:val="16"/>
        </w:rPr>
        <w:t>Z</w:t>
      </w:r>
      <w:r>
        <w:rPr>
          <w:rStyle w:val="Fontdeparagrafimplicit1"/>
          <w:sz w:val="16"/>
        </w:rPr>
        <w:t xml:space="preserve">, </w:t>
      </w:r>
    </w:p>
    <w:p w14:paraId="309C9DC7" w14:textId="244C2F93" w:rsidR="00F7215E" w:rsidRDefault="00255492">
      <w:pPr>
        <w:numPr>
          <w:ilvl w:val="0"/>
          <w:numId w:val="2"/>
        </w:numPr>
        <w:jc w:val="both"/>
        <w:rPr>
          <w:rStyle w:val="Fontdeparagrafimplicit1"/>
          <w:sz w:val="16"/>
        </w:rPr>
      </w:pPr>
      <w:r>
        <w:rPr>
          <w:rStyle w:val="Fontdeparagrafimplicit1"/>
          <w:b/>
          <w:sz w:val="16"/>
        </w:rPr>
        <w:t>INSPECTORATUL TERITORIAL DE MUNCĂ</w:t>
      </w:r>
      <w:r>
        <w:rPr>
          <w:rStyle w:val="Fontdeparagrafimplicit1"/>
          <w:sz w:val="16"/>
        </w:rPr>
        <w:t xml:space="preserve"> </w:t>
      </w:r>
      <w:r w:rsidR="00AB6FB3">
        <w:rPr>
          <w:rStyle w:val="Fontdeparagrafimplicit1"/>
          <w:b/>
          <w:sz w:val="16"/>
        </w:rPr>
        <w:t>Z</w:t>
      </w:r>
      <w:r>
        <w:rPr>
          <w:rStyle w:val="Fontdeparagrafimplicit1"/>
          <w:sz w:val="16"/>
        </w:rPr>
        <w:t xml:space="preserve"> cu sediul în </w:t>
      </w:r>
      <w:r w:rsidR="00AB6FB3">
        <w:rPr>
          <w:rStyle w:val="Fontdeparagrafimplicit1"/>
          <w:sz w:val="16"/>
        </w:rPr>
        <w:t>X</w:t>
      </w:r>
      <w:r>
        <w:rPr>
          <w:rStyle w:val="Fontdeparagrafimplicit1"/>
          <w:sz w:val="16"/>
        </w:rPr>
        <w:t xml:space="preserve">, str. </w:t>
      </w:r>
      <w:r w:rsidR="00AB6FB3">
        <w:rPr>
          <w:rStyle w:val="Fontdeparagrafimplicit1"/>
          <w:sz w:val="16"/>
        </w:rPr>
        <w:t>...</w:t>
      </w:r>
      <w:r>
        <w:rPr>
          <w:rStyle w:val="Fontdeparagrafimplicit1"/>
          <w:sz w:val="16"/>
        </w:rPr>
        <w:t xml:space="preserve">, nr. </w:t>
      </w:r>
      <w:r w:rsidR="0043629E">
        <w:rPr>
          <w:rStyle w:val="Fontdeparagrafimplicit1"/>
          <w:sz w:val="16"/>
        </w:rPr>
        <w:t>..</w:t>
      </w:r>
      <w:r>
        <w:rPr>
          <w:rStyle w:val="Fontdeparagrafimplicit1"/>
          <w:sz w:val="16"/>
        </w:rPr>
        <w:t xml:space="preserve">, judeţul </w:t>
      </w:r>
      <w:r w:rsidR="00AB6FB3">
        <w:rPr>
          <w:rStyle w:val="Fontdeparagrafimplicit1"/>
          <w:sz w:val="16"/>
        </w:rPr>
        <w:t>Z</w:t>
      </w:r>
      <w:r>
        <w:rPr>
          <w:rStyle w:val="Fontdeparagrafimplicit1"/>
          <w:sz w:val="16"/>
        </w:rPr>
        <w:t xml:space="preserve"> </w:t>
      </w:r>
    </w:p>
    <w:p w14:paraId="398B1299" w14:textId="375D5403" w:rsidR="00F7215E" w:rsidRDefault="00255492" w:rsidP="0043629E">
      <w:pPr>
        <w:numPr>
          <w:ilvl w:val="0"/>
          <w:numId w:val="2"/>
        </w:numPr>
        <w:jc w:val="both"/>
        <w:rPr>
          <w:rStyle w:val="Fontdeparagrafimplicit1"/>
          <w:i/>
          <w:sz w:val="16"/>
        </w:rPr>
      </w:pPr>
      <w:r>
        <w:rPr>
          <w:rStyle w:val="Fontdeparagrafimplicit1"/>
          <w:b/>
          <w:sz w:val="16"/>
        </w:rPr>
        <w:t>INSPECŢIA MUNCII</w:t>
      </w:r>
      <w:r>
        <w:rPr>
          <w:rStyle w:val="Fontdeparagrafimplicit1"/>
          <w:sz w:val="16"/>
        </w:rPr>
        <w:t xml:space="preserve">, cu sediul în </w:t>
      </w:r>
      <w:r w:rsidR="00AB6FB3">
        <w:rPr>
          <w:rStyle w:val="Fontdeparagrafimplicit1"/>
          <w:sz w:val="16"/>
        </w:rPr>
        <w:t>...</w:t>
      </w:r>
      <w:r>
        <w:rPr>
          <w:rStyle w:val="Fontdeparagrafimplicit1"/>
          <w:sz w:val="16"/>
        </w:rPr>
        <w:t xml:space="preserve">, strada </w:t>
      </w:r>
      <w:r w:rsidR="00AB6FB3">
        <w:rPr>
          <w:rStyle w:val="Fontdeparagrafimplicit1"/>
          <w:sz w:val="16"/>
        </w:rPr>
        <w:t>...</w:t>
      </w:r>
      <w:r>
        <w:rPr>
          <w:rStyle w:val="Fontdeparagrafimplicit1"/>
          <w:sz w:val="16"/>
        </w:rPr>
        <w:t>, nr</w:t>
      </w:r>
      <w:r w:rsidR="0043629E">
        <w:rPr>
          <w:rStyle w:val="Fontdeparagrafimplicit1"/>
          <w:sz w:val="16"/>
        </w:rPr>
        <w:t>...</w:t>
      </w:r>
    </w:p>
    <w:p w14:paraId="27554C07" w14:textId="77777777" w:rsidR="00F7215E" w:rsidRDefault="00F7215E">
      <w:pPr>
        <w:ind w:firstLine="708"/>
        <w:jc w:val="both"/>
        <w:rPr>
          <w:rStyle w:val="Fontdeparagrafimplicit1"/>
        </w:rPr>
      </w:pPr>
    </w:p>
    <w:p w14:paraId="0E527739" w14:textId="77777777" w:rsidR="00F7215E" w:rsidRDefault="00F7215E">
      <w:pPr>
        <w:ind w:firstLine="708"/>
        <w:jc w:val="both"/>
        <w:rPr>
          <w:rStyle w:val="Fontdeparagrafimplicit1"/>
        </w:rPr>
      </w:pPr>
    </w:p>
    <w:p w14:paraId="0CB46E8C" w14:textId="77777777" w:rsidR="00F7215E" w:rsidRDefault="00F7215E">
      <w:pPr>
        <w:ind w:firstLine="708"/>
        <w:jc w:val="both"/>
        <w:rPr>
          <w:rStyle w:val="Fontdeparagrafimplicit1"/>
        </w:rPr>
      </w:pPr>
    </w:p>
    <w:p w14:paraId="0101A41D" w14:textId="77777777" w:rsidR="00F7215E" w:rsidRDefault="00F7215E">
      <w:pPr>
        <w:ind w:firstLine="708"/>
        <w:jc w:val="both"/>
        <w:rPr>
          <w:rStyle w:val="Fontdeparagrafimplicit1"/>
        </w:rPr>
      </w:pPr>
    </w:p>
    <w:sectPr w:rsidR="00F7215E">
      <w:footerReference w:type="default" r:id="rId7"/>
      <w:pgSz w:w="11906" w:h="16838"/>
      <w:pgMar w:top="1134" w:right="1021" w:bottom="102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74A3" w14:textId="77777777" w:rsidR="004A15FA" w:rsidRDefault="004A15FA">
      <w:r>
        <w:separator/>
      </w:r>
    </w:p>
  </w:endnote>
  <w:endnote w:type="continuationSeparator" w:id="0">
    <w:p w14:paraId="4E75290E" w14:textId="77777777" w:rsidR="004A15FA" w:rsidRDefault="004A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48246" w14:textId="77777777" w:rsidR="00F7215E" w:rsidRDefault="00255492">
    <w:pPr>
      <w:pStyle w:val="Subsol1"/>
      <w:jc w:val="center"/>
    </w:pPr>
    <w:r>
      <w:fldChar w:fldCharType="begin"/>
    </w:r>
    <w:r>
      <w:instrText>PAGE   \* MERGEFORMAT</w:instrText>
    </w:r>
    <w:r>
      <w:fldChar w:fldCharType="separate"/>
    </w:r>
    <w:r>
      <w:t>#</w:t>
    </w:r>
    <w:r>
      <w:fldChar w:fldCharType="end"/>
    </w:r>
  </w:p>
  <w:p w14:paraId="18A682A9" w14:textId="77777777" w:rsidR="00F7215E" w:rsidRDefault="00F7215E">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15466" w14:textId="77777777" w:rsidR="004A15FA" w:rsidRDefault="004A15FA">
      <w:r>
        <w:separator/>
      </w:r>
    </w:p>
  </w:footnote>
  <w:footnote w:type="continuationSeparator" w:id="0">
    <w:p w14:paraId="284B3BFD" w14:textId="77777777" w:rsidR="004A15FA" w:rsidRDefault="004A1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56AB7"/>
    <w:multiLevelType w:val="multilevel"/>
    <w:tmpl w:val="08AE58CE"/>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6E62A20"/>
    <w:multiLevelType w:val="multilevel"/>
    <w:tmpl w:val="D83858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14072979">
    <w:abstractNumId w:val="1"/>
  </w:num>
  <w:num w:numId="2" w16cid:durableId="855118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693273&amp;id_departament=2&amp;id_sesiune=568955&amp;id_user=181&amp;id_institutie=35&amp;actiune=modifica"/>
  </w:docVars>
  <w:rsids>
    <w:rsidRoot w:val="00F7215E"/>
    <w:rsid w:val="0014028A"/>
    <w:rsid w:val="00255492"/>
    <w:rsid w:val="0043629E"/>
    <w:rsid w:val="004A15FA"/>
    <w:rsid w:val="004B71F1"/>
    <w:rsid w:val="00523727"/>
    <w:rsid w:val="0059091A"/>
    <w:rsid w:val="006C29FC"/>
    <w:rsid w:val="0075786D"/>
    <w:rsid w:val="007A2BAF"/>
    <w:rsid w:val="00813319"/>
    <w:rsid w:val="00AB6FB3"/>
    <w:rsid w:val="00AD0A35"/>
    <w:rsid w:val="00AD2C94"/>
    <w:rsid w:val="00AF2D39"/>
    <w:rsid w:val="00D8444E"/>
    <w:rsid w:val="00F72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F9E13"/>
  <w15:docId w15:val="{C985CEDF-577F-44BE-BC44-F94B53C7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12</Pages>
  <Words>7164</Words>
  <Characters>40840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47909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2</cp:revision>
  <cp:lastPrinted>2020-12-22T09:07:00Z</cp:lastPrinted>
  <dcterms:created xsi:type="dcterms:W3CDTF">2026-09-03T13:02:00Z</dcterms:created>
  <dcterms:modified xsi:type="dcterms:W3CDTF">2026-09-11T09:01:00Z</dcterms:modified>
  <cp:category/>
  <dc:identifier/>
  <cp:contentStatus/>
  <dc:language/>
  <cp:version/>
</cp:coreProperties>
</file>