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Pr="00565124" w:rsidR="00565124" w:rsidP="00565124" w14:paraId="70AC3A1F" w14:textId="72958776">
      <w:pPr>
        <w:ind w:firstLine="993"/>
        <w:rPr>
          <w:b/>
          <w:bCs/>
        </w:rPr>
      </w:pPr>
      <w:r w:rsidRPr="00565124">
        <w:rPr>
          <w:b/>
          <w:bCs/>
        </w:rPr>
        <w:t>Hot. 7</w:t>
      </w:r>
    </w:p>
    <w:p w:rsidR="00565124" w:rsidP="00565124" w14:paraId="0F0D27D1" w14:textId="639F4879">
      <w:pPr>
        <w:ind w:firstLine="993"/>
      </w:pPr>
      <w:r>
        <w:t>Cod ECLI    ECLI:RO:..............................</w:t>
      </w:r>
    </w:p>
    <w:p w:rsidR="00565124" w:rsidP="00565124" w14:paraId="06BD40E4" w14:textId="77777777">
      <w:pPr>
        <w:ind w:firstLine="993"/>
      </w:pPr>
    </w:p>
    <w:p w:rsidR="00565124" w:rsidP="00565124" w14:paraId="317798B1" w14:textId="77777777">
      <w:pPr>
        <w:ind w:firstLine="993"/>
        <w:jc w:val="center"/>
      </w:pPr>
      <w:r>
        <w:t>R O M Â N I A</w:t>
      </w:r>
    </w:p>
    <w:p w:rsidR="00565124" w:rsidP="00565124" w14:paraId="54299238" w14:textId="77777777">
      <w:pPr>
        <w:ind w:firstLine="993"/>
        <w:jc w:val="center"/>
      </w:pPr>
    </w:p>
    <w:p w:rsidR="00565124" w:rsidP="00565124" w14:paraId="59DB58F7" w14:textId="77777777">
      <w:pPr>
        <w:ind w:firstLine="993"/>
        <w:jc w:val="center"/>
      </w:pPr>
      <w:r>
        <w:t>CURTEA DE APEL ....................</w:t>
      </w:r>
    </w:p>
    <w:p w:rsidR="00565124" w:rsidP="00565124" w14:paraId="4EF0E7C7" w14:textId="77777777">
      <w:pPr>
        <w:ind w:firstLine="993"/>
        <w:jc w:val="center"/>
      </w:pPr>
      <w:r>
        <w:t>SECŢIA .................. CONTENCIOS ADMINISTRATIV ŞI FISCAL</w:t>
      </w:r>
    </w:p>
    <w:p w:rsidR="00565124" w:rsidP="00565124" w14:paraId="0AF8944A" w14:textId="77777777">
      <w:pPr>
        <w:ind w:firstLine="993"/>
      </w:pPr>
    </w:p>
    <w:p w:rsidR="00565124" w:rsidP="00565124" w14:paraId="7D5D89EF" w14:textId="77777777">
      <w:pPr>
        <w:ind w:firstLine="993"/>
        <w:jc w:val="center"/>
        <w:rPr>
          <w:b/>
        </w:rPr>
      </w:pPr>
      <w:r>
        <w:rPr>
          <w:b/>
        </w:rPr>
        <w:t>SENTINŢA CIVILĂ Nr. ...........................</w:t>
      </w:r>
    </w:p>
    <w:p w:rsidR="00565124" w:rsidP="00565124" w14:paraId="088198BA" w14:textId="77777777">
      <w:pPr>
        <w:ind w:firstLine="993"/>
        <w:jc w:val="center"/>
        <w:rPr>
          <w:b/>
        </w:rPr>
      </w:pPr>
      <w:r>
        <w:rPr>
          <w:b/>
        </w:rPr>
        <w:t>Şedinţa</w:t>
      </w:r>
      <w:r>
        <w:rPr>
          <w:b/>
        </w:rPr>
        <w:t> </w:t>
      </w:r>
      <w:r>
        <w:rPr>
          <w:b/>
        </w:rPr>
      </w:r>
      <w:bookmarkStart w:name="tip_sedinta" w:id="0"/>
      <w:r>
        <w:rPr>
          <w:b/>
        </w:rPr>
      </w:r>
      <w:r>
        <w:rPr>
          <w:b/>
        </w:rPr>
      </w:r>
      <w:r>
        <w:rPr>
          <w:b/>
        </w:rPr>
        <w:t>publică</w:t>
      </w:r>
      <w:r>
        <w:rPr>
          <w:b/>
        </w:rPr>
      </w:r>
      <w:bookmarkEnd w:id="0"/>
      <w:r>
        <w:rPr>
          <w:b/>
        </w:rPr>
        <w:t xml:space="preserve"> de la ........................... </w:t>
      </w:r>
    </w:p>
    <w:p w:rsidR="00565124" w:rsidP="00565124" w14:paraId="6ECCD7A2" w14:textId="77777777">
      <w:pPr>
        <w:ind w:firstLine="993"/>
        <w:jc w:val="center"/>
      </w:pPr>
      <w:r>
        <w:t>Completul constituit din:</w:t>
      </w:r>
    </w:p>
    <w:p w:rsidR="00565124" w:rsidP="00565124" w14:paraId="4379474E" w14:textId="77C28EB1">
      <w:pPr>
        <w:ind w:firstLine="993"/>
        <w:jc w:val="center"/>
      </w:pPr>
      <w:r>
        <w:t xml:space="preserve">PREŞEDINTE </w:t>
      </w:r>
      <w:r>
        <w:t>A0014</w:t>
      </w:r>
    </w:p>
    <w:p w:rsidR="00565124" w:rsidP="00565124" w14:paraId="1EB15314" w14:textId="77777777">
      <w:pPr>
        <w:ind w:firstLine="993"/>
        <w:jc w:val="center"/>
      </w:pPr>
      <w:r>
        <w:t>Grefier ......................</w:t>
      </w:r>
    </w:p>
    <w:p w:rsidR="00565124" w:rsidP="00565124" w14:paraId="13CCF4A5" w14:textId="77777777">
      <w:pPr>
        <w:ind w:firstLine="993"/>
        <w:jc w:val="center"/>
      </w:pPr>
    </w:p>
    <w:p w:rsidR="00565124" w:rsidP="00565124" w14:paraId="38D21145" w14:textId="44970F86">
      <w:pPr>
        <w:ind w:firstLine="993"/>
        <w:jc w:val="both"/>
        <w:rPr>
          <w:color w:val="000000"/>
        </w:rPr>
      </w:pPr>
      <w:r>
        <w:rPr>
          <w:color w:val="000000"/>
        </w:rPr>
        <w:t xml:space="preserve">Pe rol se află judecarea </w:t>
      </w:r>
      <w:r>
        <w:rPr>
          <w:color w:val="000000"/>
        </w:rPr>
        <w:t>acţiunii</w:t>
      </w:r>
      <w:r>
        <w:rPr>
          <w:color w:val="000000"/>
        </w:rPr>
        <w:t xml:space="preserve"> în contencios administrativ </w:t>
      </w:r>
      <w:r>
        <w:rPr>
          <w:color w:val="000000"/>
        </w:rPr>
        <w:t>şi</w:t>
      </w:r>
      <w:r>
        <w:rPr>
          <w:color w:val="000000"/>
        </w:rPr>
        <w:t xml:space="preserve"> fiscal, formulată de  reclamanta X S.R.L. în contradictoriu cu pârâtul CONSILIUL CONCURENŢEI, având ca obiect suspendare executare act administrativ – decizia nr. ...</w:t>
      </w:r>
      <w:r>
        <w:rPr>
          <w:color w:val="000000"/>
        </w:rPr>
        <w:t>D1/</w:t>
      </w:r>
      <w:r>
        <w:rPr>
          <w:color w:val="000000"/>
        </w:rPr>
        <w:t xml:space="preserve">2022. </w:t>
      </w:r>
    </w:p>
    <w:p w:rsidR="00565124" w:rsidP="00565124" w14:paraId="6DED47CD" w14:textId="77777777">
      <w:pPr>
        <w:ind w:firstLine="993"/>
        <w:jc w:val="both"/>
        <w:rPr>
          <w:color w:val="000000"/>
        </w:rPr>
      </w:pPr>
      <w:r>
        <w:rPr>
          <w:color w:val="000000"/>
        </w:rPr>
        <w:t xml:space="preserve">La apelul nominal făcut în </w:t>
      </w:r>
      <w:r>
        <w:rPr>
          <w:color w:val="000000"/>
        </w:rPr>
        <w:t>şedinţă</w:t>
      </w:r>
      <w:r>
        <w:rPr>
          <w:color w:val="000000"/>
        </w:rPr>
        <w:t xml:space="preserve"> publică s-au prezentat av. P, în temeiul împuternicirii </w:t>
      </w:r>
      <w:r>
        <w:rPr>
          <w:color w:val="000000"/>
        </w:rPr>
        <w:t>avocaţiale</w:t>
      </w:r>
      <w:r>
        <w:rPr>
          <w:color w:val="000000"/>
        </w:rPr>
        <w:t xml:space="preserve"> nr. ........../2023, aflată la fila nr. 19 bis din dosar (vol. I) </w:t>
      </w:r>
      <w:r>
        <w:rPr>
          <w:color w:val="000000"/>
        </w:rPr>
        <w:t>şi</w:t>
      </w:r>
      <w:r>
        <w:rPr>
          <w:color w:val="000000"/>
        </w:rPr>
        <w:t xml:space="preserve"> inspector de </w:t>
      </w:r>
      <w:r>
        <w:rPr>
          <w:color w:val="000000"/>
        </w:rPr>
        <w:t>concurenţă</w:t>
      </w:r>
      <w:r>
        <w:rPr>
          <w:color w:val="000000"/>
        </w:rPr>
        <w:t xml:space="preserve">, d-na C, în temeiul </w:t>
      </w:r>
      <w:r>
        <w:rPr>
          <w:color w:val="000000"/>
        </w:rPr>
        <w:t>delegaţiei</w:t>
      </w:r>
      <w:r>
        <w:rPr>
          <w:color w:val="000000"/>
        </w:rPr>
        <w:t xml:space="preserve"> de reprezentare nr. ............/2023, aflată la fila nr. 93 din dosar (vol. II). </w:t>
      </w:r>
    </w:p>
    <w:p w:rsidR="00565124" w:rsidP="00565124" w14:paraId="42E8651B" w14:textId="77777777">
      <w:pPr>
        <w:ind w:firstLine="993"/>
        <w:jc w:val="both"/>
        <w:rPr>
          <w:color w:val="000000"/>
        </w:rPr>
      </w:pPr>
      <w:r>
        <w:rPr>
          <w:color w:val="000000"/>
        </w:rPr>
        <w:t xml:space="preserve">Procedura de citare este legal îndeplinită.  </w:t>
      </w:r>
    </w:p>
    <w:p w:rsidR="00565124" w:rsidP="00565124" w14:paraId="687B8A5B" w14:textId="77777777">
      <w:pPr>
        <w:ind w:firstLine="993"/>
        <w:jc w:val="both"/>
        <w:rPr>
          <w:color w:val="000000"/>
        </w:rPr>
      </w:pPr>
      <w:r>
        <w:rPr>
          <w:color w:val="000000"/>
        </w:rPr>
        <w:t xml:space="preserve">S-a expus referatul cauzei de către grefierul de </w:t>
      </w:r>
      <w:r>
        <w:rPr>
          <w:color w:val="000000"/>
        </w:rPr>
        <w:t>şedinţă</w:t>
      </w:r>
      <w:r>
        <w:rPr>
          <w:color w:val="000000"/>
        </w:rPr>
        <w:t xml:space="preserve">, prin care s-au </w:t>
      </w:r>
      <w:r>
        <w:rPr>
          <w:color w:val="000000"/>
        </w:rPr>
        <w:t>evidenţiat</w:t>
      </w:r>
      <w:r>
        <w:rPr>
          <w:color w:val="000000"/>
        </w:rPr>
        <w:t xml:space="preserve"> </w:t>
      </w:r>
      <w:r>
        <w:rPr>
          <w:color w:val="000000"/>
        </w:rPr>
        <w:t>părţile</w:t>
      </w:r>
      <w:r>
        <w:rPr>
          <w:color w:val="000000"/>
        </w:rPr>
        <w:t xml:space="preserve">, obiectul cauzei </w:t>
      </w:r>
      <w:r>
        <w:rPr>
          <w:color w:val="000000"/>
        </w:rPr>
        <w:t>şi</w:t>
      </w:r>
      <w:r>
        <w:rPr>
          <w:color w:val="000000"/>
        </w:rPr>
        <w:t xml:space="preserve"> procedura de citare, după care: </w:t>
      </w:r>
    </w:p>
    <w:p w:rsidR="00565124" w:rsidP="00565124" w14:paraId="6677C52F" w14:textId="77777777">
      <w:pPr>
        <w:ind w:firstLine="993"/>
        <w:jc w:val="both"/>
        <w:rPr>
          <w:color w:val="000000"/>
        </w:rPr>
      </w:pPr>
      <w:r>
        <w:rPr>
          <w:color w:val="000000"/>
        </w:rPr>
        <w:t xml:space="preserve">Nefiind excepții de invocat sau cereri prealabile de formulat, Curtea acordă cuvântul pe propunere de probe. </w:t>
      </w:r>
    </w:p>
    <w:p w:rsidR="00565124" w:rsidP="00565124" w14:paraId="1BD48D25" w14:textId="77777777">
      <w:pPr>
        <w:ind w:firstLine="993"/>
        <w:jc w:val="both"/>
        <w:rPr>
          <w:color w:val="000000"/>
        </w:rPr>
      </w:pPr>
      <w:r>
        <w:rPr>
          <w:color w:val="000000"/>
        </w:rPr>
        <w:t xml:space="preserve">Apărătorul reclamantei solicită </w:t>
      </w:r>
      <w:r>
        <w:rPr>
          <w:color w:val="000000"/>
        </w:rPr>
        <w:t>încuviinţarea</w:t>
      </w:r>
      <w:r>
        <w:rPr>
          <w:color w:val="000000"/>
        </w:rPr>
        <w:t xml:space="preserve"> probei cu înscrisuri. Solicită suplimentarea acestei probe cu Regulamentul nr. 720, care </w:t>
      </w:r>
      <w:r>
        <w:rPr>
          <w:color w:val="000000"/>
        </w:rPr>
        <w:t>evidenţiază</w:t>
      </w:r>
      <w:r>
        <w:rPr>
          <w:color w:val="000000"/>
        </w:rPr>
        <w:t xml:space="preserve"> aspecte care sunt relevante cauzei, o comunicare a Comisiei Europene, respectiv Orientările privind </w:t>
      </w:r>
      <w:r>
        <w:rPr>
          <w:color w:val="000000"/>
        </w:rPr>
        <w:t>restricţiile</w:t>
      </w:r>
      <w:r>
        <w:rPr>
          <w:color w:val="000000"/>
        </w:rPr>
        <w:t xml:space="preserve"> verticale </w:t>
      </w:r>
      <w:r>
        <w:rPr>
          <w:color w:val="000000"/>
        </w:rPr>
        <w:t>şi</w:t>
      </w:r>
      <w:r>
        <w:rPr>
          <w:color w:val="000000"/>
        </w:rPr>
        <w:t xml:space="preserve"> extrase O.N.R.C., pe care le depune la dosar. Înmânează un exemplar al acestor înscrisuri </w:t>
      </w:r>
      <w:r>
        <w:rPr>
          <w:color w:val="000000"/>
        </w:rPr>
        <w:t>şi</w:t>
      </w:r>
      <w:r>
        <w:rPr>
          <w:color w:val="000000"/>
        </w:rPr>
        <w:t xml:space="preserve"> reprezentantului </w:t>
      </w:r>
      <w:r>
        <w:rPr>
          <w:color w:val="000000"/>
        </w:rPr>
        <w:t>păţii</w:t>
      </w:r>
      <w:r>
        <w:rPr>
          <w:color w:val="000000"/>
        </w:rPr>
        <w:t xml:space="preserve"> adverse. </w:t>
      </w:r>
    </w:p>
    <w:p w:rsidR="00565124" w:rsidP="00565124" w14:paraId="44377B97" w14:textId="77777777">
      <w:pPr>
        <w:ind w:firstLine="993"/>
        <w:jc w:val="both"/>
        <w:rPr>
          <w:color w:val="000000"/>
        </w:rPr>
      </w:pPr>
      <w:r>
        <w:rPr>
          <w:color w:val="000000"/>
        </w:rPr>
        <w:t xml:space="preserve">Reprezentantul pârâtului nu se opune probei solicitate de către reclamantă. Propune, la rândul său, spre administrare, proba cu înscrisurile aflate la dosarul cauzei. </w:t>
      </w:r>
    </w:p>
    <w:p w:rsidR="00565124" w:rsidP="00565124" w14:paraId="1F8D1DB5" w14:textId="77777777">
      <w:pPr>
        <w:ind w:firstLine="993"/>
        <w:jc w:val="both"/>
        <w:rPr>
          <w:color w:val="000000"/>
        </w:rPr>
      </w:pPr>
      <w:r>
        <w:rPr>
          <w:color w:val="000000"/>
        </w:rPr>
        <w:t xml:space="preserve">După deliberare, Curtea </w:t>
      </w:r>
      <w:r>
        <w:rPr>
          <w:color w:val="000000"/>
        </w:rPr>
        <w:t>încuviinţează</w:t>
      </w:r>
      <w:r>
        <w:rPr>
          <w:color w:val="000000"/>
        </w:rPr>
        <w:t xml:space="preserve"> în cauză proba cu înscrisuri, ca fiind pertinentă, concludentă, utilă </w:t>
      </w:r>
      <w:r>
        <w:rPr>
          <w:color w:val="000000"/>
        </w:rPr>
        <w:t>soluţionării</w:t>
      </w:r>
      <w:r>
        <w:rPr>
          <w:color w:val="000000"/>
        </w:rPr>
        <w:t xml:space="preserve"> cauzei. </w:t>
      </w:r>
    </w:p>
    <w:p w:rsidR="00565124" w:rsidP="00565124" w14:paraId="03B97808" w14:textId="77777777">
      <w:pPr>
        <w:ind w:firstLine="993"/>
        <w:jc w:val="both"/>
        <w:rPr>
          <w:color w:val="000000"/>
        </w:rPr>
      </w:pPr>
      <w:r>
        <w:rPr>
          <w:color w:val="000000"/>
        </w:rPr>
        <w:t xml:space="preserve">Nemaifiind alte cereri de formulat sau probe de administrat, Curtea constată cauza în stare de judecată și acordă cuvântul în dezbateri. </w:t>
      </w:r>
    </w:p>
    <w:p w:rsidR="00565124" w:rsidP="00565124" w14:paraId="7D3E851F" w14:textId="77777777">
      <w:pPr>
        <w:ind w:firstLine="993"/>
        <w:jc w:val="both"/>
        <w:rPr>
          <w:color w:val="000000"/>
        </w:rPr>
      </w:pPr>
      <w:r>
        <w:rPr>
          <w:i/>
          <w:color w:val="000000"/>
        </w:rPr>
        <w:t>Av. P, pentru reclamantă</w:t>
      </w:r>
      <w:r>
        <w:rPr>
          <w:color w:val="000000"/>
        </w:rPr>
        <w:t xml:space="preserve">, solicită a fi avute în vedere </w:t>
      </w:r>
      <w:r>
        <w:rPr>
          <w:color w:val="000000"/>
        </w:rPr>
        <w:t>şi</w:t>
      </w:r>
      <w:r>
        <w:rPr>
          <w:color w:val="000000"/>
        </w:rPr>
        <w:t xml:space="preserve"> notele scrise depuse la dosar, note ce au fost comunicate </w:t>
      </w:r>
      <w:r>
        <w:rPr>
          <w:color w:val="000000"/>
        </w:rPr>
        <w:t>şi</w:t>
      </w:r>
      <w:r>
        <w:rPr>
          <w:color w:val="000000"/>
        </w:rPr>
        <w:t xml:space="preserve"> reprezentatului pârâtei. Solicită admiterea cererii de suspendare, în conformitate cu prevederile art. 14 </w:t>
      </w:r>
      <w:r>
        <w:rPr>
          <w:color w:val="000000"/>
        </w:rPr>
        <w:t>şi</w:t>
      </w:r>
      <w:r>
        <w:rPr>
          <w:color w:val="000000"/>
        </w:rPr>
        <w:t xml:space="preserve"> 15 din Legea nr. 554/2004. Cererea are ca obiect măsuri provizorii. Prin urmare, în conformitate cu prevederile legale, nu impune </w:t>
      </w:r>
      <w:r>
        <w:rPr>
          <w:color w:val="000000"/>
        </w:rPr>
        <w:t>şi</w:t>
      </w:r>
      <w:r>
        <w:rPr>
          <w:color w:val="000000"/>
        </w:rPr>
        <w:t xml:space="preserve"> nici nu este necesară verificarea unor aspecte de fond, fiind suficientă o pipăire a fondului, astfel cum s-a </w:t>
      </w:r>
      <w:r>
        <w:rPr>
          <w:color w:val="000000"/>
        </w:rPr>
        <w:t>reţinut</w:t>
      </w:r>
      <w:r>
        <w:rPr>
          <w:color w:val="000000"/>
        </w:rPr>
        <w:t xml:space="preserve"> în doctrină. A relevat aspecte care ridică o îndoială serioasă cu privire la legalitatea deciziei emisă de către Consiliul </w:t>
      </w:r>
      <w:r>
        <w:rPr>
          <w:color w:val="000000"/>
        </w:rPr>
        <w:t>Concurenţei</w:t>
      </w:r>
      <w:r>
        <w:rPr>
          <w:color w:val="000000"/>
        </w:rPr>
        <w:t xml:space="preserve">. În ceea ce </w:t>
      </w:r>
      <w:r>
        <w:rPr>
          <w:color w:val="000000"/>
        </w:rPr>
        <w:t>priveşte</w:t>
      </w:r>
      <w:r>
        <w:rPr>
          <w:color w:val="000000"/>
        </w:rPr>
        <w:t xml:space="preserve"> motivul legat de ordinul prin care s-a extins </w:t>
      </w:r>
      <w:r>
        <w:rPr>
          <w:color w:val="000000"/>
        </w:rPr>
        <w:t>investigaţia</w:t>
      </w:r>
      <w:r>
        <w:rPr>
          <w:color w:val="000000"/>
        </w:rPr>
        <w:t xml:space="preserve">, prin care s-a început procesul cu privire la reclamantă, este un ordin emis de către Consiliul </w:t>
      </w:r>
      <w:r>
        <w:rPr>
          <w:color w:val="000000"/>
        </w:rPr>
        <w:t>Concurenţei</w:t>
      </w:r>
      <w:r>
        <w:rPr>
          <w:color w:val="000000"/>
        </w:rPr>
        <w:t xml:space="preserve">, fără ca </w:t>
      </w:r>
      <w:r>
        <w:rPr>
          <w:color w:val="000000"/>
        </w:rPr>
        <w:t>preşedintele</w:t>
      </w:r>
      <w:r>
        <w:rPr>
          <w:color w:val="000000"/>
        </w:rPr>
        <w:t xml:space="preserve"> acestuia să aibă mandat, în acea perioadă. Aceste aspecte nu necesită o verificare de fond. În acest sens, sunt suficiente verificările realizate cu privire la ordinul de extindere cu privire la societatea reclamantă </w:t>
      </w:r>
      <w:r>
        <w:rPr>
          <w:color w:val="000000"/>
        </w:rPr>
        <w:t>şi</w:t>
      </w:r>
      <w:r>
        <w:rPr>
          <w:color w:val="000000"/>
        </w:rPr>
        <w:t xml:space="preserve"> Decizia </w:t>
      </w:r>
      <w:r>
        <w:rPr>
          <w:color w:val="000000"/>
        </w:rPr>
        <w:t>Curţii</w:t>
      </w:r>
      <w:r>
        <w:rPr>
          <w:color w:val="000000"/>
        </w:rPr>
        <w:t xml:space="preserve"> </w:t>
      </w:r>
      <w:r>
        <w:rPr>
          <w:color w:val="000000"/>
        </w:rPr>
        <w:t>Constituţionale</w:t>
      </w:r>
      <w:r>
        <w:rPr>
          <w:color w:val="000000"/>
        </w:rPr>
        <w:t xml:space="preserve"> nr. 59, prin care s-a clarificat faptul că nu există o </w:t>
      </w:r>
      <w:r>
        <w:rPr>
          <w:color w:val="000000"/>
        </w:rPr>
        <w:t>acţionare</w:t>
      </w:r>
      <w:r>
        <w:rPr>
          <w:color w:val="000000"/>
        </w:rPr>
        <w:t xml:space="preserve"> în prelungirea  mandatului. Mandatul este pe durată determinată, actele putând fi încheiate doar pe durata acestuia. În acest sens, ordinul de extindere a </w:t>
      </w:r>
      <w:r>
        <w:rPr>
          <w:color w:val="000000"/>
        </w:rPr>
        <w:t>investigaţiei</w:t>
      </w:r>
      <w:r>
        <w:rPr>
          <w:color w:val="000000"/>
        </w:rPr>
        <w:t xml:space="preserve"> a fost emis de către o persoană care nu avea mandat, fiind nelegal. În </w:t>
      </w:r>
      <w:r>
        <w:rPr>
          <w:color w:val="000000"/>
        </w:rPr>
        <w:t>consecinţă</w:t>
      </w:r>
      <w:r>
        <w:rPr>
          <w:color w:val="000000"/>
        </w:rPr>
        <w:t xml:space="preserve">, în urma procesului realizat de Consiliul </w:t>
      </w:r>
      <w:r>
        <w:rPr>
          <w:color w:val="000000"/>
        </w:rPr>
        <w:t>Concurenţei</w:t>
      </w:r>
      <w:r>
        <w:rPr>
          <w:color w:val="000000"/>
        </w:rPr>
        <w:t xml:space="preserve">, decizia de </w:t>
      </w:r>
      <w:r>
        <w:rPr>
          <w:color w:val="000000"/>
        </w:rPr>
        <w:t>sancţionare</w:t>
      </w:r>
      <w:r>
        <w:rPr>
          <w:color w:val="000000"/>
        </w:rPr>
        <w:t xml:space="preserve"> este, evident, nelegală. Un alt motiv care este evident </w:t>
      </w:r>
      <w:r>
        <w:rPr>
          <w:color w:val="000000"/>
        </w:rPr>
        <w:t>şi</w:t>
      </w:r>
      <w:r>
        <w:rPr>
          <w:color w:val="000000"/>
        </w:rPr>
        <w:t xml:space="preserve"> care nu necesită </w:t>
      </w:r>
      <w:r>
        <w:rPr>
          <w:color w:val="000000"/>
        </w:rPr>
        <w:t xml:space="preserve">verificarea unor aspecte de fond este acela al </w:t>
      </w:r>
      <w:r>
        <w:rPr>
          <w:color w:val="000000"/>
        </w:rPr>
        <w:t>existenţei</w:t>
      </w:r>
      <w:r>
        <w:rPr>
          <w:color w:val="000000"/>
        </w:rPr>
        <w:t xml:space="preserve"> unei </w:t>
      </w:r>
      <w:r>
        <w:rPr>
          <w:color w:val="000000"/>
        </w:rPr>
        <w:t>distribuţii</w:t>
      </w:r>
      <w:r>
        <w:rPr>
          <w:color w:val="000000"/>
        </w:rPr>
        <w:t xml:space="preserve"> duale. În acest sens, este suficient a fi avute în vedere prevederile legale, neexistând necesitatea unei analize pe fond. Expunerea de motive din Regulamentul 720/2022 relevă faptul că </w:t>
      </w:r>
      <w:r>
        <w:rPr>
          <w:color w:val="000000"/>
        </w:rPr>
        <w:t>distribuţia</w:t>
      </w:r>
      <w:r>
        <w:rPr>
          <w:color w:val="000000"/>
        </w:rPr>
        <w:t xml:space="preserve"> duală se referă la </w:t>
      </w:r>
      <w:r>
        <w:rPr>
          <w:color w:val="000000"/>
        </w:rPr>
        <w:t>situaţia</w:t>
      </w:r>
      <w:r>
        <w:rPr>
          <w:color w:val="000000"/>
        </w:rPr>
        <w:t xml:space="preserve"> în care un furnizor, în cazul de </w:t>
      </w:r>
      <w:r>
        <w:rPr>
          <w:color w:val="000000"/>
        </w:rPr>
        <w:t>faţă</w:t>
      </w:r>
      <w:r>
        <w:rPr>
          <w:color w:val="000000"/>
        </w:rPr>
        <w:t xml:space="preserve">, Z , vinde bunuri </w:t>
      </w:r>
      <w:r>
        <w:rPr>
          <w:color w:val="000000"/>
        </w:rPr>
        <w:t>şi</w:t>
      </w:r>
      <w:r>
        <w:rPr>
          <w:color w:val="000000"/>
        </w:rPr>
        <w:t xml:space="preserve"> servicii nu numai la nivelul din amonte, ci </w:t>
      </w:r>
      <w:r>
        <w:rPr>
          <w:color w:val="000000"/>
        </w:rPr>
        <w:t>şi</w:t>
      </w:r>
      <w:r>
        <w:rPr>
          <w:color w:val="000000"/>
        </w:rPr>
        <w:t xml:space="preserve"> la nivel din aval, concurând astfel cu distribuitorii săi </w:t>
      </w:r>
      <w:r>
        <w:rPr>
          <w:color w:val="000000"/>
        </w:rPr>
        <w:t>independenţi</w:t>
      </w:r>
      <w:r>
        <w:rPr>
          <w:color w:val="000000"/>
        </w:rPr>
        <w:t xml:space="preserve"> (reclamanta, din cauza de </w:t>
      </w:r>
      <w:r>
        <w:rPr>
          <w:color w:val="000000"/>
        </w:rPr>
        <w:t>faţă</w:t>
      </w:r>
      <w:r>
        <w:rPr>
          <w:color w:val="000000"/>
        </w:rPr>
        <w:t xml:space="preserve">). Atât timp cât există acest regulament european care prevede această </w:t>
      </w:r>
      <w:r>
        <w:rPr>
          <w:color w:val="000000"/>
        </w:rPr>
        <w:t>distribuţie</w:t>
      </w:r>
      <w:r>
        <w:rPr>
          <w:color w:val="000000"/>
        </w:rPr>
        <w:t xml:space="preserve"> duală, Consiliul </w:t>
      </w:r>
      <w:r>
        <w:rPr>
          <w:color w:val="000000"/>
        </w:rPr>
        <w:t>Concurenţei</w:t>
      </w:r>
      <w:r>
        <w:rPr>
          <w:color w:val="000000"/>
        </w:rPr>
        <w:t xml:space="preserve"> era obligat să analizeze aceste prevederi. Cu toate că în timpul </w:t>
      </w:r>
      <w:r>
        <w:rPr>
          <w:color w:val="000000"/>
        </w:rPr>
        <w:t>investigaţiei</w:t>
      </w:r>
      <w:r>
        <w:rPr>
          <w:color w:val="000000"/>
        </w:rPr>
        <w:t xml:space="preserve"> au adus la </w:t>
      </w:r>
      <w:r>
        <w:rPr>
          <w:color w:val="000000"/>
        </w:rPr>
        <w:t>cunoştinţă</w:t>
      </w:r>
      <w:r>
        <w:rPr>
          <w:color w:val="000000"/>
        </w:rPr>
        <w:t xml:space="preserve"> aceste aspecte, nu există în decizie motivare cu privire la Regulamentul 720/2022 </w:t>
      </w:r>
      <w:r>
        <w:rPr>
          <w:color w:val="000000"/>
        </w:rPr>
        <w:t>şi</w:t>
      </w:r>
      <w:r>
        <w:rPr>
          <w:color w:val="000000"/>
        </w:rPr>
        <w:t xml:space="preserve"> la </w:t>
      </w:r>
      <w:r>
        <w:rPr>
          <w:color w:val="000000"/>
        </w:rPr>
        <w:t>excepţiile</w:t>
      </w:r>
      <w:r>
        <w:rPr>
          <w:color w:val="000000"/>
        </w:rPr>
        <w:t xml:space="preserve"> pe care le prevede acest regulament, care să înlăture argumentele invocate de către reclamantă cu privire la </w:t>
      </w:r>
      <w:r>
        <w:rPr>
          <w:color w:val="000000"/>
        </w:rPr>
        <w:t>distribuţia</w:t>
      </w:r>
      <w:r>
        <w:rPr>
          <w:color w:val="000000"/>
        </w:rPr>
        <w:t xml:space="preserve"> duală. Subliniază faptul că reclamanta este singura societate, din toate care au fost investigate, care nu este </w:t>
      </w:r>
      <w:r>
        <w:rPr>
          <w:color w:val="000000"/>
        </w:rPr>
        <w:t>şi</w:t>
      </w:r>
      <w:r>
        <w:rPr>
          <w:color w:val="000000"/>
        </w:rPr>
        <w:t xml:space="preserve"> producător. Reclamanta este doar distribuitor. Reclamanta nu concura cu Z  în amonte. Concura cu Z  în aval, unde se întâlneau cu consumatorul final. Aceste aspecte nu au fost expuse în decizia contestată. Prin urmare, aceasta este nemotivată. Totodată, decizia contestată  nu </w:t>
      </w:r>
      <w:r>
        <w:rPr>
          <w:color w:val="000000"/>
        </w:rPr>
        <w:t>conţine</w:t>
      </w:r>
      <w:r>
        <w:rPr>
          <w:color w:val="000000"/>
        </w:rPr>
        <w:t xml:space="preserve"> o încadrare corectă a încălcării prin obiect </w:t>
      </w:r>
      <w:r>
        <w:rPr>
          <w:color w:val="000000"/>
        </w:rPr>
        <w:t>şi</w:t>
      </w:r>
      <w:r>
        <w:rPr>
          <w:color w:val="000000"/>
        </w:rPr>
        <w:t xml:space="preserve"> nu conferă o certitudine asupra caracterului al faptei, adică Consiliul </w:t>
      </w:r>
      <w:r>
        <w:rPr>
          <w:color w:val="000000"/>
        </w:rPr>
        <w:t>Concurenţei</w:t>
      </w:r>
      <w:r>
        <w:rPr>
          <w:color w:val="000000"/>
        </w:rPr>
        <w:t xml:space="preserve"> a tratat faptele ca </w:t>
      </w:r>
      <w:r>
        <w:rPr>
          <w:color w:val="000000"/>
        </w:rPr>
        <w:t>şi</w:t>
      </w:r>
      <w:r>
        <w:rPr>
          <w:color w:val="000000"/>
        </w:rPr>
        <w:t xml:space="preserve"> cum ar fi existat un plan de ansamblu între toate </w:t>
      </w:r>
      <w:r>
        <w:rPr>
          <w:color w:val="000000"/>
        </w:rPr>
        <w:t>societăţile</w:t>
      </w:r>
      <w:r>
        <w:rPr>
          <w:color w:val="000000"/>
        </w:rPr>
        <w:t xml:space="preserve"> investigate. În realitate, nu există în decizie </w:t>
      </w:r>
      <w:r>
        <w:rPr>
          <w:color w:val="000000"/>
        </w:rPr>
        <w:t>şi</w:t>
      </w:r>
      <w:r>
        <w:rPr>
          <w:color w:val="000000"/>
        </w:rPr>
        <w:t xml:space="preserve"> nici în dosarul de </w:t>
      </w:r>
      <w:r>
        <w:rPr>
          <w:color w:val="000000"/>
        </w:rPr>
        <w:t>investigaţie</w:t>
      </w:r>
      <w:r>
        <w:rPr>
          <w:color w:val="000000"/>
        </w:rPr>
        <w:t xml:space="preserve"> nicio dovadă din care să reiasă că a fost o </w:t>
      </w:r>
      <w:r>
        <w:rPr>
          <w:color w:val="000000"/>
        </w:rPr>
        <w:t>înţelegere</w:t>
      </w:r>
      <w:r>
        <w:rPr>
          <w:color w:val="000000"/>
        </w:rPr>
        <w:t xml:space="preserve"> concertată, că reclamanta a avut </w:t>
      </w:r>
      <w:r>
        <w:rPr>
          <w:color w:val="000000"/>
        </w:rPr>
        <w:t>cunoştinţă</w:t>
      </w:r>
      <w:r>
        <w:rPr>
          <w:color w:val="000000"/>
        </w:rPr>
        <w:t xml:space="preserve"> de celelalte </w:t>
      </w:r>
      <w:r>
        <w:rPr>
          <w:color w:val="000000"/>
        </w:rPr>
        <w:t>societăţi</w:t>
      </w:r>
      <w:r>
        <w:rPr>
          <w:color w:val="000000"/>
        </w:rPr>
        <w:t xml:space="preserve">. </w:t>
      </w:r>
      <w:r>
        <w:rPr>
          <w:color w:val="000000"/>
        </w:rPr>
        <w:t>Faţă</w:t>
      </w:r>
      <w:r>
        <w:rPr>
          <w:color w:val="000000"/>
        </w:rPr>
        <w:t xml:space="preserve"> de considerentele expuse, apreciază că decizia este nelegală, executarea acesteia, la acest moment ar fi de natură să creeze reclamantei un prejudiciu foarte mare. În realitate, veniturile </w:t>
      </w:r>
      <w:r>
        <w:rPr>
          <w:color w:val="000000"/>
        </w:rPr>
        <w:t>şi</w:t>
      </w:r>
      <w:r>
        <w:rPr>
          <w:color w:val="000000"/>
        </w:rPr>
        <w:t xml:space="preserve"> cheltuielile sunt aproape, în </w:t>
      </w:r>
      <w:r>
        <w:rPr>
          <w:color w:val="000000"/>
        </w:rPr>
        <w:t>acelaşi</w:t>
      </w:r>
      <w:r>
        <w:rPr>
          <w:color w:val="000000"/>
        </w:rPr>
        <w:t xml:space="preserve"> cuantum, iar dacă societatea ar fi executată cu cuantumul integral al amenzii, la acest moment, activitatea </w:t>
      </w:r>
      <w:r>
        <w:rPr>
          <w:color w:val="000000"/>
        </w:rPr>
        <w:t>societăţii</w:t>
      </w:r>
      <w:r>
        <w:rPr>
          <w:color w:val="000000"/>
        </w:rPr>
        <w:t xml:space="preserve"> ar fi afectată deoarece ar fi executată suma pe care aceasta o alocă achitării drepturilor salariale. Or, achitarea acestei sume, la acest moment, când nu există o </w:t>
      </w:r>
      <w:r>
        <w:rPr>
          <w:color w:val="000000"/>
        </w:rPr>
        <w:t>acţiune</w:t>
      </w:r>
      <w:r>
        <w:rPr>
          <w:color w:val="000000"/>
        </w:rPr>
        <w:t xml:space="preserve"> în anulare </w:t>
      </w:r>
      <w:r>
        <w:rPr>
          <w:color w:val="000000"/>
        </w:rPr>
        <w:t>soluţionată</w:t>
      </w:r>
      <w:r>
        <w:rPr>
          <w:color w:val="000000"/>
        </w:rPr>
        <w:t xml:space="preserve">, precum </w:t>
      </w:r>
      <w:r>
        <w:rPr>
          <w:color w:val="000000"/>
        </w:rPr>
        <w:t>şi</w:t>
      </w:r>
      <w:r>
        <w:rPr>
          <w:color w:val="000000"/>
        </w:rPr>
        <w:t xml:space="preserve"> </w:t>
      </w:r>
      <w:r>
        <w:rPr>
          <w:color w:val="000000"/>
        </w:rPr>
        <w:t>existenţa</w:t>
      </w:r>
      <w:r>
        <w:rPr>
          <w:color w:val="000000"/>
        </w:rPr>
        <w:t xml:space="preserve"> acestor motive de nelegalitate, ar aduce un prejudiciu foarte mare </w:t>
      </w:r>
      <w:r>
        <w:rPr>
          <w:color w:val="000000"/>
        </w:rPr>
        <w:t>societăţii</w:t>
      </w:r>
      <w:r>
        <w:rPr>
          <w:color w:val="000000"/>
        </w:rPr>
        <w:t xml:space="preserve">. Cu privire la motivul de nelegalitate referitor la lipsa mandatului, </w:t>
      </w:r>
      <w:r>
        <w:rPr>
          <w:color w:val="000000"/>
        </w:rPr>
        <w:t>instanţele</w:t>
      </w:r>
      <w:r>
        <w:rPr>
          <w:color w:val="000000"/>
        </w:rPr>
        <w:t xml:space="preserve"> române au început să se </w:t>
      </w:r>
      <w:r>
        <w:rPr>
          <w:color w:val="000000"/>
        </w:rPr>
        <w:t>pronunţe</w:t>
      </w:r>
      <w:r>
        <w:rPr>
          <w:color w:val="000000"/>
        </w:rPr>
        <w:t xml:space="preserve"> în sensul anulării hotărârilor, deciziilor date în acea perioadă deoarece Curtea </w:t>
      </w:r>
      <w:r>
        <w:rPr>
          <w:color w:val="000000"/>
        </w:rPr>
        <w:t>Constituţională</w:t>
      </w:r>
      <w:r>
        <w:rPr>
          <w:color w:val="000000"/>
        </w:rPr>
        <w:t xml:space="preserve"> a concluzionat că nu era legală emiterea unor astfel de documente. Pentru aceste considerente, solicită admiterea cererii de suspendare </w:t>
      </w:r>
      <w:r>
        <w:rPr>
          <w:color w:val="000000"/>
        </w:rPr>
        <w:t>şi</w:t>
      </w:r>
      <w:r>
        <w:rPr>
          <w:color w:val="000000"/>
        </w:rPr>
        <w:t xml:space="preserve"> instaurarea acestor măsuri provizorii până la </w:t>
      </w:r>
      <w:r>
        <w:rPr>
          <w:color w:val="000000"/>
        </w:rPr>
        <w:t>soluţionarea</w:t>
      </w:r>
      <w:r>
        <w:rPr>
          <w:color w:val="000000"/>
        </w:rPr>
        <w:t xml:space="preserve"> </w:t>
      </w:r>
      <w:r>
        <w:rPr>
          <w:color w:val="000000"/>
        </w:rPr>
        <w:t>acţiunii</w:t>
      </w:r>
      <w:r>
        <w:rPr>
          <w:color w:val="000000"/>
        </w:rPr>
        <w:t xml:space="preserve"> în anulare. Cheltuielile de judecată urmează a fi solicitate pe cale separată. </w:t>
      </w:r>
    </w:p>
    <w:p w:rsidR="00565124" w:rsidP="00565124" w14:paraId="6285FBA2" w14:textId="4830C110">
      <w:pPr>
        <w:ind w:firstLine="993"/>
        <w:jc w:val="both"/>
        <w:rPr>
          <w:color w:val="000000"/>
        </w:rPr>
      </w:pPr>
      <w:r>
        <w:rPr>
          <w:i/>
          <w:color w:val="000000"/>
        </w:rPr>
        <w:t>Reprezentantul pârâtului</w:t>
      </w:r>
      <w:r>
        <w:rPr>
          <w:color w:val="000000"/>
        </w:rPr>
        <w:t xml:space="preserve"> solicită respingerea cererii de suspendare a deciziei nr. .....</w:t>
      </w:r>
      <w:r>
        <w:rPr>
          <w:color w:val="000000"/>
        </w:rPr>
        <w:t>D1/2022</w:t>
      </w:r>
      <w:r>
        <w:rPr>
          <w:color w:val="000000"/>
        </w:rPr>
        <w:t xml:space="preserve">, formulată de către reclamantă. Consideră, astfel cum a detaliat, pe larg, în întâmpinare, că nu este făcută dovada îndeplinirii cumulative a celor două </w:t>
      </w:r>
      <w:r>
        <w:rPr>
          <w:color w:val="000000"/>
        </w:rPr>
        <w:t>condiţii</w:t>
      </w:r>
      <w:r>
        <w:rPr>
          <w:color w:val="000000"/>
        </w:rPr>
        <w:t xml:space="preserve"> cerute de Legea contenciosului administrativ. Chiar reclamanta, în ceea ce </w:t>
      </w:r>
      <w:r>
        <w:rPr>
          <w:color w:val="000000"/>
        </w:rPr>
        <w:t>priveşte</w:t>
      </w:r>
      <w:r>
        <w:rPr>
          <w:color w:val="000000"/>
        </w:rPr>
        <w:t xml:space="preserve"> ordinul nr. </w:t>
      </w:r>
      <w:r>
        <w:rPr>
          <w:color w:val="000000"/>
        </w:rPr>
        <w:t>O1</w:t>
      </w:r>
      <w:r>
        <w:rPr>
          <w:color w:val="000000"/>
        </w:rPr>
        <w:t xml:space="preserve">/2020, spune că nu i se cere suspendarea acestui ordin </w:t>
      </w:r>
      <w:r>
        <w:rPr>
          <w:color w:val="000000"/>
        </w:rPr>
        <w:t>şi</w:t>
      </w:r>
      <w:r>
        <w:rPr>
          <w:color w:val="000000"/>
        </w:rPr>
        <w:t xml:space="preserve">, în opinia sa, ar fi nelegal. Prin urmare, se remarcă faptul că  reclamanta invocă o </w:t>
      </w:r>
      <w:r>
        <w:rPr>
          <w:color w:val="000000"/>
        </w:rPr>
        <w:t>aparenţă</w:t>
      </w:r>
      <w:r>
        <w:rPr>
          <w:color w:val="000000"/>
        </w:rPr>
        <w:t xml:space="preserve"> de nelegalitate a deciziei nr. ..</w:t>
      </w:r>
      <w:r>
        <w:rPr>
          <w:color w:val="000000"/>
        </w:rPr>
        <w:t>D1/2022</w:t>
      </w:r>
      <w:r>
        <w:rPr>
          <w:color w:val="000000"/>
        </w:rPr>
        <w:t xml:space="preserve"> printr-o altă </w:t>
      </w:r>
      <w:r>
        <w:rPr>
          <w:color w:val="000000"/>
        </w:rPr>
        <w:t>aparenţă</w:t>
      </w:r>
      <w:r>
        <w:rPr>
          <w:color w:val="000000"/>
        </w:rPr>
        <w:t xml:space="preserve"> de nelegalitate. Acest fapt nu face dovada </w:t>
      </w:r>
      <w:r>
        <w:rPr>
          <w:color w:val="000000"/>
        </w:rPr>
        <w:t>aparenţei</w:t>
      </w:r>
      <w:r>
        <w:rPr>
          <w:color w:val="000000"/>
        </w:rPr>
        <w:t xml:space="preserve"> de nelegalitate a deciziei nr. ..</w:t>
      </w:r>
      <w:r>
        <w:rPr>
          <w:color w:val="000000"/>
        </w:rPr>
        <w:t>D1/2022</w:t>
      </w:r>
      <w:r>
        <w:rPr>
          <w:color w:val="000000"/>
        </w:rPr>
        <w:t xml:space="preserve">. Prin întâmpinare a arătat că la momentul extinderii </w:t>
      </w:r>
      <w:r>
        <w:rPr>
          <w:color w:val="000000"/>
        </w:rPr>
        <w:t>investigaţiei</w:t>
      </w:r>
      <w:r>
        <w:rPr>
          <w:color w:val="000000"/>
        </w:rPr>
        <w:t xml:space="preserve"> în ceea ce o </w:t>
      </w:r>
      <w:r>
        <w:rPr>
          <w:color w:val="000000"/>
        </w:rPr>
        <w:t>priveşte</w:t>
      </w:r>
      <w:r>
        <w:rPr>
          <w:color w:val="000000"/>
        </w:rPr>
        <w:t xml:space="preserve"> pe reclamantă, prevederile art. 118 alin. 3 din Legea </w:t>
      </w:r>
      <w:r>
        <w:rPr>
          <w:color w:val="000000"/>
        </w:rPr>
        <w:t>concurenţei</w:t>
      </w:r>
      <w:r>
        <w:rPr>
          <w:color w:val="000000"/>
        </w:rPr>
        <w:t xml:space="preserve"> erau în vigoare. Acestea au fost declarate </w:t>
      </w:r>
      <w:r>
        <w:rPr>
          <w:color w:val="000000"/>
        </w:rPr>
        <w:t>neconstituţionale</w:t>
      </w:r>
      <w:r>
        <w:rPr>
          <w:color w:val="000000"/>
        </w:rPr>
        <w:t xml:space="preserve"> prin Decizia nr. 58, care s-a publicat abia la data de 04.05.2021. Având în vedere că o decizie a </w:t>
      </w:r>
      <w:r>
        <w:rPr>
          <w:color w:val="000000"/>
        </w:rPr>
        <w:t>Curţii</w:t>
      </w:r>
      <w:r>
        <w:rPr>
          <w:color w:val="000000"/>
        </w:rPr>
        <w:t xml:space="preserve"> </w:t>
      </w:r>
      <w:r>
        <w:rPr>
          <w:color w:val="000000"/>
        </w:rPr>
        <w:t>Constituţionale</w:t>
      </w:r>
      <w:r>
        <w:rPr>
          <w:color w:val="000000"/>
        </w:rPr>
        <w:t xml:space="preserve"> produce efecte de la data publicării, când se </w:t>
      </w:r>
      <w:r>
        <w:rPr>
          <w:color w:val="000000"/>
        </w:rPr>
        <w:t>cunoaşte</w:t>
      </w:r>
      <w:r>
        <w:rPr>
          <w:color w:val="000000"/>
        </w:rPr>
        <w:t xml:space="preserve"> </w:t>
      </w:r>
      <w:r>
        <w:rPr>
          <w:color w:val="000000"/>
        </w:rPr>
        <w:t>şi</w:t>
      </w:r>
      <w:r>
        <w:rPr>
          <w:color w:val="000000"/>
        </w:rPr>
        <w:t xml:space="preserve"> motivarea acesteia, apreciază că aspectele invocate de către reclamantă nu sunt de natură a </w:t>
      </w:r>
      <w:r>
        <w:rPr>
          <w:color w:val="000000"/>
        </w:rPr>
        <w:t>influenţa</w:t>
      </w:r>
      <w:r>
        <w:rPr>
          <w:color w:val="000000"/>
        </w:rPr>
        <w:t xml:space="preserve"> </w:t>
      </w:r>
      <w:r>
        <w:rPr>
          <w:color w:val="000000"/>
        </w:rPr>
        <w:t>situaţia</w:t>
      </w:r>
      <w:r>
        <w:rPr>
          <w:color w:val="000000"/>
        </w:rPr>
        <w:t xml:space="preserve"> incidentă la momentul extinderii </w:t>
      </w:r>
      <w:r>
        <w:rPr>
          <w:color w:val="000000"/>
        </w:rPr>
        <w:t>investigaţiei</w:t>
      </w:r>
      <w:r>
        <w:rPr>
          <w:color w:val="000000"/>
        </w:rPr>
        <w:t xml:space="preserve">, 27.10.2020. Consideră că aspectele invocate de reclamantă sunt aspecte ce vizează fondul cauzei. Hotărârea care stă la baza ordinului de extindere a </w:t>
      </w:r>
      <w:r>
        <w:rPr>
          <w:color w:val="000000"/>
        </w:rPr>
        <w:t>investigaţiei</w:t>
      </w:r>
      <w:r>
        <w:rPr>
          <w:color w:val="000000"/>
        </w:rPr>
        <w:t xml:space="preserve"> a fost luată în Plenul Consiliului </w:t>
      </w:r>
      <w:r>
        <w:rPr>
          <w:color w:val="000000"/>
        </w:rPr>
        <w:t>Concurenţei</w:t>
      </w:r>
      <w:r>
        <w:rPr>
          <w:color w:val="000000"/>
        </w:rPr>
        <w:t xml:space="preserve">, organ legal constituit, cu cvorumul cerut de lege. Faptul că ordinul nr. </w:t>
      </w:r>
      <w:r>
        <w:rPr>
          <w:color w:val="000000"/>
        </w:rPr>
        <w:t>O1</w:t>
      </w:r>
      <w:r>
        <w:rPr>
          <w:color w:val="000000"/>
        </w:rPr>
        <w:t xml:space="preserve">/2020 este semnat de </w:t>
      </w:r>
      <w:r>
        <w:rPr>
          <w:color w:val="000000"/>
        </w:rPr>
        <w:t>Preşedintele</w:t>
      </w:r>
      <w:r>
        <w:rPr>
          <w:color w:val="000000"/>
        </w:rPr>
        <w:t xml:space="preserve"> Consiliului </w:t>
      </w:r>
      <w:r>
        <w:rPr>
          <w:color w:val="000000"/>
        </w:rPr>
        <w:t>Concurenţei</w:t>
      </w:r>
      <w:r>
        <w:rPr>
          <w:color w:val="000000"/>
        </w:rPr>
        <w:t xml:space="preserve"> nu ar putea fi de natură să invalideze hotărârea plenului în această cauză </w:t>
      </w:r>
      <w:r>
        <w:rPr>
          <w:color w:val="000000"/>
        </w:rPr>
        <w:t>şi</w:t>
      </w:r>
      <w:r>
        <w:rPr>
          <w:color w:val="000000"/>
        </w:rPr>
        <w:t xml:space="preserve">, mai departe, să conducă la o </w:t>
      </w:r>
      <w:r>
        <w:rPr>
          <w:color w:val="000000"/>
        </w:rPr>
        <w:t>aparenţă</w:t>
      </w:r>
      <w:r>
        <w:rPr>
          <w:color w:val="000000"/>
        </w:rPr>
        <w:t xml:space="preserve"> de nelegalitate a deciziei nr. ....</w:t>
      </w:r>
      <w:r>
        <w:rPr>
          <w:color w:val="000000"/>
        </w:rPr>
        <w:t>D1/2022</w:t>
      </w:r>
      <w:r>
        <w:rPr>
          <w:color w:val="000000"/>
        </w:rPr>
        <w:t xml:space="preserve">. Autoritatea de </w:t>
      </w:r>
      <w:r>
        <w:rPr>
          <w:color w:val="000000"/>
        </w:rPr>
        <w:t>concurenţă</w:t>
      </w:r>
      <w:r>
        <w:rPr>
          <w:color w:val="000000"/>
        </w:rPr>
        <w:t xml:space="preserve"> a </w:t>
      </w:r>
      <w:r>
        <w:rPr>
          <w:color w:val="000000"/>
        </w:rPr>
        <w:t>reţinut</w:t>
      </w:r>
      <w:r>
        <w:rPr>
          <w:color w:val="000000"/>
        </w:rPr>
        <w:t xml:space="preserve"> </w:t>
      </w:r>
      <w:r>
        <w:rPr>
          <w:color w:val="000000"/>
        </w:rPr>
        <w:t>existenţa</w:t>
      </w:r>
      <w:r>
        <w:rPr>
          <w:color w:val="000000"/>
        </w:rPr>
        <w:t xml:space="preserve"> </w:t>
      </w:r>
      <w:r>
        <w:rPr>
          <w:color w:val="000000"/>
        </w:rPr>
        <w:t>înţelegerii</w:t>
      </w:r>
      <w:r>
        <w:rPr>
          <w:color w:val="000000"/>
        </w:rPr>
        <w:t xml:space="preserve">, la nivel orizontal, </w:t>
      </w:r>
      <w:r w:rsidRPr="00D920DE">
        <w:rPr>
          <w:color w:val="000000"/>
        </w:rPr>
        <w:t xml:space="preserve">între Z  </w:t>
      </w:r>
      <w:r w:rsidRPr="00D920DE">
        <w:rPr>
          <w:color w:val="000000"/>
        </w:rPr>
        <w:t>şi</w:t>
      </w:r>
      <w:r w:rsidRPr="00D920DE">
        <w:rPr>
          <w:color w:val="000000"/>
        </w:rPr>
        <w:t xml:space="preserve"> X. Niciuna</w:t>
      </w:r>
      <w:r>
        <w:rPr>
          <w:color w:val="000000"/>
        </w:rPr>
        <w:t xml:space="preserve"> dintre acestea nu a arătat, în cadrul </w:t>
      </w:r>
      <w:r>
        <w:rPr>
          <w:color w:val="000000"/>
        </w:rPr>
        <w:t>investigaţiei</w:t>
      </w:r>
      <w:r>
        <w:rPr>
          <w:color w:val="000000"/>
        </w:rPr>
        <w:t xml:space="preserve">, care ar fi legătura între aspectele </w:t>
      </w:r>
      <w:r>
        <w:rPr>
          <w:color w:val="000000"/>
        </w:rPr>
        <w:t>anticoncurenţiale</w:t>
      </w:r>
      <w:r>
        <w:rPr>
          <w:color w:val="000000"/>
        </w:rPr>
        <w:t xml:space="preserve"> discutate la nivel orizontal </w:t>
      </w:r>
      <w:r>
        <w:rPr>
          <w:color w:val="000000"/>
        </w:rPr>
        <w:t>şi</w:t>
      </w:r>
      <w:r>
        <w:rPr>
          <w:color w:val="000000"/>
        </w:rPr>
        <w:t xml:space="preserve"> contractul de </w:t>
      </w:r>
      <w:r>
        <w:rPr>
          <w:color w:val="000000"/>
        </w:rPr>
        <w:t>distribuţie</w:t>
      </w:r>
      <w:r>
        <w:rPr>
          <w:color w:val="000000"/>
        </w:rPr>
        <w:t xml:space="preserve"> existent între aceste două întreprinderi. În decizie autoritatea de </w:t>
      </w:r>
      <w:r>
        <w:rPr>
          <w:color w:val="000000"/>
        </w:rPr>
        <w:t>concurenţă</w:t>
      </w:r>
      <w:r>
        <w:rPr>
          <w:color w:val="000000"/>
        </w:rPr>
        <w:t xml:space="preserve"> a răspuns </w:t>
      </w:r>
      <w:r>
        <w:rPr>
          <w:color w:val="000000"/>
        </w:rPr>
        <w:t>observaţiilor</w:t>
      </w:r>
      <w:r>
        <w:rPr>
          <w:color w:val="000000"/>
        </w:rPr>
        <w:t xml:space="preserve"> formulate de către </w:t>
      </w:r>
      <w:r>
        <w:rPr>
          <w:color w:val="000000"/>
        </w:rPr>
        <w:t xml:space="preserve">reclamantă, prin care aceasta </w:t>
      </w:r>
      <w:r>
        <w:rPr>
          <w:color w:val="000000"/>
        </w:rPr>
        <w:t>susţinea</w:t>
      </w:r>
      <w:r>
        <w:rPr>
          <w:color w:val="000000"/>
        </w:rPr>
        <w:t xml:space="preserve"> </w:t>
      </w:r>
      <w:r>
        <w:rPr>
          <w:color w:val="000000"/>
        </w:rPr>
        <w:t>incidenţa</w:t>
      </w:r>
      <w:r>
        <w:rPr>
          <w:color w:val="000000"/>
        </w:rPr>
        <w:t xml:space="preserve"> Regulamentului de exceptare pe categorii. Autoritatea de </w:t>
      </w:r>
      <w:r>
        <w:rPr>
          <w:color w:val="000000"/>
        </w:rPr>
        <w:t>concurenţă</w:t>
      </w:r>
      <w:r>
        <w:rPr>
          <w:color w:val="000000"/>
        </w:rPr>
        <w:t xml:space="preserve"> nu a avut în vedere aspectele de natură verticală între cele două </w:t>
      </w:r>
      <w:r>
        <w:rPr>
          <w:color w:val="000000"/>
        </w:rPr>
        <w:t>societăţi</w:t>
      </w:r>
      <w:r>
        <w:rPr>
          <w:color w:val="000000"/>
        </w:rPr>
        <w:t xml:space="preserve">, ci exclusiv aspectele de natură orizontală. Pe </w:t>
      </w:r>
      <w:r>
        <w:rPr>
          <w:color w:val="000000"/>
        </w:rPr>
        <w:t>aceeaşi</w:t>
      </w:r>
      <w:r>
        <w:rPr>
          <w:color w:val="000000"/>
        </w:rPr>
        <w:t xml:space="preserve"> </w:t>
      </w:r>
      <w:r>
        <w:rPr>
          <w:color w:val="000000"/>
        </w:rPr>
        <w:t>situaţie</w:t>
      </w:r>
      <w:r>
        <w:rPr>
          <w:color w:val="000000"/>
        </w:rPr>
        <w:t xml:space="preserve"> de fapt, Z  a recunoscut </w:t>
      </w:r>
      <w:r>
        <w:rPr>
          <w:color w:val="000000"/>
        </w:rPr>
        <w:t>săvârşirea</w:t>
      </w:r>
      <w:r>
        <w:rPr>
          <w:color w:val="000000"/>
        </w:rPr>
        <w:t xml:space="preserve"> faptei </w:t>
      </w:r>
      <w:r>
        <w:rPr>
          <w:color w:val="000000"/>
        </w:rPr>
        <w:t>anticoncurenţiale</w:t>
      </w:r>
      <w:r>
        <w:rPr>
          <w:color w:val="000000"/>
        </w:rPr>
        <w:t xml:space="preserve"> </w:t>
      </w:r>
      <w:r>
        <w:rPr>
          <w:color w:val="000000"/>
        </w:rPr>
        <w:t>şi</w:t>
      </w:r>
      <w:r>
        <w:rPr>
          <w:color w:val="000000"/>
        </w:rPr>
        <w:t xml:space="preserve"> </w:t>
      </w:r>
      <w:r>
        <w:rPr>
          <w:color w:val="000000"/>
        </w:rPr>
        <w:t>şi</w:t>
      </w:r>
      <w:r>
        <w:rPr>
          <w:color w:val="000000"/>
        </w:rPr>
        <w:t xml:space="preserve">-a asumat răspunderea pentru aceasta. În ceea ce </w:t>
      </w:r>
      <w:r>
        <w:rPr>
          <w:color w:val="000000"/>
        </w:rPr>
        <w:t>priveşte</w:t>
      </w:r>
      <w:r>
        <w:rPr>
          <w:color w:val="000000"/>
        </w:rPr>
        <w:t xml:space="preserve"> faptul că decizia </w:t>
      </w:r>
      <w:r>
        <w:rPr>
          <w:color w:val="000000"/>
        </w:rPr>
        <w:t>autorităţii</w:t>
      </w:r>
      <w:r>
        <w:rPr>
          <w:color w:val="000000"/>
        </w:rPr>
        <w:t xml:space="preserve"> nu a conferit certitudine asupra caracterului unic al faptei constatate, precizează că reclamanta a fost </w:t>
      </w:r>
      <w:r>
        <w:rPr>
          <w:color w:val="000000"/>
        </w:rPr>
        <w:t>sancţionată</w:t>
      </w:r>
      <w:r>
        <w:rPr>
          <w:color w:val="000000"/>
        </w:rPr>
        <w:t xml:space="preserve">, exclusiv, pentru faptele </w:t>
      </w:r>
      <w:r>
        <w:rPr>
          <w:color w:val="000000"/>
        </w:rPr>
        <w:t>săvârşite</w:t>
      </w:r>
      <w:r>
        <w:rPr>
          <w:color w:val="000000"/>
        </w:rPr>
        <w:t xml:space="preserve"> de aceasta în </w:t>
      </w:r>
      <w:r>
        <w:rPr>
          <w:color w:val="000000"/>
        </w:rPr>
        <w:t>relaţia</w:t>
      </w:r>
      <w:r>
        <w:rPr>
          <w:color w:val="000000"/>
        </w:rPr>
        <w:t xml:space="preserve"> cu Z  </w:t>
      </w:r>
      <w:r>
        <w:rPr>
          <w:color w:val="000000"/>
        </w:rPr>
        <w:t>şi</w:t>
      </w:r>
      <w:r>
        <w:rPr>
          <w:color w:val="000000"/>
        </w:rPr>
        <w:t xml:space="preserve"> pentru durata aferentă raporturilor de natură orizontală dintre cele două întreprinderi. Prin raportare la </w:t>
      </w:r>
      <w:r>
        <w:rPr>
          <w:color w:val="000000"/>
        </w:rPr>
        <w:t>jurisprudenţa</w:t>
      </w:r>
      <w:r>
        <w:rPr>
          <w:color w:val="000000"/>
        </w:rPr>
        <w:t xml:space="preserve"> europeană, a arătat că </w:t>
      </w:r>
      <w:r>
        <w:rPr>
          <w:color w:val="000000"/>
        </w:rPr>
        <w:t>şi</w:t>
      </w:r>
      <w:r>
        <w:rPr>
          <w:color w:val="000000"/>
        </w:rPr>
        <w:t xml:space="preserve"> în </w:t>
      </w:r>
      <w:r>
        <w:rPr>
          <w:color w:val="000000"/>
        </w:rPr>
        <w:t>situaţia</w:t>
      </w:r>
      <w:r>
        <w:rPr>
          <w:color w:val="000000"/>
        </w:rPr>
        <w:t xml:space="preserve"> în care s-ar accepta </w:t>
      </w:r>
      <w:r>
        <w:rPr>
          <w:color w:val="000000"/>
        </w:rPr>
        <w:t>susţinerile</w:t>
      </w:r>
      <w:r>
        <w:rPr>
          <w:color w:val="000000"/>
        </w:rPr>
        <w:t xml:space="preserve"> reclamantei, aceste aspecte nu ar fi de natură a conduce la exonerarea de răspundere </w:t>
      </w:r>
      <w:r>
        <w:rPr>
          <w:color w:val="000000"/>
        </w:rPr>
        <w:t>contravenţională</w:t>
      </w:r>
      <w:r>
        <w:rPr>
          <w:color w:val="000000"/>
        </w:rPr>
        <w:t xml:space="preserve"> a reclamantei, atât timp cât faptele sunt dovedite, în ceea ce o </w:t>
      </w:r>
      <w:r>
        <w:rPr>
          <w:color w:val="000000"/>
        </w:rPr>
        <w:t>priveşte</w:t>
      </w:r>
      <w:r>
        <w:rPr>
          <w:color w:val="000000"/>
        </w:rPr>
        <w:t xml:space="preserve">. Referitor la paguba iminentă consideră că nu sunt îndeplinite </w:t>
      </w:r>
      <w:r>
        <w:rPr>
          <w:color w:val="000000"/>
        </w:rPr>
        <w:t>condiţiile</w:t>
      </w:r>
      <w:r>
        <w:rPr>
          <w:color w:val="000000"/>
        </w:rPr>
        <w:t xml:space="preserve">. X  este o întreprindere profitabilă, solvabilă, cu o </w:t>
      </w:r>
      <w:r>
        <w:rPr>
          <w:color w:val="000000"/>
        </w:rPr>
        <w:t>evoluţie</w:t>
      </w:r>
      <w:r>
        <w:rPr>
          <w:color w:val="000000"/>
        </w:rPr>
        <w:t xml:space="preserve"> pozitivă a cifrei de afaceri, astfel cum a detaliat pe baza </w:t>
      </w:r>
      <w:r>
        <w:rPr>
          <w:color w:val="000000"/>
        </w:rPr>
        <w:t>situaţiei</w:t>
      </w:r>
      <w:r>
        <w:rPr>
          <w:color w:val="000000"/>
        </w:rPr>
        <w:t xml:space="preserve"> prezentate de reclamantă, dar </w:t>
      </w:r>
      <w:r>
        <w:rPr>
          <w:color w:val="000000"/>
        </w:rPr>
        <w:t>şi</w:t>
      </w:r>
      <w:r>
        <w:rPr>
          <w:color w:val="000000"/>
        </w:rPr>
        <w:t xml:space="preserve"> a înscrisurilor publice existente pe site-ul Ministerului </w:t>
      </w:r>
      <w:r>
        <w:rPr>
          <w:color w:val="000000"/>
        </w:rPr>
        <w:t>Finanţelor</w:t>
      </w:r>
      <w:r>
        <w:rPr>
          <w:color w:val="000000"/>
        </w:rPr>
        <w:t xml:space="preserve">. Pentru toate aceste motive, reiterează solicitarea de respingere a cererii de suspendare a executării. </w:t>
      </w:r>
    </w:p>
    <w:p w:rsidR="00565124" w:rsidP="00565124" w14:paraId="49135BFB" w14:textId="77777777">
      <w:pPr>
        <w:ind w:firstLine="993"/>
        <w:jc w:val="both"/>
        <w:rPr>
          <w:color w:val="000000"/>
        </w:rPr>
      </w:pPr>
      <w:r>
        <w:rPr>
          <w:i/>
          <w:color w:val="000000"/>
        </w:rPr>
        <w:t>În replică, apărătorul reclamantei</w:t>
      </w:r>
      <w:r>
        <w:rPr>
          <w:color w:val="000000"/>
        </w:rPr>
        <w:t xml:space="preserve">, cu privire la raporturile verticale, solicită a se observa ca s-a confirmat faptul că nu au fost analizate, însă nu s-a contestat faptul că sunt incidente </w:t>
      </w:r>
      <w:r>
        <w:rPr>
          <w:color w:val="000000"/>
        </w:rPr>
        <w:t>şi</w:t>
      </w:r>
      <w:r>
        <w:rPr>
          <w:color w:val="000000"/>
        </w:rPr>
        <w:t xml:space="preserve"> acele raporturi pe verticală. Faptul că s-au furnizat </w:t>
      </w:r>
      <w:r>
        <w:rPr>
          <w:color w:val="000000"/>
        </w:rPr>
        <w:t>nişte</w:t>
      </w:r>
      <w:r>
        <w:rPr>
          <w:color w:val="000000"/>
        </w:rPr>
        <w:t xml:space="preserve"> </w:t>
      </w:r>
      <w:r>
        <w:rPr>
          <w:color w:val="000000"/>
        </w:rPr>
        <w:t>informaţii</w:t>
      </w:r>
      <w:r>
        <w:rPr>
          <w:color w:val="000000"/>
        </w:rPr>
        <w:t xml:space="preserve">, dacă pe orizontal puteau fi considerate </w:t>
      </w:r>
      <w:r>
        <w:rPr>
          <w:color w:val="000000"/>
        </w:rPr>
        <w:t>nişte</w:t>
      </w:r>
      <w:r>
        <w:rPr>
          <w:color w:val="000000"/>
        </w:rPr>
        <w:t xml:space="preserve"> </w:t>
      </w:r>
      <w:r>
        <w:rPr>
          <w:color w:val="000000"/>
        </w:rPr>
        <w:t>informaţii</w:t>
      </w:r>
      <w:r>
        <w:rPr>
          <w:color w:val="000000"/>
        </w:rPr>
        <w:t xml:space="preserve"> sensibile, pe vertical, acestea erau exceptate. Dacă se verifica faptul că au fost furnizate de la furnizor, la distribuitor, apreciază că nu mai erau valabile pe plan orizontal. </w:t>
      </w:r>
    </w:p>
    <w:p w:rsidR="00565124" w:rsidP="00565124" w14:paraId="06BC75C4" w14:textId="786E84AC">
      <w:pPr>
        <w:ind w:firstLine="993"/>
        <w:jc w:val="both"/>
        <w:rPr>
          <w:color w:val="000000"/>
        </w:rPr>
      </w:pPr>
      <w:r>
        <w:rPr>
          <w:i/>
          <w:color w:val="000000"/>
        </w:rPr>
        <w:t>Reprezentantul pârâtei</w:t>
      </w:r>
      <w:r>
        <w:rPr>
          <w:color w:val="000000"/>
        </w:rPr>
        <w:t xml:space="preserve"> precizează că există toată analiza efectuată de către autoritatea de </w:t>
      </w:r>
      <w:r>
        <w:rPr>
          <w:color w:val="000000"/>
        </w:rPr>
        <w:t>concurenţă</w:t>
      </w:r>
      <w:r>
        <w:rPr>
          <w:color w:val="000000"/>
        </w:rPr>
        <w:t xml:space="preserve"> în decizia nr. ......</w:t>
      </w:r>
      <w:r>
        <w:rPr>
          <w:color w:val="000000"/>
        </w:rPr>
        <w:t>D1/2022</w:t>
      </w:r>
      <w:r>
        <w:rPr>
          <w:color w:val="000000"/>
        </w:rPr>
        <w:t xml:space="preserve">, inclusiv la </w:t>
      </w:r>
      <w:r>
        <w:rPr>
          <w:color w:val="000000"/>
        </w:rPr>
        <w:t>incidenţa</w:t>
      </w:r>
      <w:r>
        <w:rPr>
          <w:color w:val="000000"/>
        </w:rPr>
        <w:t xml:space="preserve"> Regulamentului nr. 720/2022. Autoritatea de </w:t>
      </w:r>
      <w:r>
        <w:rPr>
          <w:color w:val="000000"/>
        </w:rPr>
        <w:t>concurenţă</w:t>
      </w:r>
      <w:r>
        <w:rPr>
          <w:color w:val="000000"/>
        </w:rPr>
        <w:t xml:space="preserve"> a avut în vedere </w:t>
      </w:r>
      <w:r>
        <w:rPr>
          <w:color w:val="000000"/>
        </w:rPr>
        <w:t>relaţia</w:t>
      </w:r>
      <w:r>
        <w:rPr>
          <w:color w:val="000000"/>
        </w:rPr>
        <w:t xml:space="preserve"> orizontală, aceste aspecte de natură </w:t>
      </w:r>
      <w:r>
        <w:rPr>
          <w:color w:val="000000"/>
        </w:rPr>
        <w:t>anticoncurenţială</w:t>
      </w:r>
      <w:r>
        <w:rPr>
          <w:color w:val="000000"/>
        </w:rPr>
        <w:t xml:space="preserve"> excedând contractului de </w:t>
      </w:r>
      <w:r>
        <w:rPr>
          <w:color w:val="000000"/>
        </w:rPr>
        <w:t>distribuţie</w:t>
      </w:r>
      <w:r>
        <w:rPr>
          <w:color w:val="000000"/>
        </w:rPr>
        <w:t xml:space="preserve"> dintre cele două întreprinderi.  </w:t>
      </w:r>
    </w:p>
    <w:p w:rsidR="00565124" w:rsidP="00565124" w14:paraId="06FEA1EB" w14:textId="77777777">
      <w:pPr>
        <w:ind w:firstLine="993"/>
        <w:jc w:val="both"/>
        <w:rPr>
          <w:color w:val="000000"/>
        </w:rPr>
      </w:pPr>
      <w:r>
        <w:rPr>
          <w:color w:val="000000"/>
        </w:rPr>
        <w:t xml:space="preserve">Curtea declară închise dezbaterile și </w:t>
      </w:r>
      <w:r>
        <w:rPr>
          <w:color w:val="000000"/>
        </w:rPr>
        <w:t>reţine</w:t>
      </w:r>
      <w:r>
        <w:rPr>
          <w:color w:val="000000"/>
        </w:rPr>
        <w:t xml:space="preserve"> cauza în </w:t>
      </w:r>
      <w:r>
        <w:rPr>
          <w:color w:val="000000"/>
        </w:rPr>
        <w:t>pronunţare</w:t>
      </w:r>
      <w:r>
        <w:rPr>
          <w:color w:val="000000"/>
        </w:rPr>
        <w:t xml:space="preserve">. </w:t>
      </w:r>
    </w:p>
    <w:p w:rsidR="00565124" w:rsidP="00565124" w14:paraId="7196734F" w14:textId="77777777">
      <w:pPr>
        <w:ind w:firstLine="993"/>
        <w:jc w:val="both"/>
        <w:rPr>
          <w:color w:val="000000"/>
        </w:rPr>
      </w:pPr>
    </w:p>
    <w:p w:rsidR="00565124" w:rsidP="00565124" w14:paraId="33D28DB8" w14:textId="77777777">
      <w:pPr>
        <w:ind w:firstLine="993"/>
        <w:jc w:val="both"/>
        <w:rPr>
          <w:color w:val="000000"/>
        </w:rPr>
      </w:pPr>
    </w:p>
    <w:p w:rsidR="00565124" w:rsidP="00565124" w14:paraId="2F93949A" w14:textId="77777777">
      <w:pPr>
        <w:ind w:firstLine="993"/>
        <w:jc w:val="center"/>
        <w:rPr>
          <w:b/>
        </w:rPr>
      </w:pPr>
      <w:r>
        <w:rPr>
          <w:b/>
        </w:rPr>
        <w:t xml:space="preserve">C U R T E A </w:t>
      </w:r>
    </w:p>
    <w:p w:rsidR="00565124" w:rsidP="00565124" w14:paraId="4BB899BB" w14:textId="77777777">
      <w:pPr>
        <w:ind w:firstLine="993"/>
        <w:jc w:val="center"/>
        <w:rPr>
          <w:b/>
        </w:rPr>
      </w:pPr>
    </w:p>
    <w:p w:rsidR="00565124" w:rsidP="00565124" w14:paraId="03EE8735" w14:textId="77777777">
      <w:pPr>
        <w:ind w:firstLine="993"/>
        <w:jc w:val="center"/>
        <w:rPr>
          <w:b/>
        </w:rPr>
      </w:pPr>
    </w:p>
    <w:p w:rsidR="00565124" w:rsidP="00565124" w14:paraId="70C5C1C9" w14:textId="77777777">
      <w:pPr>
        <w:ind w:firstLine="993"/>
        <w:jc w:val="both"/>
        <w:rPr>
          <w:i/>
        </w:rPr>
      </w:pPr>
      <w:r>
        <w:rPr>
          <w:i/>
        </w:rPr>
        <w:t xml:space="preserve">Deliberând asupra cauzei de contencios administrativ de </w:t>
      </w:r>
      <w:r>
        <w:rPr>
          <w:i/>
        </w:rPr>
        <w:t>faţă</w:t>
      </w:r>
      <w:r>
        <w:rPr>
          <w:i/>
        </w:rPr>
        <w:t xml:space="preserve">: </w:t>
      </w:r>
    </w:p>
    <w:p w:rsidR="00565124" w:rsidP="00565124" w14:paraId="6DA82B6F" w14:textId="77777777">
      <w:pPr>
        <w:ind w:firstLine="993"/>
        <w:jc w:val="both"/>
        <w:rPr>
          <w:b/>
          <w:i/>
        </w:rPr>
      </w:pPr>
      <w:r>
        <w:rPr>
          <w:b/>
          <w:i/>
        </w:rPr>
        <w:t>1. Cererea de chemare în judecată</w:t>
      </w:r>
    </w:p>
    <w:p w:rsidRPr="00D920DE" w:rsidR="00565124" w:rsidP="00565124" w14:paraId="6797456C" w14:textId="43A27D09">
      <w:pPr>
        <w:ind w:firstLine="993"/>
        <w:jc w:val="both"/>
        <w:rPr>
          <w:rStyle w:val="FontStyle80"/>
          <w:i/>
        </w:rPr>
      </w:pPr>
      <w:r>
        <w:t xml:space="preserve">Prin cererea de chemare în judecată înregistrată pe rolul acestei instanțe, la data de </w:t>
      </w:r>
      <w:r>
        <w:t>...........</w:t>
      </w:r>
      <w:r>
        <w:t>2023, sub nr. .........,</w:t>
      </w:r>
      <w:r>
        <w:rPr>
          <w:b/>
        </w:rPr>
        <w:t xml:space="preserve"> </w:t>
      </w:r>
      <w:r>
        <w:t xml:space="preserve">reclamanta </w:t>
      </w:r>
      <w:r>
        <w:rPr>
          <w:color w:val="000000"/>
        </w:rPr>
        <w:t xml:space="preserve">X S.R.L. a solicitat în contradictoriu cu pârâtul Consiliul </w:t>
      </w:r>
      <w:r>
        <w:rPr>
          <w:color w:val="000000"/>
        </w:rPr>
        <w:t>Concurenţei</w:t>
      </w:r>
      <w:r>
        <w:rPr>
          <w:color w:val="000000"/>
        </w:rPr>
        <w:t xml:space="preserve"> suspendarea </w:t>
      </w:r>
      <w:r w:rsidRPr="00D920DE">
        <w:rPr>
          <w:color w:val="000000"/>
        </w:rPr>
        <w:t xml:space="preserve">executării deciziei nr. </w:t>
      </w:r>
      <w:r>
        <w:rPr>
          <w:color w:val="000000"/>
        </w:rPr>
        <w:t>D1/</w:t>
      </w:r>
      <w:r w:rsidRPr="00D920DE">
        <w:rPr>
          <w:color w:val="000000"/>
        </w:rPr>
        <w:t xml:space="preserve">2022 privind constatarea încălcării prevederilor art. 5 alin. 1 din Legea </w:t>
      </w:r>
      <w:r w:rsidRPr="00D920DE">
        <w:rPr>
          <w:color w:val="000000"/>
        </w:rPr>
        <w:t>concurenţei</w:t>
      </w:r>
      <w:r w:rsidRPr="00D920DE">
        <w:rPr>
          <w:color w:val="000000"/>
        </w:rPr>
        <w:t xml:space="preserve"> </w:t>
      </w:r>
      <w:r w:rsidRPr="00D920DE">
        <w:rPr>
          <w:color w:val="000000"/>
        </w:rPr>
        <w:t>şi</w:t>
      </w:r>
      <w:r w:rsidRPr="00D920DE">
        <w:rPr>
          <w:color w:val="000000"/>
        </w:rPr>
        <w:t xml:space="preserve"> a art. 101 alin. 1 din Tratatul </w:t>
      </w:r>
      <w:r w:rsidRPr="00D920DE">
        <w:rPr>
          <w:rStyle w:val="FontStyle80"/>
        </w:rPr>
        <w:t xml:space="preserve">privind </w:t>
      </w:r>
      <w:r w:rsidRPr="00D920DE">
        <w:rPr>
          <w:rStyle w:val="FontStyle80"/>
        </w:rPr>
        <w:t>Funcţionarea</w:t>
      </w:r>
      <w:r w:rsidRPr="00D920DE">
        <w:rPr>
          <w:rStyle w:val="FontStyle80"/>
        </w:rPr>
        <w:t xml:space="preserve"> Uniunii Europene </w:t>
      </w:r>
      <w:r w:rsidRPr="00D920DE">
        <w:rPr>
          <w:rStyle w:val="FontStyle80"/>
        </w:rPr>
        <w:t>şi</w:t>
      </w:r>
      <w:r w:rsidRPr="00D920DE">
        <w:rPr>
          <w:rStyle w:val="FontStyle80"/>
        </w:rPr>
        <w:t xml:space="preserve"> </w:t>
      </w:r>
      <w:r w:rsidRPr="00D920DE">
        <w:rPr>
          <w:rStyle w:val="FontStyle80"/>
        </w:rPr>
        <w:t>sancţionarea</w:t>
      </w:r>
      <w:r w:rsidRPr="00D920DE">
        <w:rPr>
          <w:rStyle w:val="FontStyle80"/>
        </w:rPr>
        <w:t xml:space="preserve"> întreprinderilor Z  SRL, A SRL, T SRL, &amp; SRL, M SRL, L SRL, D SRL </w:t>
      </w:r>
      <w:r w:rsidRPr="00D920DE">
        <w:rPr>
          <w:rStyle w:val="FontStyle80"/>
        </w:rPr>
        <w:t>şi</w:t>
      </w:r>
      <w:r w:rsidRPr="00D920DE">
        <w:rPr>
          <w:rStyle w:val="FontStyle80"/>
        </w:rPr>
        <w:t xml:space="preserve"> X S.R.L., până la </w:t>
      </w:r>
      <w:r w:rsidRPr="00D920DE">
        <w:rPr>
          <w:rStyle w:val="FontStyle80"/>
        </w:rPr>
        <w:t>soluţionarea</w:t>
      </w:r>
      <w:r w:rsidRPr="00D920DE">
        <w:rPr>
          <w:rStyle w:val="FontStyle80"/>
        </w:rPr>
        <w:t xml:space="preserve"> definitivă a </w:t>
      </w:r>
      <w:r w:rsidRPr="00D920DE">
        <w:rPr>
          <w:rStyle w:val="FontStyle80"/>
        </w:rPr>
        <w:t>acţiunii</w:t>
      </w:r>
      <w:r w:rsidRPr="00D920DE">
        <w:rPr>
          <w:rStyle w:val="FontStyle80"/>
        </w:rPr>
        <w:t xml:space="preserve"> privind anularea acesteia. </w:t>
      </w:r>
    </w:p>
    <w:p w:rsidRPr="00D920DE" w:rsidR="00565124" w:rsidP="00565124" w14:paraId="314F2311" w14:textId="77777777">
      <w:pPr>
        <w:ind w:firstLine="993"/>
        <w:jc w:val="both"/>
        <w:rPr>
          <w:rStyle w:val="FontStyle80"/>
        </w:rPr>
      </w:pPr>
      <w:r w:rsidRPr="00D920DE">
        <w:rPr>
          <w:rStyle w:val="FontStyle80"/>
        </w:rPr>
        <w:t xml:space="preserve">În motivare, ulterior expunerii situației de fapt, reclamanta a arătat, în </w:t>
      </w:r>
      <w:r w:rsidRPr="00D920DE">
        <w:rPr>
          <w:rStyle w:val="FontStyle80"/>
        </w:rPr>
        <w:t>privinţa</w:t>
      </w:r>
      <w:r w:rsidRPr="00D920DE">
        <w:rPr>
          <w:rStyle w:val="FontStyle80"/>
        </w:rPr>
        <w:t xml:space="preserve"> cazului bine justificat: </w:t>
      </w:r>
    </w:p>
    <w:p w:rsidR="00565124" w:rsidP="00565124" w14:paraId="44010D0E" w14:textId="186A5423">
      <w:pPr>
        <w:pStyle w:val="Style38"/>
        <w:widowControl/>
        <w:spacing w:before="43" w:line="240" w:lineRule="auto"/>
        <w:ind w:firstLine="993"/>
        <w:jc w:val="both"/>
        <w:rPr>
          <w:rStyle w:val="FontStyle78"/>
          <w:rFonts w:ascii="Times New Roman" w:hAnsi="Times New Roman"/>
          <w:b w:val="0"/>
          <w:i/>
        </w:rPr>
      </w:pPr>
      <w:r w:rsidRPr="00D920DE">
        <w:rPr>
          <w:rStyle w:val="FontStyle78"/>
          <w:rFonts w:ascii="Times New Roman" w:hAnsi="Times New Roman"/>
          <w:i/>
        </w:rPr>
        <w:t xml:space="preserve">1. ordinul de extindere a </w:t>
      </w:r>
      <w:r w:rsidRPr="00D920DE">
        <w:rPr>
          <w:rStyle w:val="FontStyle78"/>
          <w:rFonts w:ascii="Times New Roman" w:hAnsi="Times New Roman"/>
          <w:i/>
        </w:rPr>
        <w:t>investigaţiei</w:t>
      </w:r>
      <w:r w:rsidRPr="00D920DE">
        <w:rPr>
          <w:rStyle w:val="FontStyle78"/>
          <w:rFonts w:ascii="Times New Roman" w:hAnsi="Times New Roman"/>
          <w:i/>
        </w:rPr>
        <w:t xml:space="preserve"> nr. </w:t>
      </w:r>
      <w:r>
        <w:rPr>
          <w:rStyle w:val="FontStyle78"/>
          <w:rFonts w:ascii="Times New Roman" w:hAnsi="Times New Roman"/>
          <w:i/>
        </w:rPr>
        <w:t>O1</w:t>
      </w:r>
      <w:r w:rsidRPr="00D920DE">
        <w:rPr>
          <w:rStyle w:val="FontStyle78"/>
          <w:rFonts w:ascii="Times New Roman" w:hAnsi="Times New Roman"/>
          <w:i/>
        </w:rPr>
        <w:t xml:space="preserve">/27.10.2020 a fost emis fără ca </w:t>
      </w:r>
      <w:r w:rsidRPr="00D920DE">
        <w:rPr>
          <w:rStyle w:val="FontStyle78"/>
          <w:rFonts w:ascii="Times New Roman" w:hAnsi="Times New Roman"/>
          <w:i/>
        </w:rPr>
        <w:t>Preşedintele</w:t>
      </w:r>
      <w:r w:rsidRPr="00D920DE">
        <w:rPr>
          <w:rStyle w:val="FontStyle78"/>
          <w:rFonts w:ascii="Times New Roman" w:hAnsi="Times New Roman"/>
          <w:i/>
        </w:rPr>
        <w:t xml:space="preserve"> Consiliului </w:t>
      </w:r>
      <w:r w:rsidRPr="00D920DE">
        <w:rPr>
          <w:rStyle w:val="FontStyle78"/>
          <w:rFonts w:ascii="Times New Roman" w:hAnsi="Times New Roman"/>
          <w:i/>
        </w:rPr>
        <w:t>Concurenţei</w:t>
      </w:r>
      <w:r>
        <w:rPr>
          <w:rStyle w:val="FontStyle78"/>
          <w:rFonts w:ascii="Times New Roman" w:hAnsi="Times New Roman"/>
          <w:i/>
        </w:rPr>
        <w:t xml:space="preserve"> să aibă mandat valabil</w:t>
      </w:r>
    </w:p>
    <w:p w:rsidR="00565124" w:rsidP="00565124" w14:paraId="775EAFAB" w14:textId="77777777">
      <w:pPr>
        <w:pStyle w:val="Style33"/>
        <w:widowControl/>
        <w:spacing w:line="240" w:lineRule="auto"/>
        <w:ind w:firstLine="993"/>
        <w:rPr>
          <w:rStyle w:val="FontStyle80"/>
          <w:rFonts w:ascii="Times New Roman" w:hAnsi="Times New Roman"/>
        </w:rPr>
      </w:pPr>
      <w:r>
        <w:rPr>
          <w:rStyle w:val="FontStyle80"/>
          <w:rFonts w:ascii="Times New Roman" w:hAnsi="Times New Roman"/>
        </w:rPr>
        <w:t xml:space="preserve">Chiar dacă ordinul de extindere a </w:t>
      </w:r>
      <w:r>
        <w:rPr>
          <w:rStyle w:val="FontStyle80"/>
          <w:rFonts w:ascii="Times New Roman" w:hAnsi="Times New Roman"/>
        </w:rPr>
        <w:t>investigaţiei</w:t>
      </w:r>
      <w:r>
        <w:rPr>
          <w:rStyle w:val="FontStyle80"/>
          <w:rFonts w:ascii="Times New Roman" w:hAnsi="Times New Roman"/>
        </w:rPr>
        <w:t xml:space="preserve"> nu reprezintă actul a cărui suspendare este solicitată, acesta a fost actul administrativ în temeiul căruia societatea X  a fost introdusă în </w:t>
      </w:r>
      <w:r>
        <w:rPr>
          <w:rStyle w:val="FontStyle80"/>
          <w:rFonts w:ascii="Times New Roman" w:hAnsi="Times New Roman"/>
        </w:rPr>
        <w:t>investigaţie</w:t>
      </w:r>
      <w:r>
        <w:rPr>
          <w:rStyle w:val="FontStyle80"/>
          <w:rFonts w:ascii="Times New Roman" w:hAnsi="Times New Roman"/>
        </w:rPr>
        <w:t xml:space="preserve">, acest aspect fiind </w:t>
      </w:r>
      <w:r>
        <w:rPr>
          <w:rStyle w:val="FontStyle80"/>
          <w:rFonts w:ascii="Times New Roman" w:hAnsi="Times New Roman"/>
        </w:rPr>
        <w:t>menţionat</w:t>
      </w:r>
      <w:r>
        <w:rPr>
          <w:rStyle w:val="FontStyle80"/>
          <w:rFonts w:ascii="Times New Roman" w:hAnsi="Times New Roman"/>
        </w:rPr>
        <w:t xml:space="preserve"> la par. (2) din decizia a cărei suspendare o solicită.</w:t>
      </w:r>
    </w:p>
    <w:p w:rsidR="00565124" w:rsidP="00565124" w14:paraId="06862E4F" w14:textId="77777777">
      <w:pPr>
        <w:pStyle w:val="Style33"/>
        <w:widowControl/>
        <w:spacing w:line="240" w:lineRule="auto"/>
        <w:ind w:firstLine="993"/>
        <w:rPr>
          <w:rStyle w:val="FontStyle80"/>
          <w:rFonts w:ascii="Times New Roman" w:hAnsi="Times New Roman"/>
        </w:rPr>
      </w:pPr>
      <w:r>
        <w:rPr>
          <w:rStyle w:val="FontStyle80"/>
          <w:rFonts w:ascii="Times New Roman" w:hAnsi="Times New Roman"/>
        </w:rPr>
        <w:t xml:space="preserve">În măsura în care, ordinul prin care reclamanta a fost introdusă în </w:t>
      </w:r>
      <w:r>
        <w:rPr>
          <w:rStyle w:val="FontStyle80"/>
          <w:rFonts w:ascii="Times New Roman" w:hAnsi="Times New Roman"/>
        </w:rPr>
        <w:t>investigaţie</w:t>
      </w:r>
      <w:r>
        <w:rPr>
          <w:rStyle w:val="FontStyle80"/>
          <w:rFonts w:ascii="Times New Roman" w:hAnsi="Times New Roman"/>
        </w:rPr>
        <w:t xml:space="preserve"> suferă de vicii de legalitate evidente, această împrejurare este în măsură să se răsfrângă în mod direct asupra deciziei de constatare </w:t>
      </w:r>
      <w:r>
        <w:rPr>
          <w:rStyle w:val="FontStyle80"/>
          <w:rFonts w:ascii="Times New Roman" w:hAnsi="Times New Roman"/>
        </w:rPr>
        <w:t>şi</w:t>
      </w:r>
      <w:r>
        <w:rPr>
          <w:rStyle w:val="FontStyle80"/>
          <w:rFonts w:ascii="Times New Roman" w:hAnsi="Times New Roman"/>
        </w:rPr>
        <w:t xml:space="preserve"> </w:t>
      </w:r>
      <w:r>
        <w:rPr>
          <w:rStyle w:val="FontStyle80"/>
          <w:rFonts w:ascii="Times New Roman" w:hAnsi="Times New Roman"/>
        </w:rPr>
        <w:t>sancţionare</w:t>
      </w:r>
      <w:r>
        <w:rPr>
          <w:rStyle w:val="FontStyle80"/>
          <w:rFonts w:ascii="Times New Roman" w:hAnsi="Times New Roman"/>
        </w:rPr>
        <w:t xml:space="preserve"> a X  întrucât echivalează cu investigarea nelegală a acestei </w:t>
      </w:r>
      <w:r>
        <w:rPr>
          <w:rStyle w:val="FontStyle80"/>
          <w:rFonts w:ascii="Times New Roman" w:hAnsi="Times New Roman"/>
        </w:rPr>
        <w:t>societăţi</w:t>
      </w:r>
      <w:r>
        <w:rPr>
          <w:rStyle w:val="FontStyle80"/>
          <w:rFonts w:ascii="Times New Roman" w:hAnsi="Times New Roman"/>
        </w:rPr>
        <w:t xml:space="preserve">. În acest sens, în măsura în care </w:t>
      </w:r>
      <w:r>
        <w:rPr>
          <w:rStyle w:val="FontStyle80"/>
          <w:rFonts w:ascii="Times New Roman" w:hAnsi="Times New Roman"/>
        </w:rPr>
        <w:t>instanţa</w:t>
      </w:r>
      <w:r>
        <w:rPr>
          <w:rStyle w:val="FontStyle80"/>
          <w:rFonts w:ascii="Times New Roman" w:hAnsi="Times New Roman"/>
        </w:rPr>
        <w:t xml:space="preserve"> va aprecia că la o analiză sumară a ordinului, acesta are o </w:t>
      </w:r>
      <w:r>
        <w:rPr>
          <w:rStyle w:val="FontStyle80"/>
          <w:rFonts w:ascii="Times New Roman" w:hAnsi="Times New Roman"/>
        </w:rPr>
        <w:t>aparenţă</w:t>
      </w:r>
      <w:r>
        <w:rPr>
          <w:rStyle w:val="FontStyle80"/>
          <w:rFonts w:ascii="Times New Roman" w:hAnsi="Times New Roman"/>
        </w:rPr>
        <w:t xml:space="preserve"> de nelegalitate, va rezulta că </w:t>
      </w:r>
      <w:r>
        <w:rPr>
          <w:rStyle w:val="FontStyle80"/>
          <w:rFonts w:ascii="Times New Roman" w:hAnsi="Times New Roman"/>
        </w:rPr>
        <w:t>şi</w:t>
      </w:r>
      <w:r>
        <w:rPr>
          <w:rStyle w:val="FontStyle80"/>
          <w:rFonts w:ascii="Times New Roman" w:hAnsi="Times New Roman"/>
        </w:rPr>
        <w:t xml:space="preserve"> decizia prezintă </w:t>
      </w:r>
      <w:r>
        <w:rPr>
          <w:rStyle w:val="FontStyle80"/>
          <w:rFonts w:ascii="Times New Roman" w:hAnsi="Times New Roman"/>
        </w:rPr>
        <w:t>aceeaşi</w:t>
      </w:r>
      <w:r>
        <w:rPr>
          <w:rStyle w:val="FontStyle80"/>
          <w:rFonts w:ascii="Times New Roman" w:hAnsi="Times New Roman"/>
        </w:rPr>
        <w:t xml:space="preserve"> </w:t>
      </w:r>
      <w:r>
        <w:rPr>
          <w:rStyle w:val="FontStyle80"/>
          <w:rFonts w:ascii="Times New Roman" w:hAnsi="Times New Roman"/>
        </w:rPr>
        <w:t>aparenţă</w:t>
      </w:r>
      <w:r>
        <w:rPr>
          <w:rStyle w:val="FontStyle80"/>
          <w:rFonts w:ascii="Times New Roman" w:hAnsi="Times New Roman"/>
        </w:rPr>
        <w:t xml:space="preserve"> de nelegalitate în ceea ce o </w:t>
      </w:r>
      <w:r>
        <w:rPr>
          <w:rStyle w:val="FontStyle80"/>
          <w:rFonts w:ascii="Times New Roman" w:hAnsi="Times New Roman"/>
        </w:rPr>
        <w:t>priveşte</w:t>
      </w:r>
      <w:r>
        <w:rPr>
          <w:rStyle w:val="FontStyle80"/>
          <w:rFonts w:ascii="Times New Roman" w:hAnsi="Times New Roman"/>
        </w:rPr>
        <w:t xml:space="preserve"> pe societatea reclamantă.</w:t>
      </w:r>
    </w:p>
    <w:p w:rsidR="00565124" w:rsidP="00565124" w14:paraId="64AB317D" w14:textId="756C0049">
      <w:pPr>
        <w:pStyle w:val="Style33"/>
        <w:widowControl/>
        <w:spacing w:before="5" w:line="240" w:lineRule="auto"/>
        <w:ind w:firstLine="993"/>
        <w:rPr>
          <w:rStyle w:val="FontStyle80"/>
          <w:rFonts w:ascii="Times New Roman" w:hAnsi="Times New Roman"/>
        </w:rPr>
      </w:pPr>
      <w:r>
        <w:rPr>
          <w:rStyle w:val="FontStyle80"/>
          <w:rFonts w:ascii="Times New Roman" w:hAnsi="Times New Roman"/>
        </w:rPr>
        <w:t xml:space="preserve">În argumentarea considerentului că ordinul </w:t>
      </w:r>
      <w:r>
        <w:rPr>
          <w:rStyle w:val="FontStyle80"/>
          <w:rFonts w:ascii="Times New Roman" w:hAnsi="Times New Roman"/>
        </w:rPr>
        <w:t>Preşedintelui</w:t>
      </w:r>
      <w:r>
        <w:rPr>
          <w:rStyle w:val="FontStyle80"/>
          <w:rFonts w:ascii="Times New Roman" w:hAnsi="Times New Roman"/>
        </w:rPr>
        <w:t xml:space="preserve"> Consiliului </w:t>
      </w:r>
      <w:r>
        <w:rPr>
          <w:rStyle w:val="FontStyle80"/>
          <w:rFonts w:ascii="Times New Roman" w:hAnsi="Times New Roman"/>
        </w:rPr>
        <w:t>Concurenţei</w:t>
      </w:r>
      <w:r>
        <w:rPr>
          <w:rStyle w:val="FontStyle80"/>
          <w:rFonts w:ascii="Times New Roman" w:hAnsi="Times New Roman"/>
        </w:rPr>
        <w:t xml:space="preserve"> nr. </w:t>
      </w:r>
      <w:r>
        <w:rPr>
          <w:rStyle w:val="FontStyle80"/>
          <w:rFonts w:ascii="Times New Roman" w:hAnsi="Times New Roman"/>
        </w:rPr>
        <w:t>O1</w:t>
      </w:r>
      <w:r>
        <w:rPr>
          <w:rStyle w:val="FontStyle80"/>
          <w:rFonts w:ascii="Times New Roman" w:hAnsi="Times New Roman"/>
        </w:rPr>
        <w:t xml:space="preserve">, prin care s-a </w:t>
      </w:r>
      <w:r>
        <w:rPr>
          <w:rStyle w:val="FontStyle80"/>
          <w:rFonts w:ascii="Times New Roman" w:hAnsi="Times New Roman"/>
        </w:rPr>
        <w:t>declanşat</w:t>
      </w:r>
      <w:r>
        <w:rPr>
          <w:rStyle w:val="FontStyle80"/>
          <w:rFonts w:ascii="Times New Roman" w:hAnsi="Times New Roman"/>
        </w:rPr>
        <w:t xml:space="preserve"> </w:t>
      </w:r>
      <w:r>
        <w:rPr>
          <w:rStyle w:val="FontStyle80"/>
          <w:rFonts w:ascii="Times New Roman" w:hAnsi="Times New Roman"/>
        </w:rPr>
        <w:t>investigaţia</w:t>
      </w:r>
      <w:r>
        <w:rPr>
          <w:rStyle w:val="FontStyle80"/>
          <w:rFonts w:ascii="Times New Roman" w:hAnsi="Times New Roman"/>
        </w:rPr>
        <w:t xml:space="preserve"> împotriva X  este vădit nelegal, a arătat următoarele:</w:t>
      </w:r>
    </w:p>
    <w:p w:rsidR="00565124" w:rsidP="00565124" w14:paraId="1696695F" w14:textId="77777777">
      <w:pPr>
        <w:pStyle w:val="Style40"/>
        <w:widowControl/>
        <w:tabs>
          <w:tab w:val="left" w:pos="0"/>
        </w:tabs>
        <w:spacing w:line="240" w:lineRule="auto"/>
        <w:ind w:firstLine="993"/>
        <w:rPr>
          <w:rStyle w:val="FontStyle80"/>
          <w:rFonts w:ascii="Times New Roman" w:hAnsi="Times New Roman"/>
        </w:rPr>
      </w:pPr>
      <w:r>
        <w:rPr>
          <w:rStyle w:val="FontStyle80"/>
          <w:rFonts w:ascii="Times New Roman" w:hAnsi="Times New Roman"/>
        </w:rPr>
        <w:t xml:space="preserve">Prin Decizia </w:t>
      </w:r>
      <w:r>
        <w:rPr>
          <w:rStyle w:val="FontStyle80"/>
          <w:rFonts w:ascii="Times New Roman" w:hAnsi="Times New Roman"/>
        </w:rPr>
        <w:t>Curţii</w:t>
      </w:r>
      <w:r>
        <w:rPr>
          <w:rStyle w:val="FontStyle80"/>
          <w:rFonts w:ascii="Times New Roman" w:hAnsi="Times New Roman"/>
        </w:rPr>
        <w:t xml:space="preserve"> </w:t>
      </w:r>
      <w:r>
        <w:rPr>
          <w:rStyle w:val="FontStyle80"/>
          <w:rFonts w:ascii="Times New Roman" w:hAnsi="Times New Roman"/>
        </w:rPr>
        <w:t>Constituţionale</w:t>
      </w:r>
      <w:r>
        <w:rPr>
          <w:rStyle w:val="FontStyle80"/>
          <w:rFonts w:ascii="Times New Roman" w:hAnsi="Times New Roman"/>
        </w:rPr>
        <w:t xml:space="preserve"> a României nr. 58/26.01.2021, prevederile art. 18 (3) din Legea </w:t>
      </w:r>
      <w:r>
        <w:rPr>
          <w:rStyle w:val="FontStyle80"/>
          <w:rFonts w:ascii="Times New Roman" w:hAnsi="Times New Roman"/>
        </w:rPr>
        <w:t>concurenţei</w:t>
      </w:r>
      <w:r>
        <w:rPr>
          <w:rStyle w:val="FontStyle80"/>
          <w:rFonts w:ascii="Times New Roman" w:hAnsi="Times New Roman"/>
        </w:rPr>
        <w:t xml:space="preserve">, care permiteau membrilor plenului o prelungire a mandatului pe perioada nedeterminată până la numirea unui succesor au fost declarate </w:t>
      </w:r>
      <w:r>
        <w:rPr>
          <w:rStyle w:val="FontStyle78"/>
          <w:rFonts w:ascii="Times New Roman" w:hAnsi="Times New Roman"/>
        </w:rPr>
        <w:t>neconstituţionale</w:t>
      </w:r>
      <w:r>
        <w:rPr>
          <w:rStyle w:val="FontStyle78"/>
          <w:rFonts w:ascii="Times New Roman" w:hAnsi="Times New Roman"/>
        </w:rPr>
        <w:t xml:space="preserve">, </w:t>
      </w:r>
      <w:r>
        <w:rPr>
          <w:rStyle w:val="FontStyle80"/>
          <w:rFonts w:ascii="Times New Roman" w:hAnsi="Times New Roman"/>
        </w:rPr>
        <w:t xml:space="preserve">stabilindu-se că </w:t>
      </w:r>
      <w:r>
        <w:rPr>
          <w:rStyle w:val="FontStyle84"/>
          <w:rFonts w:ascii="Times New Roman" w:hAnsi="Times New Roman"/>
        </w:rPr>
        <w:t xml:space="preserve">"exercitarea </w:t>
      </w:r>
      <w:r>
        <w:rPr>
          <w:rStyle w:val="FontStyle84"/>
          <w:rFonts w:ascii="Times New Roman" w:hAnsi="Times New Roman"/>
        </w:rPr>
        <w:t>atribuţiilor</w:t>
      </w:r>
      <w:r>
        <w:rPr>
          <w:rStyle w:val="FontStyle84"/>
          <w:rFonts w:ascii="Times New Roman" w:hAnsi="Times New Roman"/>
        </w:rPr>
        <w:t xml:space="preserve"> aferente </w:t>
      </w:r>
      <w:r>
        <w:rPr>
          <w:rStyle w:val="FontStyle84"/>
          <w:rFonts w:ascii="Times New Roman" w:hAnsi="Times New Roman"/>
        </w:rPr>
        <w:t>calităţii</w:t>
      </w:r>
      <w:r>
        <w:rPr>
          <w:rStyle w:val="FontStyle84"/>
          <w:rFonts w:ascii="Times New Roman" w:hAnsi="Times New Roman"/>
        </w:rPr>
        <w:t xml:space="preserve"> de membru al Plenului Consiliului </w:t>
      </w:r>
      <w:r>
        <w:rPr>
          <w:rStyle w:val="FontStyle84"/>
          <w:rFonts w:ascii="Times New Roman" w:hAnsi="Times New Roman"/>
        </w:rPr>
        <w:t>Concurenţei</w:t>
      </w:r>
      <w:r>
        <w:rPr>
          <w:rStyle w:val="FontStyle84"/>
          <w:rFonts w:ascii="Times New Roman" w:hAnsi="Times New Roman"/>
        </w:rPr>
        <w:t xml:space="preserve"> (</w:t>
      </w:r>
      <w:r>
        <w:rPr>
          <w:rStyle w:val="FontStyle84"/>
          <w:rFonts w:ascii="Times New Roman" w:hAnsi="Times New Roman"/>
        </w:rPr>
        <w:t>preşedinte</w:t>
      </w:r>
      <w:r>
        <w:rPr>
          <w:rStyle w:val="FontStyle84"/>
          <w:rFonts w:ascii="Times New Roman" w:hAnsi="Times New Roman"/>
        </w:rPr>
        <w:t xml:space="preserve">, </w:t>
      </w:r>
      <w:r>
        <w:rPr>
          <w:rStyle w:val="FontStyle84"/>
          <w:rFonts w:ascii="Times New Roman" w:hAnsi="Times New Roman"/>
        </w:rPr>
        <w:t>vicepreşedinte</w:t>
      </w:r>
      <w:r>
        <w:rPr>
          <w:rStyle w:val="FontStyle84"/>
          <w:rFonts w:ascii="Times New Roman" w:hAnsi="Times New Roman"/>
        </w:rPr>
        <w:t xml:space="preserve">, consilier de </w:t>
      </w:r>
      <w:r>
        <w:rPr>
          <w:rStyle w:val="FontStyle84"/>
          <w:rFonts w:ascii="Times New Roman" w:hAnsi="Times New Roman"/>
        </w:rPr>
        <w:t>concurenţă</w:t>
      </w:r>
      <w:r>
        <w:rPr>
          <w:rStyle w:val="FontStyle84"/>
          <w:rFonts w:ascii="Times New Roman" w:hAnsi="Times New Roman"/>
        </w:rPr>
        <w:t xml:space="preserve">) în afara cadrului stabilit prin actele de numire </w:t>
      </w:r>
      <w:r>
        <w:rPr>
          <w:rStyle w:val="FontStyle84"/>
          <w:rFonts w:ascii="Times New Roman" w:hAnsi="Times New Roman"/>
        </w:rPr>
        <w:t>şi</w:t>
      </w:r>
      <w:r>
        <w:rPr>
          <w:rStyle w:val="FontStyle84"/>
          <w:rFonts w:ascii="Times New Roman" w:hAnsi="Times New Roman"/>
        </w:rPr>
        <w:t xml:space="preserve"> vizate de prezenta decizie (mandat de 5 ani, calculat potrivit regulilor de drept public) </w:t>
      </w:r>
      <w:r>
        <w:rPr>
          <w:rStyle w:val="FontStyle85"/>
          <w:rFonts w:ascii="Times New Roman" w:hAnsi="Times New Roman"/>
          <w:i w:val="0"/>
        </w:rPr>
        <w:t xml:space="preserve">nu are suport </w:t>
      </w:r>
      <w:r>
        <w:rPr>
          <w:rStyle w:val="FontStyle85"/>
          <w:rFonts w:ascii="Times New Roman" w:hAnsi="Times New Roman"/>
          <w:i w:val="0"/>
        </w:rPr>
        <w:t>constituţional</w:t>
      </w:r>
      <w:r>
        <w:rPr>
          <w:rStyle w:val="FontStyle85"/>
          <w:rFonts w:ascii="Times New Roman" w:hAnsi="Times New Roman"/>
          <w:i w:val="0"/>
        </w:rPr>
        <w:t xml:space="preserve"> </w:t>
      </w:r>
      <w:r>
        <w:rPr>
          <w:rStyle w:val="FontStyle85"/>
          <w:rFonts w:ascii="Times New Roman" w:hAnsi="Times New Roman"/>
          <w:i w:val="0"/>
        </w:rPr>
        <w:t>şi</w:t>
      </w:r>
      <w:r>
        <w:rPr>
          <w:rStyle w:val="FontStyle85"/>
          <w:rFonts w:ascii="Times New Roman" w:hAnsi="Times New Roman"/>
          <w:i w:val="0"/>
        </w:rPr>
        <w:t xml:space="preserve"> legal</w:t>
      </w:r>
      <w:r>
        <w:rPr>
          <w:rStyle w:val="FontStyle80"/>
          <w:rFonts w:ascii="Times New Roman" w:hAnsi="Times New Roman"/>
        </w:rPr>
        <w:t>.</w:t>
      </w:r>
    </w:p>
    <w:p w:rsidR="00565124" w:rsidP="00565124" w14:paraId="235516A3" w14:textId="6B0DBFFE">
      <w:pPr>
        <w:pStyle w:val="Style41"/>
        <w:widowControl/>
        <w:spacing w:line="240" w:lineRule="auto"/>
        <w:ind w:firstLine="993"/>
        <w:rPr>
          <w:rStyle w:val="FontStyle80"/>
          <w:rFonts w:ascii="Times New Roman" w:hAnsi="Times New Roman"/>
        </w:rPr>
      </w:pPr>
      <w:r>
        <w:rPr>
          <w:rStyle w:val="FontStyle80"/>
          <w:rFonts w:ascii="Times New Roman" w:hAnsi="Times New Roman"/>
        </w:rPr>
        <w:t xml:space="preserve">La momentul emiterii ordinului nr. </w:t>
      </w:r>
      <w:r>
        <w:rPr>
          <w:rStyle w:val="FontStyle80"/>
          <w:rFonts w:ascii="Times New Roman" w:hAnsi="Times New Roman"/>
        </w:rPr>
        <w:t>O1</w:t>
      </w:r>
      <w:r>
        <w:rPr>
          <w:rStyle w:val="FontStyle80"/>
          <w:rFonts w:ascii="Times New Roman" w:hAnsi="Times New Roman"/>
        </w:rPr>
        <w:t xml:space="preserve">, </w:t>
      </w:r>
      <w:r>
        <w:rPr>
          <w:rStyle w:val="FontStyle80"/>
          <w:rFonts w:ascii="Times New Roman" w:hAnsi="Times New Roman"/>
        </w:rPr>
        <w:t>Preşedintele</w:t>
      </w:r>
      <w:r>
        <w:rPr>
          <w:rStyle w:val="FontStyle80"/>
          <w:rFonts w:ascii="Times New Roman" w:hAnsi="Times New Roman"/>
        </w:rPr>
        <w:t xml:space="preserve"> Consiliului </w:t>
      </w:r>
      <w:r>
        <w:rPr>
          <w:rStyle w:val="FontStyle80"/>
          <w:rFonts w:ascii="Times New Roman" w:hAnsi="Times New Roman"/>
        </w:rPr>
        <w:t>Concurenţei</w:t>
      </w:r>
      <w:r>
        <w:rPr>
          <w:rStyle w:val="FontStyle80"/>
          <w:rFonts w:ascii="Times New Roman" w:hAnsi="Times New Roman"/>
        </w:rPr>
        <w:t xml:space="preserve"> se afla în prelungire (nelegală </w:t>
      </w:r>
      <w:r>
        <w:rPr>
          <w:rStyle w:val="FontStyle80"/>
          <w:rFonts w:ascii="Times New Roman" w:hAnsi="Times New Roman"/>
        </w:rPr>
        <w:t>şi</w:t>
      </w:r>
      <w:r>
        <w:rPr>
          <w:rStyle w:val="FontStyle80"/>
          <w:rFonts w:ascii="Times New Roman" w:hAnsi="Times New Roman"/>
        </w:rPr>
        <w:t xml:space="preserve"> </w:t>
      </w:r>
      <w:r>
        <w:rPr>
          <w:rStyle w:val="FontStyle80"/>
          <w:rFonts w:ascii="Times New Roman" w:hAnsi="Times New Roman"/>
        </w:rPr>
        <w:t>neconstituţională</w:t>
      </w:r>
      <w:r>
        <w:rPr>
          <w:rStyle w:val="FontStyle80"/>
          <w:rFonts w:ascii="Times New Roman" w:hAnsi="Times New Roman"/>
        </w:rPr>
        <w:t>) de mandat:</w:t>
      </w:r>
    </w:p>
    <w:p w:rsidR="00565124" w:rsidP="00565124" w14:paraId="12523CBD" w14:textId="77777777">
      <w:pPr>
        <w:pStyle w:val="Style33"/>
        <w:widowControl/>
        <w:spacing w:line="240" w:lineRule="auto"/>
        <w:ind w:firstLine="993"/>
        <w:jc w:val="left"/>
        <w:rPr>
          <w:rStyle w:val="FontStyle80"/>
          <w:rFonts w:ascii="Times New Roman" w:hAnsi="Times New Roman"/>
        </w:rPr>
      </w:pPr>
      <w:r>
        <w:rPr>
          <w:rStyle w:val="FontStyle86"/>
          <w:rFonts w:ascii="Times New Roman" w:hAnsi="Times New Roman"/>
        </w:rPr>
        <w:t xml:space="preserve">-  </w:t>
      </w:r>
      <w:r>
        <w:rPr>
          <w:rStyle w:val="FontStyle80"/>
          <w:rFonts w:ascii="Times New Roman" w:hAnsi="Times New Roman"/>
        </w:rPr>
        <w:t xml:space="preserve">a fost numit a doua oară în </w:t>
      </w:r>
      <w:r>
        <w:rPr>
          <w:rStyle w:val="FontStyle80"/>
          <w:rFonts w:ascii="Times New Roman" w:hAnsi="Times New Roman"/>
        </w:rPr>
        <w:t>funcţie</w:t>
      </w:r>
      <w:r>
        <w:rPr>
          <w:rStyle w:val="FontStyle80"/>
          <w:rFonts w:ascii="Times New Roman" w:hAnsi="Times New Roman"/>
        </w:rPr>
        <w:t xml:space="preserve"> prin Decretul nr. 301/05.03.2015;</w:t>
      </w:r>
    </w:p>
    <w:p w:rsidR="00565124" w:rsidP="00565124" w14:paraId="77F0EA1C" w14:textId="77777777">
      <w:pPr>
        <w:pStyle w:val="Style33"/>
        <w:widowControl/>
        <w:spacing w:line="240" w:lineRule="auto"/>
        <w:ind w:firstLine="993"/>
        <w:rPr>
          <w:rStyle w:val="FontStyle80"/>
          <w:rFonts w:ascii="Times New Roman" w:hAnsi="Times New Roman"/>
        </w:rPr>
      </w:pPr>
      <w:r>
        <w:rPr>
          <w:rFonts w:ascii="Times New Roman" w:hAnsi="Times New Roman"/>
        </w:rPr>
        <w:t xml:space="preserve">- </w:t>
      </w:r>
      <w:r>
        <w:rPr>
          <w:rStyle w:val="FontStyle80"/>
          <w:rFonts w:ascii="Times New Roman" w:hAnsi="Times New Roman"/>
        </w:rPr>
        <w:t>al doilea mandat a expirat după ce a trecut o perioadă de 5 ani, respectiv în luna martie 2020;</w:t>
      </w:r>
    </w:p>
    <w:p w:rsidR="00565124" w:rsidP="00565124" w14:paraId="70523100" w14:textId="77777777">
      <w:pPr>
        <w:pStyle w:val="Style33"/>
        <w:widowControl/>
        <w:spacing w:line="240" w:lineRule="auto"/>
        <w:ind w:firstLine="993"/>
        <w:jc w:val="left"/>
        <w:rPr>
          <w:rStyle w:val="FontStyle80"/>
          <w:rFonts w:ascii="Times New Roman" w:hAnsi="Times New Roman"/>
        </w:rPr>
      </w:pPr>
      <w:r>
        <w:rPr>
          <w:rFonts w:ascii="Times New Roman" w:hAnsi="Times New Roman"/>
        </w:rPr>
        <w:t xml:space="preserve">- </w:t>
      </w:r>
      <w:r>
        <w:rPr>
          <w:rStyle w:val="FontStyle86"/>
          <w:rFonts w:ascii="Times New Roman" w:hAnsi="Times New Roman"/>
        </w:rPr>
        <w:t xml:space="preserve">   </w:t>
      </w:r>
      <w:r>
        <w:rPr>
          <w:rStyle w:val="FontStyle80"/>
          <w:rFonts w:ascii="Times New Roman" w:hAnsi="Times New Roman"/>
        </w:rPr>
        <w:t xml:space="preserve">noul decret de numire în </w:t>
      </w:r>
      <w:r>
        <w:rPr>
          <w:rStyle w:val="FontStyle80"/>
          <w:rFonts w:ascii="Times New Roman" w:hAnsi="Times New Roman"/>
        </w:rPr>
        <w:t>funcţie</w:t>
      </w:r>
      <w:r>
        <w:rPr>
          <w:rStyle w:val="FontStyle80"/>
          <w:rFonts w:ascii="Times New Roman" w:hAnsi="Times New Roman"/>
        </w:rPr>
        <w:t xml:space="preserve"> a fost semnat la data de 18 iunie 2021;</w:t>
      </w:r>
    </w:p>
    <w:p w:rsidR="00565124" w:rsidP="00565124" w14:paraId="1C2EBE85" w14:textId="77777777">
      <w:pPr>
        <w:pStyle w:val="Style33"/>
        <w:widowControl/>
        <w:spacing w:before="14" w:line="240" w:lineRule="auto"/>
        <w:ind w:firstLine="993"/>
        <w:rPr>
          <w:rStyle w:val="FontStyle80"/>
          <w:rFonts w:ascii="Times New Roman" w:hAnsi="Times New Roman"/>
        </w:rPr>
      </w:pPr>
      <w:r>
        <w:rPr>
          <w:rStyle w:val="FontStyle80"/>
          <w:rFonts w:ascii="Times New Roman" w:hAnsi="Times New Roman"/>
        </w:rPr>
        <w:t>- pentru perioada cuprinsă între martie 2020 - iunie 2021, mandatul s-a aflat în prelungire (aproximativ un an);</w:t>
      </w:r>
    </w:p>
    <w:p w:rsidR="00565124" w:rsidP="00565124" w14:paraId="484FAEFC" w14:textId="77777777">
      <w:pPr>
        <w:pStyle w:val="Style27"/>
        <w:widowControl/>
        <w:tabs>
          <w:tab w:val="left" w:pos="725"/>
        </w:tabs>
        <w:spacing w:line="240" w:lineRule="auto"/>
        <w:ind w:firstLine="993"/>
        <w:rPr>
          <w:rStyle w:val="FontStyle80"/>
          <w:rFonts w:ascii="Times New Roman" w:hAnsi="Times New Roman"/>
        </w:rPr>
      </w:pPr>
      <w:r>
        <w:rPr>
          <w:rStyle w:val="FontStyle86"/>
          <w:rFonts w:ascii="Times New Roman" w:hAnsi="Times New Roman"/>
        </w:rPr>
        <w:t xml:space="preserve">- </w:t>
      </w:r>
      <w:r>
        <w:rPr>
          <w:rStyle w:val="FontStyle80"/>
          <w:rFonts w:ascii="Times New Roman" w:hAnsi="Times New Roman"/>
        </w:rPr>
        <w:t xml:space="preserve">orice act emis de </w:t>
      </w:r>
      <w:r>
        <w:rPr>
          <w:rStyle w:val="FontStyle80"/>
          <w:rFonts w:ascii="Times New Roman" w:hAnsi="Times New Roman"/>
        </w:rPr>
        <w:t>Preşedinte</w:t>
      </w:r>
      <w:r>
        <w:rPr>
          <w:rStyle w:val="FontStyle80"/>
          <w:rFonts w:ascii="Times New Roman" w:hAnsi="Times New Roman"/>
        </w:rPr>
        <w:t xml:space="preserve"> pe perioada prelungirii are caracter nelegal ca urmare a efectelor deciziei </w:t>
      </w:r>
      <w:r>
        <w:rPr>
          <w:rStyle w:val="FontStyle80"/>
          <w:rFonts w:ascii="Times New Roman" w:hAnsi="Times New Roman"/>
        </w:rPr>
        <w:t>Curţii</w:t>
      </w:r>
      <w:r>
        <w:rPr>
          <w:rStyle w:val="FontStyle80"/>
          <w:rFonts w:ascii="Times New Roman" w:hAnsi="Times New Roman"/>
        </w:rPr>
        <w:t xml:space="preserve"> </w:t>
      </w:r>
      <w:r>
        <w:rPr>
          <w:rStyle w:val="FontStyle80"/>
          <w:rFonts w:ascii="Times New Roman" w:hAnsi="Times New Roman"/>
        </w:rPr>
        <w:t>Constituţionale</w:t>
      </w:r>
      <w:r>
        <w:rPr>
          <w:rStyle w:val="FontStyle80"/>
          <w:rFonts w:ascii="Times New Roman" w:hAnsi="Times New Roman"/>
        </w:rPr>
        <w:t xml:space="preserve"> a României anterior </w:t>
      </w:r>
      <w:r>
        <w:rPr>
          <w:rStyle w:val="FontStyle80"/>
          <w:rFonts w:ascii="Times New Roman" w:hAnsi="Times New Roman"/>
        </w:rPr>
        <w:t>menţionate</w:t>
      </w:r>
      <w:r>
        <w:rPr>
          <w:rStyle w:val="FontStyle80"/>
          <w:rFonts w:ascii="Times New Roman" w:hAnsi="Times New Roman"/>
        </w:rPr>
        <w:t xml:space="preserve"> (care se aplică tuturor raporturilor juridice care nu au fost </w:t>
      </w:r>
      <w:r>
        <w:rPr>
          <w:rStyle w:val="FontStyle80"/>
          <w:rFonts w:ascii="Times New Roman" w:hAnsi="Times New Roman"/>
        </w:rPr>
        <w:t>soluţionate</w:t>
      </w:r>
      <w:r>
        <w:rPr>
          <w:rStyle w:val="FontStyle80"/>
          <w:rFonts w:ascii="Times New Roman" w:hAnsi="Times New Roman"/>
        </w:rPr>
        <w:t xml:space="preserve"> definitiv). </w:t>
      </w:r>
    </w:p>
    <w:p w:rsidR="00565124" w:rsidP="00565124" w14:paraId="33F8DC01" w14:textId="77777777">
      <w:pPr>
        <w:pStyle w:val="Style41"/>
        <w:widowControl/>
        <w:spacing w:line="240" w:lineRule="auto"/>
        <w:ind w:firstLine="993"/>
        <w:rPr>
          <w:rStyle w:val="FontStyle80"/>
          <w:rFonts w:ascii="Times New Roman" w:hAnsi="Times New Roman"/>
        </w:rPr>
      </w:pPr>
      <w:r>
        <w:rPr>
          <w:rStyle w:val="FontStyle80"/>
          <w:rFonts w:ascii="Times New Roman" w:hAnsi="Times New Roman"/>
        </w:rPr>
        <w:t xml:space="preserve">Ordinul de extindere a </w:t>
      </w:r>
      <w:r>
        <w:rPr>
          <w:rStyle w:val="FontStyle80"/>
          <w:rFonts w:ascii="Times New Roman" w:hAnsi="Times New Roman"/>
        </w:rPr>
        <w:t>investigaţiei</w:t>
      </w:r>
      <w:r>
        <w:rPr>
          <w:rStyle w:val="FontStyle80"/>
          <w:rFonts w:ascii="Times New Roman" w:hAnsi="Times New Roman"/>
        </w:rPr>
        <w:t xml:space="preserve">, prin care a fost introdusă în </w:t>
      </w:r>
      <w:r>
        <w:rPr>
          <w:rStyle w:val="FontStyle80"/>
          <w:rFonts w:ascii="Times New Roman" w:hAnsi="Times New Roman"/>
        </w:rPr>
        <w:t>investigaţie</w:t>
      </w:r>
      <w:r>
        <w:rPr>
          <w:rStyle w:val="FontStyle80"/>
          <w:rFonts w:ascii="Times New Roman" w:hAnsi="Times New Roman"/>
        </w:rPr>
        <w:t xml:space="preserve"> societatea X  a fost emis la data de 27.10.2020, când mandatul </w:t>
      </w:r>
      <w:r>
        <w:rPr>
          <w:rStyle w:val="FontStyle80"/>
          <w:rFonts w:ascii="Times New Roman" w:hAnsi="Times New Roman"/>
        </w:rPr>
        <w:t>preşedintelui</w:t>
      </w:r>
      <w:r>
        <w:rPr>
          <w:rStyle w:val="FontStyle80"/>
          <w:rFonts w:ascii="Times New Roman" w:hAnsi="Times New Roman"/>
        </w:rPr>
        <w:t xml:space="preserve"> se afla în prelungirea invalidată de Curtea </w:t>
      </w:r>
      <w:r>
        <w:rPr>
          <w:rStyle w:val="FontStyle80"/>
          <w:rFonts w:ascii="Times New Roman" w:hAnsi="Times New Roman"/>
        </w:rPr>
        <w:t>Constituţională</w:t>
      </w:r>
      <w:r>
        <w:rPr>
          <w:rStyle w:val="FontStyle80"/>
          <w:rFonts w:ascii="Times New Roman" w:hAnsi="Times New Roman"/>
        </w:rPr>
        <w:t xml:space="preserve">. Această </w:t>
      </w:r>
      <w:r>
        <w:rPr>
          <w:rStyle w:val="FontStyle80"/>
          <w:rFonts w:ascii="Times New Roman" w:hAnsi="Times New Roman"/>
        </w:rPr>
        <w:t>situaţie</w:t>
      </w:r>
      <w:r>
        <w:rPr>
          <w:rStyle w:val="FontStyle80"/>
          <w:rFonts w:ascii="Times New Roman" w:hAnsi="Times New Roman"/>
        </w:rPr>
        <w:t xml:space="preserve"> se traduce într-un motiv evident de nelegalitate a ordinului: ordinul a fost emis de o persoană care nu avea calitatea de a reprezenta </w:t>
      </w:r>
      <w:r>
        <w:rPr>
          <w:rStyle w:val="FontStyle80"/>
          <w:rFonts w:ascii="Times New Roman" w:hAnsi="Times New Roman"/>
        </w:rPr>
        <w:t>instituţia</w:t>
      </w:r>
      <w:r>
        <w:rPr>
          <w:rStyle w:val="FontStyle80"/>
          <w:rFonts w:ascii="Times New Roman" w:hAnsi="Times New Roman"/>
        </w:rPr>
        <w:t xml:space="preserve"> </w:t>
      </w:r>
      <w:r>
        <w:rPr>
          <w:rStyle w:val="FontStyle80"/>
          <w:rFonts w:ascii="Times New Roman" w:hAnsi="Times New Roman"/>
        </w:rPr>
        <w:t>şi</w:t>
      </w:r>
      <w:r>
        <w:rPr>
          <w:rStyle w:val="FontStyle80"/>
          <w:rFonts w:ascii="Times New Roman" w:hAnsi="Times New Roman"/>
        </w:rPr>
        <w:t xml:space="preserve"> de a semna actele emise de aceasta, existând un viciu evident al actului juridic, echivalent lipsei semnăturii din cuprinsul său.</w:t>
      </w:r>
    </w:p>
    <w:p w:rsidR="00565124" w:rsidP="00565124" w14:paraId="6D1CDFC3" w14:textId="5B62091D">
      <w:pPr>
        <w:pStyle w:val="Style33"/>
        <w:widowControl/>
        <w:spacing w:line="240" w:lineRule="auto"/>
        <w:ind w:firstLine="993"/>
        <w:rPr>
          <w:rStyle w:val="FontStyle80"/>
          <w:rFonts w:ascii="Times New Roman" w:hAnsi="Times New Roman"/>
        </w:rPr>
      </w:pPr>
      <w:r>
        <w:rPr>
          <w:rStyle w:val="FontStyle80"/>
          <w:rFonts w:ascii="Times New Roman" w:hAnsi="Times New Roman"/>
        </w:rPr>
        <w:t xml:space="preserve">Pentru aceste motive,  a apreciat că </w:t>
      </w:r>
      <w:r>
        <w:rPr>
          <w:rStyle w:val="FontStyle80"/>
          <w:rFonts w:ascii="Times New Roman" w:hAnsi="Times New Roman"/>
        </w:rPr>
        <w:t>instanţa</w:t>
      </w:r>
      <w:r>
        <w:rPr>
          <w:rStyle w:val="FontStyle80"/>
          <w:rFonts w:ascii="Times New Roman" w:hAnsi="Times New Roman"/>
        </w:rPr>
        <w:t xml:space="preserve"> poate aprecia la o analiză </w:t>
      </w:r>
      <w:r>
        <w:rPr>
          <w:rStyle w:val="FontStyle84"/>
          <w:rFonts w:ascii="Times New Roman" w:hAnsi="Times New Roman"/>
        </w:rPr>
        <w:t xml:space="preserve">prima </w:t>
      </w:r>
      <w:r>
        <w:rPr>
          <w:rStyle w:val="FontStyle84"/>
          <w:rFonts w:ascii="Times New Roman" w:hAnsi="Times New Roman"/>
        </w:rPr>
        <w:t>facie</w:t>
      </w:r>
      <w:r>
        <w:rPr>
          <w:rStyle w:val="FontStyle84"/>
          <w:rFonts w:ascii="Times New Roman" w:hAnsi="Times New Roman"/>
        </w:rPr>
        <w:t xml:space="preserve"> </w:t>
      </w:r>
      <w:r>
        <w:rPr>
          <w:rStyle w:val="FontStyle80"/>
          <w:rFonts w:ascii="Times New Roman" w:hAnsi="Times New Roman"/>
        </w:rPr>
        <w:t xml:space="preserve">a ordinului </w:t>
      </w:r>
      <w:r>
        <w:rPr>
          <w:rStyle w:val="FontStyle80"/>
          <w:rFonts w:ascii="Times New Roman" w:hAnsi="Times New Roman"/>
        </w:rPr>
        <w:t>Preşedintelui</w:t>
      </w:r>
      <w:r>
        <w:rPr>
          <w:rStyle w:val="FontStyle80"/>
          <w:rFonts w:ascii="Times New Roman" w:hAnsi="Times New Roman"/>
        </w:rPr>
        <w:t xml:space="preserve"> Consiliului </w:t>
      </w:r>
      <w:r>
        <w:rPr>
          <w:rStyle w:val="FontStyle80"/>
          <w:rFonts w:ascii="Times New Roman" w:hAnsi="Times New Roman"/>
        </w:rPr>
        <w:t>Concurenţei</w:t>
      </w:r>
      <w:r>
        <w:rPr>
          <w:rStyle w:val="FontStyle80"/>
          <w:rFonts w:ascii="Times New Roman" w:hAnsi="Times New Roman"/>
        </w:rPr>
        <w:t xml:space="preserve"> nr. </w:t>
      </w:r>
      <w:r>
        <w:rPr>
          <w:rStyle w:val="FontStyle80"/>
          <w:rFonts w:ascii="Times New Roman" w:hAnsi="Times New Roman"/>
        </w:rPr>
        <w:t>O1</w:t>
      </w:r>
      <w:r>
        <w:rPr>
          <w:rStyle w:val="FontStyle80"/>
          <w:rFonts w:ascii="Times New Roman" w:hAnsi="Times New Roman"/>
        </w:rPr>
        <w:t xml:space="preserve">/27.10.2020 că acesta prezintă o </w:t>
      </w:r>
      <w:r>
        <w:rPr>
          <w:rStyle w:val="FontStyle80"/>
          <w:rFonts w:ascii="Times New Roman" w:hAnsi="Times New Roman"/>
        </w:rPr>
        <w:t>aparenţă</w:t>
      </w:r>
      <w:r>
        <w:rPr>
          <w:rStyle w:val="FontStyle80"/>
          <w:rFonts w:ascii="Times New Roman" w:hAnsi="Times New Roman"/>
        </w:rPr>
        <w:t xml:space="preserve"> de nelegalitate, care va avea </w:t>
      </w:r>
      <w:r>
        <w:rPr>
          <w:rStyle w:val="FontStyle80"/>
          <w:rFonts w:ascii="Times New Roman" w:hAnsi="Times New Roman"/>
        </w:rPr>
        <w:t>consecinţe</w:t>
      </w:r>
      <w:r>
        <w:rPr>
          <w:rStyle w:val="FontStyle80"/>
          <w:rFonts w:ascii="Times New Roman" w:hAnsi="Times New Roman"/>
        </w:rPr>
        <w:t xml:space="preserve"> directe </w:t>
      </w:r>
      <w:r>
        <w:rPr>
          <w:rStyle w:val="FontStyle80"/>
          <w:rFonts w:ascii="Times New Roman" w:hAnsi="Times New Roman"/>
        </w:rPr>
        <w:t>faţă</w:t>
      </w:r>
      <w:r>
        <w:rPr>
          <w:rStyle w:val="FontStyle80"/>
          <w:rFonts w:ascii="Times New Roman" w:hAnsi="Times New Roman"/>
        </w:rPr>
        <w:t xml:space="preserve"> de decizia nr. ....</w:t>
      </w:r>
      <w:r>
        <w:rPr>
          <w:rStyle w:val="FontStyle80"/>
          <w:rFonts w:ascii="Times New Roman" w:hAnsi="Times New Roman"/>
        </w:rPr>
        <w:t>D1/2022</w:t>
      </w:r>
      <w:r>
        <w:rPr>
          <w:rStyle w:val="FontStyle80"/>
          <w:rFonts w:ascii="Times New Roman" w:hAnsi="Times New Roman"/>
        </w:rPr>
        <w:t xml:space="preserve">, în sensul că nu poate fi considerată legală o decizie de constatare </w:t>
      </w:r>
      <w:r>
        <w:rPr>
          <w:rStyle w:val="FontStyle80"/>
          <w:rFonts w:ascii="Times New Roman" w:hAnsi="Times New Roman"/>
        </w:rPr>
        <w:t>şi</w:t>
      </w:r>
      <w:r>
        <w:rPr>
          <w:rStyle w:val="FontStyle80"/>
          <w:rFonts w:ascii="Times New Roman" w:hAnsi="Times New Roman"/>
        </w:rPr>
        <w:t xml:space="preserve"> </w:t>
      </w:r>
      <w:r>
        <w:rPr>
          <w:rStyle w:val="FontStyle80"/>
          <w:rFonts w:ascii="Times New Roman" w:hAnsi="Times New Roman"/>
        </w:rPr>
        <w:t>sancţionare</w:t>
      </w:r>
      <w:r>
        <w:rPr>
          <w:rStyle w:val="FontStyle80"/>
          <w:rFonts w:ascii="Times New Roman" w:hAnsi="Times New Roman"/>
        </w:rPr>
        <w:t xml:space="preserve"> a unei încălcări atât timp cât actul prin care societatea </w:t>
      </w:r>
      <w:r>
        <w:rPr>
          <w:rStyle w:val="FontStyle80"/>
          <w:rFonts w:ascii="Times New Roman" w:hAnsi="Times New Roman"/>
        </w:rPr>
        <w:t>sancţionată</w:t>
      </w:r>
      <w:r>
        <w:rPr>
          <w:rStyle w:val="FontStyle80"/>
          <w:rFonts w:ascii="Times New Roman" w:hAnsi="Times New Roman"/>
        </w:rPr>
        <w:t xml:space="preserve"> a fost introdusă în </w:t>
      </w:r>
      <w:r>
        <w:rPr>
          <w:rStyle w:val="FontStyle80"/>
          <w:rFonts w:ascii="Times New Roman" w:hAnsi="Times New Roman"/>
        </w:rPr>
        <w:t>investigaţie</w:t>
      </w:r>
      <w:r>
        <w:rPr>
          <w:rStyle w:val="FontStyle80"/>
          <w:rFonts w:ascii="Times New Roman" w:hAnsi="Times New Roman"/>
        </w:rPr>
        <w:t xml:space="preserve"> este nelegal.</w:t>
      </w:r>
    </w:p>
    <w:p w:rsidR="00565124" w:rsidP="00565124" w14:paraId="07C12E09" w14:textId="5C6CA994">
      <w:pPr>
        <w:ind w:firstLine="993"/>
        <w:jc w:val="both"/>
      </w:pPr>
      <w:r>
        <w:rPr>
          <w:i/>
        </w:rPr>
        <w:t>2. decizia nr. ..</w:t>
      </w:r>
      <w:r>
        <w:rPr>
          <w:i/>
        </w:rPr>
        <w:t>D1/</w:t>
      </w:r>
      <w:r>
        <w:rPr>
          <w:i/>
        </w:rPr>
        <w:t xml:space="preserve">2022 prezintă o </w:t>
      </w:r>
      <w:r>
        <w:rPr>
          <w:i/>
        </w:rPr>
        <w:t>aparenţă</w:t>
      </w:r>
      <w:r>
        <w:rPr>
          <w:i/>
        </w:rPr>
        <w:t xml:space="preserve"> de nelegalitate</w:t>
      </w:r>
      <w:r>
        <w:t xml:space="preserve"> </w:t>
      </w:r>
    </w:p>
    <w:p w:rsidR="00565124" w:rsidP="00565124" w14:paraId="190FBBDB" w14:textId="77777777">
      <w:pPr>
        <w:pStyle w:val="Style38"/>
        <w:widowControl/>
        <w:spacing w:before="14" w:line="240" w:lineRule="auto"/>
        <w:ind w:firstLine="993"/>
        <w:jc w:val="both"/>
        <w:rPr>
          <w:rStyle w:val="FontStyle78"/>
          <w:rFonts w:ascii="Times New Roman" w:hAnsi="Times New Roman"/>
          <w:b w:val="0"/>
          <w:i/>
        </w:rPr>
      </w:pPr>
      <w:r>
        <w:rPr>
          <w:rStyle w:val="FontStyle78"/>
          <w:rFonts w:ascii="Times New Roman" w:hAnsi="Times New Roman"/>
          <w:i/>
        </w:rPr>
        <w:t xml:space="preserve">a) Analiza efectuată în decizie ignoră </w:t>
      </w:r>
      <w:r>
        <w:rPr>
          <w:rStyle w:val="FontStyle78"/>
          <w:rFonts w:ascii="Times New Roman" w:hAnsi="Times New Roman"/>
          <w:i/>
        </w:rPr>
        <w:t>existenţa</w:t>
      </w:r>
      <w:r>
        <w:rPr>
          <w:rStyle w:val="FontStyle78"/>
          <w:rFonts w:ascii="Times New Roman" w:hAnsi="Times New Roman"/>
          <w:i/>
        </w:rPr>
        <w:t xml:space="preserve"> </w:t>
      </w:r>
      <w:r>
        <w:rPr>
          <w:rStyle w:val="FontStyle78"/>
          <w:rFonts w:ascii="Times New Roman" w:hAnsi="Times New Roman"/>
          <w:i/>
        </w:rPr>
        <w:t>distribuţiei</w:t>
      </w:r>
      <w:r>
        <w:rPr>
          <w:rStyle w:val="FontStyle78"/>
          <w:rFonts w:ascii="Times New Roman" w:hAnsi="Times New Roman"/>
          <w:i/>
        </w:rPr>
        <w:t xml:space="preserve"> duale care obliga autoritatea la verificarea </w:t>
      </w:r>
      <w:r>
        <w:rPr>
          <w:rStyle w:val="FontStyle78"/>
          <w:rFonts w:ascii="Times New Roman" w:hAnsi="Times New Roman"/>
          <w:i/>
        </w:rPr>
        <w:t>incidenţei</w:t>
      </w:r>
      <w:r>
        <w:rPr>
          <w:rStyle w:val="FontStyle78"/>
          <w:rFonts w:ascii="Times New Roman" w:hAnsi="Times New Roman"/>
          <w:i/>
        </w:rPr>
        <w:t xml:space="preserve"> exceptărilor prevăzute în Regulamentul (UE) nr. 720/2022.</w:t>
      </w:r>
    </w:p>
    <w:p w:rsidR="00565124" w:rsidP="00565124" w14:paraId="0BA676F6" w14:textId="77777777">
      <w:pPr>
        <w:pStyle w:val="Style33"/>
        <w:widowControl/>
        <w:spacing w:before="5" w:line="240" w:lineRule="auto"/>
        <w:ind w:firstLine="993"/>
        <w:rPr>
          <w:rStyle w:val="FontStyle80"/>
          <w:rFonts w:ascii="Times New Roman" w:hAnsi="Times New Roman"/>
        </w:rPr>
      </w:pPr>
      <w:r>
        <w:rPr>
          <w:rStyle w:val="FontStyle80"/>
          <w:rFonts w:ascii="Times New Roman" w:hAnsi="Times New Roman"/>
        </w:rPr>
        <w:t xml:space="preserve">Consiliul </w:t>
      </w:r>
      <w:r>
        <w:rPr>
          <w:rStyle w:val="FontStyle80"/>
          <w:rFonts w:ascii="Times New Roman" w:hAnsi="Times New Roman"/>
        </w:rPr>
        <w:t>Concurenţei</w:t>
      </w:r>
      <w:r>
        <w:rPr>
          <w:rStyle w:val="FontStyle80"/>
          <w:rFonts w:ascii="Times New Roman" w:hAnsi="Times New Roman"/>
        </w:rPr>
        <w:t xml:space="preserve"> califică modalitatea de colaborare dintre X  </w:t>
      </w:r>
      <w:r>
        <w:rPr>
          <w:rStyle w:val="FontStyle80"/>
          <w:rFonts w:ascii="Times New Roman" w:hAnsi="Times New Roman"/>
        </w:rPr>
        <w:t>şi</w:t>
      </w:r>
      <w:r>
        <w:rPr>
          <w:rStyle w:val="FontStyle80"/>
          <w:rFonts w:ascii="Times New Roman" w:hAnsi="Times New Roman"/>
        </w:rPr>
        <w:t xml:space="preserve"> Z , respectiv </w:t>
      </w:r>
      <w:r>
        <w:rPr>
          <w:rStyle w:val="FontStyle80"/>
          <w:rFonts w:ascii="Times New Roman" w:hAnsi="Times New Roman"/>
        </w:rPr>
        <w:t>corespondenţa</w:t>
      </w:r>
      <w:r>
        <w:rPr>
          <w:rStyle w:val="FontStyle80"/>
          <w:rFonts w:ascii="Times New Roman" w:hAnsi="Times New Roman"/>
        </w:rPr>
        <w:t xml:space="preserve"> realizată în contextul </w:t>
      </w:r>
      <w:r>
        <w:rPr>
          <w:rStyle w:val="FontStyle80"/>
          <w:rFonts w:ascii="Times New Roman" w:hAnsi="Times New Roman"/>
        </w:rPr>
        <w:t>relaţiei</w:t>
      </w:r>
      <w:r>
        <w:rPr>
          <w:rStyle w:val="FontStyle80"/>
          <w:rFonts w:ascii="Times New Roman" w:hAnsi="Times New Roman"/>
        </w:rPr>
        <w:t xml:space="preserve"> de </w:t>
      </w:r>
      <w:r>
        <w:rPr>
          <w:rStyle w:val="FontStyle80"/>
          <w:rFonts w:ascii="Times New Roman" w:hAnsi="Times New Roman"/>
        </w:rPr>
        <w:t>distribuţie</w:t>
      </w:r>
      <w:r>
        <w:rPr>
          <w:rStyle w:val="FontStyle80"/>
          <w:rFonts w:ascii="Times New Roman" w:hAnsi="Times New Roman"/>
        </w:rPr>
        <w:t xml:space="preserve"> între cele două ca fiind parte dintr-o </w:t>
      </w:r>
      <w:r>
        <w:rPr>
          <w:rStyle w:val="FontStyle80"/>
          <w:rFonts w:ascii="Times New Roman" w:hAnsi="Times New Roman"/>
        </w:rPr>
        <w:t>înţelegere</w:t>
      </w:r>
      <w:r>
        <w:rPr>
          <w:rStyle w:val="FontStyle80"/>
          <w:rFonts w:ascii="Times New Roman" w:hAnsi="Times New Roman"/>
        </w:rPr>
        <w:t xml:space="preserve">/practică concertată între </w:t>
      </w:r>
      <w:r>
        <w:rPr>
          <w:rStyle w:val="FontStyle80"/>
          <w:rFonts w:ascii="Times New Roman" w:hAnsi="Times New Roman"/>
        </w:rPr>
        <w:t>concurenţi</w:t>
      </w:r>
      <w:r>
        <w:rPr>
          <w:rStyle w:val="FontStyle80"/>
          <w:rFonts w:ascii="Times New Roman" w:hAnsi="Times New Roman"/>
        </w:rPr>
        <w:t xml:space="preserve"> (</w:t>
      </w:r>
      <w:r>
        <w:rPr>
          <w:rStyle w:val="FontStyle80"/>
          <w:rFonts w:ascii="Times New Roman" w:hAnsi="Times New Roman"/>
        </w:rPr>
        <w:t>înţelegere</w:t>
      </w:r>
      <w:r>
        <w:rPr>
          <w:rStyle w:val="FontStyle80"/>
          <w:rFonts w:ascii="Times New Roman" w:hAnsi="Times New Roman"/>
        </w:rPr>
        <w:t xml:space="preserve"> orizontală) </w:t>
      </w:r>
      <w:r>
        <w:rPr>
          <w:rStyle w:val="FontStyle80"/>
          <w:rFonts w:ascii="Times New Roman" w:hAnsi="Times New Roman"/>
        </w:rPr>
        <w:t>şi</w:t>
      </w:r>
      <w:r>
        <w:rPr>
          <w:rStyle w:val="FontStyle80"/>
          <w:rFonts w:ascii="Times New Roman" w:hAnsi="Times New Roman"/>
        </w:rPr>
        <w:t xml:space="preserve"> </w:t>
      </w:r>
      <w:r>
        <w:rPr>
          <w:rStyle w:val="FontStyle80"/>
          <w:rFonts w:ascii="Times New Roman" w:hAnsi="Times New Roman"/>
        </w:rPr>
        <w:t>nesocoteşte</w:t>
      </w:r>
      <w:r>
        <w:rPr>
          <w:rStyle w:val="FontStyle80"/>
          <w:rFonts w:ascii="Times New Roman" w:hAnsi="Times New Roman"/>
        </w:rPr>
        <w:t xml:space="preserve"> total faptul că </w:t>
      </w:r>
      <w:r>
        <w:rPr>
          <w:rStyle w:val="FontStyle80"/>
          <w:rFonts w:ascii="Times New Roman" w:hAnsi="Times New Roman"/>
        </w:rPr>
        <w:t>părţile</w:t>
      </w:r>
      <w:r>
        <w:rPr>
          <w:rStyle w:val="FontStyle80"/>
          <w:rFonts w:ascii="Times New Roman" w:hAnsi="Times New Roman"/>
        </w:rPr>
        <w:t xml:space="preserve"> se află într-un sistem de </w:t>
      </w:r>
      <w:r>
        <w:rPr>
          <w:rStyle w:val="FontStyle80"/>
          <w:rFonts w:ascii="Times New Roman" w:hAnsi="Times New Roman"/>
        </w:rPr>
        <w:t>distribuţie</w:t>
      </w:r>
      <w:r>
        <w:rPr>
          <w:rStyle w:val="FontStyle80"/>
          <w:rFonts w:ascii="Times New Roman" w:hAnsi="Times New Roman"/>
        </w:rPr>
        <w:t xml:space="preserve"> duală, care necesită analiza </w:t>
      </w:r>
      <w:r>
        <w:rPr>
          <w:rStyle w:val="FontStyle80"/>
          <w:rFonts w:ascii="Times New Roman" w:hAnsi="Times New Roman"/>
        </w:rPr>
        <w:t>relaţiilor</w:t>
      </w:r>
      <w:r>
        <w:rPr>
          <w:rStyle w:val="FontStyle80"/>
          <w:rFonts w:ascii="Times New Roman" w:hAnsi="Times New Roman"/>
        </w:rPr>
        <w:t xml:space="preserve"> comerciale existente între </w:t>
      </w:r>
      <w:r>
        <w:rPr>
          <w:rStyle w:val="FontStyle80"/>
          <w:rFonts w:ascii="Times New Roman" w:hAnsi="Times New Roman"/>
        </w:rPr>
        <w:t>aceştia</w:t>
      </w:r>
      <w:r>
        <w:rPr>
          <w:rStyle w:val="FontStyle80"/>
          <w:rFonts w:ascii="Times New Roman" w:hAnsi="Times New Roman"/>
        </w:rPr>
        <w:t xml:space="preserve"> din perspectivă verticală (</w:t>
      </w:r>
      <w:r>
        <w:rPr>
          <w:rStyle w:val="FontStyle80"/>
          <w:rFonts w:ascii="Times New Roman" w:hAnsi="Times New Roman"/>
        </w:rPr>
        <w:t>şi</w:t>
      </w:r>
      <w:r>
        <w:rPr>
          <w:rStyle w:val="FontStyle80"/>
          <w:rFonts w:ascii="Times New Roman" w:hAnsi="Times New Roman"/>
        </w:rPr>
        <w:t xml:space="preserve"> nu orizontală).</w:t>
      </w:r>
    </w:p>
    <w:p w:rsidR="00565124" w:rsidP="00565124" w14:paraId="0C2E69E7" w14:textId="77777777">
      <w:pPr>
        <w:pStyle w:val="Style33"/>
        <w:widowControl/>
        <w:spacing w:line="240" w:lineRule="auto"/>
        <w:ind w:firstLine="993"/>
        <w:jc w:val="left"/>
        <w:rPr>
          <w:rStyle w:val="FontStyle80"/>
          <w:rFonts w:ascii="Times New Roman" w:hAnsi="Times New Roman"/>
        </w:rPr>
      </w:pPr>
      <w:r>
        <w:rPr>
          <w:rStyle w:val="FontStyle80"/>
          <w:rFonts w:ascii="Times New Roman" w:hAnsi="Times New Roman"/>
        </w:rPr>
        <w:t xml:space="preserve">Astfel, există 3 </w:t>
      </w:r>
      <w:r>
        <w:rPr>
          <w:rStyle w:val="FontStyle80"/>
          <w:rFonts w:ascii="Times New Roman" w:hAnsi="Times New Roman"/>
        </w:rPr>
        <w:t>pieţe</w:t>
      </w:r>
      <w:r>
        <w:rPr>
          <w:rStyle w:val="FontStyle80"/>
          <w:rFonts w:ascii="Times New Roman" w:hAnsi="Times New Roman"/>
        </w:rPr>
        <w:t xml:space="preserve"> care trebuiau avute în vedere de autoritate:</w:t>
      </w:r>
    </w:p>
    <w:p w:rsidR="00565124" w:rsidP="00565124" w14:paraId="6BA16EAC" w14:textId="77777777">
      <w:pPr>
        <w:pStyle w:val="Style41"/>
        <w:widowControl/>
        <w:numPr>
          <w:ilvl w:val="0"/>
          <w:numId w:val="1"/>
        </w:numPr>
        <w:tabs>
          <w:tab w:val="left" w:pos="851"/>
        </w:tabs>
        <w:spacing w:line="240" w:lineRule="auto"/>
        <w:ind w:firstLine="993"/>
        <w:rPr>
          <w:rStyle w:val="FontStyle80"/>
          <w:rFonts w:ascii="Times New Roman" w:hAnsi="Times New Roman"/>
        </w:rPr>
      </w:pPr>
      <w:r>
        <w:rPr>
          <w:rStyle w:val="FontStyle80"/>
          <w:rFonts w:ascii="Times New Roman" w:hAnsi="Times New Roman"/>
        </w:rPr>
        <w:t>Piaţa</w:t>
      </w:r>
      <w:r>
        <w:rPr>
          <w:rStyle w:val="FontStyle80"/>
          <w:rFonts w:ascii="Times New Roman" w:hAnsi="Times New Roman"/>
        </w:rPr>
        <w:t xml:space="preserve"> </w:t>
      </w:r>
      <w:r>
        <w:rPr>
          <w:rStyle w:val="FontStyle80"/>
          <w:rFonts w:ascii="Times New Roman" w:hAnsi="Times New Roman"/>
        </w:rPr>
        <w:t>producţiei</w:t>
      </w:r>
      <w:r>
        <w:rPr>
          <w:rStyle w:val="FontStyle80"/>
          <w:rFonts w:ascii="Times New Roman" w:hAnsi="Times New Roman"/>
        </w:rPr>
        <w:t xml:space="preserve">, importului </w:t>
      </w:r>
      <w:r>
        <w:rPr>
          <w:rStyle w:val="FontStyle80"/>
          <w:rFonts w:ascii="Times New Roman" w:hAnsi="Times New Roman"/>
        </w:rPr>
        <w:t>şi</w:t>
      </w:r>
      <w:r>
        <w:rPr>
          <w:rStyle w:val="FontStyle80"/>
          <w:rFonts w:ascii="Times New Roman" w:hAnsi="Times New Roman"/>
        </w:rPr>
        <w:t xml:space="preserve"> furnizării cu ridicata de produse </w:t>
      </w:r>
      <w:r>
        <w:rPr>
          <w:rStyle w:val="FontStyle80"/>
          <w:rFonts w:ascii="Times New Roman" w:hAnsi="Times New Roman"/>
        </w:rPr>
        <w:t>şi</w:t>
      </w:r>
      <w:r>
        <w:rPr>
          <w:rStyle w:val="FontStyle80"/>
          <w:rFonts w:ascii="Times New Roman" w:hAnsi="Times New Roman"/>
        </w:rPr>
        <w:t xml:space="preserve"> echipamente de </w:t>
      </w:r>
      <w:r>
        <w:rPr>
          <w:rStyle w:val="FontStyle80"/>
          <w:rFonts w:ascii="Times New Roman" w:hAnsi="Times New Roman"/>
        </w:rPr>
        <w:t>protecţie</w:t>
      </w:r>
      <w:r>
        <w:rPr>
          <w:rStyle w:val="FontStyle80"/>
          <w:rFonts w:ascii="Times New Roman" w:hAnsi="Times New Roman"/>
        </w:rPr>
        <w:t xml:space="preserve"> a muncii, pe care activează Z ;</w:t>
      </w:r>
    </w:p>
    <w:p w:rsidR="00565124" w:rsidP="00565124" w14:paraId="2B1FBFAF" w14:textId="77777777">
      <w:pPr>
        <w:pStyle w:val="Style41"/>
        <w:widowControl/>
        <w:numPr>
          <w:ilvl w:val="0"/>
          <w:numId w:val="1"/>
        </w:numPr>
        <w:tabs>
          <w:tab w:val="left" w:pos="851"/>
        </w:tabs>
        <w:spacing w:line="240" w:lineRule="auto"/>
        <w:ind w:firstLine="993"/>
        <w:rPr>
          <w:rStyle w:val="FontStyle80"/>
          <w:rFonts w:ascii="Times New Roman" w:hAnsi="Times New Roman"/>
        </w:rPr>
      </w:pPr>
      <w:r>
        <w:rPr>
          <w:rStyle w:val="FontStyle80"/>
          <w:rFonts w:ascii="Times New Roman" w:hAnsi="Times New Roman"/>
        </w:rPr>
        <w:t>Piaţa</w:t>
      </w:r>
      <w:r>
        <w:rPr>
          <w:rStyle w:val="FontStyle80"/>
          <w:rFonts w:ascii="Times New Roman" w:hAnsi="Times New Roman"/>
        </w:rPr>
        <w:t xml:space="preserve"> comercializării cu amănuntul a produselor </w:t>
      </w:r>
      <w:r>
        <w:rPr>
          <w:rStyle w:val="FontStyle80"/>
          <w:rFonts w:ascii="Times New Roman" w:hAnsi="Times New Roman"/>
        </w:rPr>
        <w:t>şi</w:t>
      </w:r>
      <w:r>
        <w:rPr>
          <w:rStyle w:val="FontStyle80"/>
          <w:rFonts w:ascii="Times New Roman" w:hAnsi="Times New Roman"/>
        </w:rPr>
        <w:t xml:space="preserve"> echipamentelor de </w:t>
      </w:r>
      <w:r>
        <w:rPr>
          <w:rStyle w:val="FontStyle80"/>
          <w:rFonts w:ascii="Times New Roman" w:hAnsi="Times New Roman"/>
        </w:rPr>
        <w:t>protecţia</w:t>
      </w:r>
      <w:r>
        <w:rPr>
          <w:rStyle w:val="FontStyle80"/>
          <w:rFonts w:ascii="Times New Roman" w:hAnsi="Times New Roman"/>
        </w:rPr>
        <w:t xml:space="preserve"> muncii, pe care activează </w:t>
      </w:r>
      <w:r>
        <w:rPr>
          <w:rStyle w:val="FontStyle80"/>
          <w:rFonts w:ascii="Times New Roman" w:hAnsi="Times New Roman"/>
        </w:rPr>
        <w:t>parţial</w:t>
      </w:r>
      <w:r>
        <w:rPr>
          <w:rStyle w:val="FontStyle80"/>
          <w:rFonts w:ascii="Times New Roman" w:hAnsi="Times New Roman"/>
        </w:rPr>
        <w:t xml:space="preserve"> Z  ca </w:t>
      </w:r>
      <w:r>
        <w:rPr>
          <w:rStyle w:val="FontStyle80"/>
          <w:rFonts w:ascii="Times New Roman" w:hAnsi="Times New Roman"/>
        </w:rPr>
        <w:t>şi</w:t>
      </w:r>
      <w:r>
        <w:rPr>
          <w:rStyle w:val="FontStyle80"/>
          <w:rFonts w:ascii="Times New Roman" w:hAnsi="Times New Roman"/>
        </w:rPr>
        <w:t xml:space="preserve"> furnizor al acestor echipamente </w:t>
      </w:r>
      <w:r>
        <w:rPr>
          <w:rStyle w:val="FontStyle80"/>
          <w:rFonts w:ascii="Times New Roman" w:hAnsi="Times New Roman"/>
        </w:rPr>
        <w:t>către.clienţi</w:t>
      </w:r>
      <w:r>
        <w:rPr>
          <w:rStyle w:val="FontStyle80"/>
          <w:rFonts w:ascii="Times New Roman" w:hAnsi="Times New Roman"/>
        </w:rPr>
        <w:t xml:space="preserve"> finali (în cazurile în care nu le furnizează prin </w:t>
      </w:r>
      <w:r>
        <w:rPr>
          <w:rStyle w:val="FontStyle80"/>
          <w:rFonts w:ascii="Times New Roman" w:hAnsi="Times New Roman"/>
        </w:rPr>
        <w:t>reţeaua</w:t>
      </w:r>
      <w:r>
        <w:rPr>
          <w:rStyle w:val="FontStyle80"/>
          <w:rFonts w:ascii="Times New Roman" w:hAnsi="Times New Roman"/>
        </w:rPr>
        <w:t xml:space="preserve"> de </w:t>
      </w:r>
      <w:r>
        <w:rPr>
          <w:rStyle w:val="FontStyle80"/>
          <w:rFonts w:ascii="Times New Roman" w:hAnsi="Times New Roman"/>
        </w:rPr>
        <w:t>distribuţie</w:t>
      </w:r>
      <w:r>
        <w:rPr>
          <w:rStyle w:val="FontStyle80"/>
          <w:rFonts w:ascii="Times New Roman" w:hAnsi="Times New Roman"/>
        </w:rPr>
        <w:t xml:space="preserve">) </w:t>
      </w:r>
      <w:r>
        <w:rPr>
          <w:rStyle w:val="FontStyle80"/>
          <w:rFonts w:ascii="Times New Roman" w:hAnsi="Times New Roman"/>
        </w:rPr>
        <w:t>şi</w:t>
      </w:r>
      <w:r>
        <w:rPr>
          <w:rStyle w:val="FontStyle80"/>
          <w:rFonts w:ascii="Times New Roman" w:hAnsi="Times New Roman"/>
        </w:rPr>
        <w:t xml:space="preserve"> </w:t>
      </w:r>
      <w:r>
        <w:rPr>
          <w:rStyle w:val="FontStyle80"/>
          <w:rFonts w:ascii="Times New Roman" w:hAnsi="Times New Roman"/>
        </w:rPr>
        <w:t>parţial</w:t>
      </w:r>
      <w:r>
        <w:rPr>
          <w:rStyle w:val="FontStyle80"/>
          <w:rFonts w:ascii="Times New Roman" w:hAnsi="Times New Roman"/>
        </w:rPr>
        <w:t xml:space="preserve"> X , ca </w:t>
      </w:r>
      <w:r>
        <w:rPr>
          <w:rStyle w:val="FontStyle80"/>
          <w:rFonts w:ascii="Times New Roman" w:hAnsi="Times New Roman"/>
        </w:rPr>
        <w:t>şi</w:t>
      </w:r>
      <w:r>
        <w:rPr>
          <w:rStyle w:val="FontStyle80"/>
          <w:rFonts w:ascii="Times New Roman" w:hAnsi="Times New Roman"/>
        </w:rPr>
        <w:t xml:space="preserve"> furnizor de servicii de aprovizionare integrată;</w:t>
      </w:r>
    </w:p>
    <w:p w:rsidR="00565124" w:rsidP="00565124" w14:paraId="7C097882" w14:textId="77777777">
      <w:pPr>
        <w:pStyle w:val="Style41"/>
        <w:widowControl/>
        <w:numPr>
          <w:ilvl w:val="0"/>
          <w:numId w:val="1"/>
        </w:numPr>
        <w:tabs>
          <w:tab w:val="left" w:pos="851"/>
        </w:tabs>
        <w:spacing w:line="240" w:lineRule="auto"/>
        <w:ind w:firstLine="993"/>
        <w:rPr>
          <w:rStyle w:val="FontStyle80"/>
          <w:rFonts w:ascii="Times New Roman" w:hAnsi="Times New Roman"/>
        </w:rPr>
      </w:pPr>
      <w:r>
        <w:rPr>
          <w:rStyle w:val="FontStyle80"/>
          <w:rFonts w:ascii="Times New Roman" w:hAnsi="Times New Roman"/>
        </w:rPr>
        <w:t>Piaţa</w:t>
      </w:r>
      <w:r>
        <w:rPr>
          <w:rStyle w:val="FontStyle80"/>
          <w:rFonts w:ascii="Times New Roman" w:hAnsi="Times New Roman"/>
        </w:rPr>
        <w:t xml:space="preserve"> serviciilor de aprovizionare completă/integrată </w:t>
      </w:r>
      <w:r>
        <w:rPr>
          <w:rStyle w:val="FontStyle80"/>
          <w:rFonts w:ascii="Times New Roman" w:hAnsi="Times New Roman"/>
        </w:rPr>
        <w:t>şi</w:t>
      </w:r>
      <w:r>
        <w:rPr>
          <w:rStyle w:val="FontStyle80"/>
          <w:rFonts w:ascii="Times New Roman" w:hAnsi="Times New Roman"/>
        </w:rPr>
        <w:t xml:space="preserve"> a serviciilor de logistică pe care activează X  ca </w:t>
      </w:r>
      <w:r>
        <w:rPr>
          <w:rStyle w:val="FontStyle80"/>
          <w:rFonts w:ascii="Times New Roman" w:hAnsi="Times New Roman"/>
        </w:rPr>
        <w:t>şi</w:t>
      </w:r>
      <w:r>
        <w:rPr>
          <w:rStyle w:val="FontStyle80"/>
          <w:rFonts w:ascii="Times New Roman" w:hAnsi="Times New Roman"/>
        </w:rPr>
        <w:t xml:space="preserve"> integrator/antreprenor.</w:t>
      </w:r>
    </w:p>
    <w:p w:rsidR="00565124" w:rsidP="00565124" w14:paraId="12610E90" w14:textId="77777777">
      <w:pPr>
        <w:pStyle w:val="Style33"/>
        <w:widowControl/>
        <w:spacing w:line="240" w:lineRule="auto"/>
        <w:ind w:firstLine="993"/>
        <w:rPr>
          <w:rStyle w:val="FontStyle80"/>
          <w:rFonts w:ascii="Times New Roman" w:hAnsi="Times New Roman"/>
        </w:rPr>
      </w:pPr>
      <w:r>
        <w:rPr>
          <w:rStyle w:val="FontStyle80"/>
          <w:rFonts w:ascii="Times New Roman" w:hAnsi="Times New Roman"/>
        </w:rPr>
        <w:t xml:space="preserve">În decizie se ignoră faptul că Z  vinde în calitate de producător sub marca Z  echipamente de </w:t>
      </w:r>
      <w:r>
        <w:rPr>
          <w:rStyle w:val="FontStyle80"/>
          <w:rFonts w:ascii="Times New Roman" w:hAnsi="Times New Roman"/>
        </w:rPr>
        <w:t>protecţie</w:t>
      </w:r>
      <w:r>
        <w:rPr>
          <w:rStyle w:val="FontStyle80"/>
          <w:rFonts w:ascii="Times New Roman" w:hAnsi="Times New Roman"/>
        </w:rPr>
        <w:t xml:space="preserve"> a muncii către X , analiza fiind realizată strict din perspectiva </w:t>
      </w:r>
      <w:r>
        <w:rPr>
          <w:rStyle w:val="FontStyle80"/>
          <w:rFonts w:ascii="Times New Roman" w:hAnsi="Times New Roman"/>
        </w:rPr>
        <w:t>pieţei</w:t>
      </w:r>
      <w:r>
        <w:rPr>
          <w:rStyle w:val="FontStyle80"/>
          <w:rFonts w:ascii="Times New Roman" w:hAnsi="Times New Roman"/>
        </w:rPr>
        <w:t xml:space="preserve"> din aval, unde cele două </w:t>
      </w:r>
      <w:r>
        <w:rPr>
          <w:rStyle w:val="FontStyle80"/>
          <w:rFonts w:ascii="Times New Roman" w:hAnsi="Times New Roman"/>
        </w:rPr>
        <w:t>societăţi</w:t>
      </w:r>
      <w:r>
        <w:rPr>
          <w:rStyle w:val="FontStyle80"/>
          <w:rFonts w:ascii="Times New Roman" w:hAnsi="Times New Roman"/>
        </w:rPr>
        <w:t xml:space="preserve"> se întâlnesc la nivel de competitori, </w:t>
      </w:r>
      <w:r>
        <w:rPr>
          <w:rStyle w:val="FontStyle80"/>
          <w:rFonts w:ascii="Times New Roman" w:hAnsi="Times New Roman"/>
        </w:rPr>
        <w:t>deşi</w:t>
      </w:r>
      <w:r>
        <w:rPr>
          <w:rStyle w:val="FontStyle80"/>
          <w:rFonts w:ascii="Times New Roman" w:hAnsi="Times New Roman"/>
        </w:rPr>
        <w:t xml:space="preserve"> </w:t>
      </w:r>
      <w:r>
        <w:rPr>
          <w:rStyle w:val="FontStyle80"/>
          <w:rFonts w:ascii="Times New Roman" w:hAnsi="Times New Roman"/>
        </w:rPr>
        <w:t>relevanţă</w:t>
      </w:r>
      <w:r>
        <w:rPr>
          <w:rStyle w:val="FontStyle80"/>
          <w:rFonts w:ascii="Times New Roman" w:hAnsi="Times New Roman"/>
        </w:rPr>
        <w:t xml:space="preserve"> prezintă faptul că </w:t>
      </w:r>
      <w:r>
        <w:rPr>
          <w:rStyle w:val="FontStyle80"/>
          <w:rFonts w:ascii="Times New Roman" w:hAnsi="Times New Roman"/>
        </w:rPr>
        <w:t>relaţiile</w:t>
      </w:r>
      <w:r>
        <w:rPr>
          <w:rStyle w:val="FontStyle80"/>
          <w:rFonts w:ascii="Times New Roman" w:hAnsi="Times New Roman"/>
        </w:rPr>
        <w:t xml:space="preserve"> dintre cele două </w:t>
      </w:r>
      <w:r>
        <w:rPr>
          <w:rStyle w:val="FontStyle80"/>
          <w:rFonts w:ascii="Times New Roman" w:hAnsi="Times New Roman"/>
        </w:rPr>
        <w:t>societăţi</w:t>
      </w:r>
      <w:r>
        <w:rPr>
          <w:rStyle w:val="FontStyle80"/>
          <w:rFonts w:ascii="Times New Roman" w:hAnsi="Times New Roman"/>
        </w:rPr>
        <w:t xml:space="preserve"> se înscriu într-un sistem de </w:t>
      </w:r>
      <w:r>
        <w:rPr>
          <w:rStyle w:val="FontStyle80"/>
          <w:rFonts w:ascii="Times New Roman" w:hAnsi="Times New Roman"/>
        </w:rPr>
        <w:t>distribuţie</w:t>
      </w:r>
      <w:r>
        <w:rPr>
          <w:rStyle w:val="FontStyle80"/>
          <w:rFonts w:ascii="Times New Roman" w:hAnsi="Times New Roman"/>
        </w:rPr>
        <w:t xml:space="preserve"> duală. Orice schimb de </w:t>
      </w:r>
      <w:r>
        <w:rPr>
          <w:rStyle w:val="FontStyle80"/>
          <w:rFonts w:ascii="Times New Roman" w:hAnsi="Times New Roman"/>
        </w:rPr>
        <w:t>informaţii</w:t>
      </w:r>
      <w:r>
        <w:rPr>
          <w:rStyle w:val="FontStyle80"/>
          <w:rFonts w:ascii="Times New Roman" w:hAnsi="Times New Roman"/>
        </w:rPr>
        <w:t xml:space="preserve"> între astfel de </w:t>
      </w:r>
      <w:r>
        <w:rPr>
          <w:rStyle w:val="FontStyle80"/>
          <w:rFonts w:ascii="Times New Roman" w:hAnsi="Times New Roman"/>
        </w:rPr>
        <w:t>societăţi</w:t>
      </w:r>
      <w:r>
        <w:rPr>
          <w:rStyle w:val="FontStyle80"/>
          <w:rFonts w:ascii="Times New Roman" w:hAnsi="Times New Roman"/>
        </w:rPr>
        <w:t xml:space="preserve"> trebuie să facă mai întâi obiectul analizei din perspectiva exceptărilor de la aplicarea art. 101 TFUE (</w:t>
      </w:r>
      <w:r>
        <w:rPr>
          <w:rStyle w:val="FontStyle80"/>
          <w:rFonts w:ascii="Times New Roman" w:hAnsi="Times New Roman"/>
        </w:rPr>
        <w:t>şi</w:t>
      </w:r>
      <w:r>
        <w:rPr>
          <w:rStyle w:val="FontStyle80"/>
          <w:rFonts w:ascii="Times New Roman" w:hAnsi="Times New Roman"/>
        </w:rPr>
        <w:t xml:space="preserve"> art. 5 din Legea </w:t>
      </w:r>
      <w:r>
        <w:rPr>
          <w:rStyle w:val="FontStyle80"/>
          <w:rFonts w:ascii="Times New Roman" w:hAnsi="Times New Roman"/>
        </w:rPr>
        <w:t>concurenţei</w:t>
      </w:r>
      <w:r>
        <w:rPr>
          <w:rStyle w:val="FontStyle80"/>
          <w:rFonts w:ascii="Times New Roman" w:hAnsi="Times New Roman"/>
        </w:rPr>
        <w:t xml:space="preserve">) prevăzute în regulamentele de exceptare pe categorii incidente în cazul </w:t>
      </w:r>
      <w:r>
        <w:rPr>
          <w:rStyle w:val="FontStyle80"/>
          <w:rFonts w:ascii="Times New Roman" w:hAnsi="Times New Roman"/>
        </w:rPr>
        <w:t>relaţiilor</w:t>
      </w:r>
      <w:r>
        <w:rPr>
          <w:rStyle w:val="FontStyle80"/>
          <w:rFonts w:ascii="Times New Roman" w:hAnsi="Times New Roman"/>
        </w:rPr>
        <w:t xml:space="preserve"> verticale, în </w:t>
      </w:r>
      <w:r>
        <w:rPr>
          <w:rStyle w:val="FontStyle80"/>
          <w:rFonts w:ascii="Times New Roman" w:hAnsi="Times New Roman"/>
        </w:rPr>
        <w:t>speţă</w:t>
      </w:r>
      <w:r>
        <w:rPr>
          <w:rStyle w:val="FontStyle80"/>
          <w:rFonts w:ascii="Times New Roman" w:hAnsi="Times New Roman"/>
        </w:rPr>
        <w:t xml:space="preserve"> fiind incidente următoarele:</w:t>
      </w:r>
    </w:p>
    <w:p w:rsidR="00565124" w:rsidP="00565124" w14:paraId="30785D31" w14:textId="77777777">
      <w:pPr>
        <w:pStyle w:val="Style33"/>
        <w:widowControl/>
        <w:spacing w:line="240" w:lineRule="auto"/>
        <w:ind w:firstLine="993"/>
        <w:rPr>
          <w:rStyle w:val="FontStyle80"/>
          <w:rFonts w:ascii="Times New Roman" w:hAnsi="Times New Roman"/>
        </w:rPr>
      </w:pPr>
      <w:r>
        <w:rPr>
          <w:rStyle w:val="FontStyle81"/>
          <w:rFonts w:ascii="Times New Roman" w:hAnsi="Times New Roman"/>
        </w:rPr>
        <w:t xml:space="preserve">- </w:t>
      </w:r>
      <w:r>
        <w:rPr>
          <w:rStyle w:val="FontStyle80"/>
          <w:rFonts w:ascii="Times New Roman" w:hAnsi="Times New Roman"/>
        </w:rPr>
        <w:t xml:space="preserve">Regulamentul (UE) nr. 330/2010 al Comisiei din 20 aprilie 2010 privind aplicarea articolului 101 alineatul (3) din Tratatul privind </w:t>
      </w:r>
      <w:r>
        <w:rPr>
          <w:rStyle w:val="FontStyle80"/>
          <w:rFonts w:ascii="Times New Roman" w:hAnsi="Times New Roman"/>
        </w:rPr>
        <w:t>funcţionarea</w:t>
      </w:r>
      <w:r>
        <w:rPr>
          <w:rStyle w:val="FontStyle80"/>
          <w:rFonts w:ascii="Times New Roman" w:hAnsi="Times New Roman"/>
        </w:rPr>
        <w:t xml:space="preserve"> Uniunii Europene categoriilor de acorduri verticale </w:t>
      </w:r>
      <w:r>
        <w:rPr>
          <w:rStyle w:val="FontStyle80"/>
          <w:rFonts w:ascii="Times New Roman" w:hAnsi="Times New Roman"/>
        </w:rPr>
        <w:t>şi</w:t>
      </w:r>
      <w:r>
        <w:rPr>
          <w:rStyle w:val="FontStyle80"/>
          <w:rFonts w:ascii="Times New Roman" w:hAnsi="Times New Roman"/>
        </w:rPr>
        <w:t xml:space="preserve"> practici concertate;</w:t>
      </w:r>
    </w:p>
    <w:p w:rsidR="00565124" w:rsidP="00565124" w14:paraId="149BE118" w14:textId="77777777">
      <w:pPr>
        <w:pStyle w:val="Style33"/>
        <w:widowControl/>
        <w:spacing w:line="240" w:lineRule="auto"/>
        <w:ind w:firstLine="993"/>
        <w:rPr>
          <w:rStyle w:val="FontStyle80"/>
          <w:rFonts w:ascii="Times New Roman" w:hAnsi="Times New Roman"/>
        </w:rPr>
      </w:pPr>
      <w:r>
        <w:rPr>
          <w:rStyle w:val="FontStyle81"/>
          <w:rFonts w:ascii="Times New Roman" w:hAnsi="Times New Roman"/>
        </w:rPr>
        <w:t xml:space="preserve">- </w:t>
      </w:r>
      <w:r>
        <w:rPr>
          <w:rStyle w:val="FontStyle80"/>
          <w:rFonts w:ascii="Times New Roman" w:hAnsi="Times New Roman"/>
        </w:rPr>
        <w:t xml:space="preserve">Regulamentul (UE) nr. 720/2022 al Comisiei din 10 mai 2022 privind aplicarea articolului 101 alineatul (3) din Tratatul privind </w:t>
      </w:r>
      <w:r>
        <w:rPr>
          <w:rStyle w:val="FontStyle80"/>
          <w:rFonts w:ascii="Times New Roman" w:hAnsi="Times New Roman"/>
        </w:rPr>
        <w:t>funcţionarea</w:t>
      </w:r>
      <w:r>
        <w:rPr>
          <w:rStyle w:val="FontStyle80"/>
          <w:rFonts w:ascii="Times New Roman" w:hAnsi="Times New Roman"/>
        </w:rPr>
        <w:t xml:space="preserve"> Uniunii Europene la categoriile de acorduri verticale </w:t>
      </w:r>
      <w:r>
        <w:rPr>
          <w:rStyle w:val="FontStyle80"/>
          <w:rFonts w:ascii="Times New Roman" w:hAnsi="Times New Roman"/>
        </w:rPr>
        <w:t>şi</w:t>
      </w:r>
      <w:r>
        <w:rPr>
          <w:rStyle w:val="FontStyle80"/>
          <w:rFonts w:ascii="Times New Roman" w:hAnsi="Times New Roman"/>
        </w:rPr>
        <w:t xml:space="preserve"> practici concertate (care l-a abrogat pe cel anterior), denumit în continuare Regulamentul 720/2022.</w:t>
      </w:r>
    </w:p>
    <w:p w:rsidR="00565124" w:rsidP="00565124" w14:paraId="3B17035A" w14:textId="77777777">
      <w:pPr>
        <w:tabs>
          <w:tab w:val="left" w:pos="851"/>
          <w:tab w:val="left" w:pos="2339"/>
        </w:tabs>
        <w:ind w:firstLine="993"/>
        <w:jc w:val="both"/>
        <w:rPr>
          <w:rStyle w:val="FontStyle80"/>
        </w:rPr>
      </w:pPr>
      <w:r>
        <w:rPr>
          <w:rStyle w:val="FontStyle80"/>
        </w:rPr>
        <w:t xml:space="preserve">Cel care face referire expresă la sistemul de </w:t>
      </w:r>
      <w:r>
        <w:rPr>
          <w:rStyle w:val="FontStyle80"/>
        </w:rPr>
        <w:t>distribuţie</w:t>
      </w:r>
      <w:r>
        <w:rPr>
          <w:rStyle w:val="FontStyle80"/>
        </w:rPr>
        <w:t xml:space="preserve"> duală este cel de-al doilea. Conform par. (12) din expunerea de motive a </w:t>
      </w:r>
      <w:r>
        <w:rPr>
          <w:rStyle w:val="FontStyle84"/>
        </w:rPr>
        <w:t xml:space="preserve">Regulamentului (UE) 2022/720 al Comisiei din 10 mai 2022 privind aplicarea articolului 101 alineatul (3) din Tratatul privind </w:t>
      </w:r>
      <w:r>
        <w:rPr>
          <w:rStyle w:val="FontStyle84"/>
        </w:rPr>
        <w:t>funcţionarea</w:t>
      </w:r>
      <w:r>
        <w:rPr>
          <w:rStyle w:val="FontStyle84"/>
        </w:rPr>
        <w:t xml:space="preserve"> Uniunii Europene la categoriile de acorduri verticale </w:t>
      </w:r>
      <w:r>
        <w:rPr>
          <w:rStyle w:val="FontStyle84"/>
        </w:rPr>
        <w:t>şi</w:t>
      </w:r>
      <w:r>
        <w:rPr>
          <w:rStyle w:val="FontStyle84"/>
        </w:rPr>
        <w:t xml:space="preserve"> practici concertate </w:t>
      </w:r>
      <w:r>
        <w:rPr>
          <w:rStyle w:val="FontStyle80"/>
        </w:rPr>
        <w:t>(VBER):</w:t>
      </w:r>
    </w:p>
    <w:p w:rsidR="00565124" w:rsidP="00565124" w14:paraId="7CE85EEC" w14:textId="77777777">
      <w:pPr>
        <w:pStyle w:val="Style34"/>
        <w:widowControl/>
        <w:spacing w:before="5" w:line="240" w:lineRule="auto"/>
        <w:ind w:firstLine="993"/>
        <w:rPr>
          <w:rStyle w:val="FontStyle80"/>
          <w:rFonts w:ascii="Times New Roman" w:hAnsi="Times New Roman"/>
        </w:rPr>
      </w:pPr>
      <w:r>
        <w:rPr>
          <w:rStyle w:val="FontStyle84"/>
          <w:rFonts w:ascii="Times New Roman" w:hAnsi="Times New Roman"/>
        </w:rPr>
        <w:t>"</w:t>
      </w:r>
      <w:r>
        <w:rPr>
          <w:rStyle w:val="FontStyle84"/>
          <w:rFonts w:ascii="Times New Roman" w:hAnsi="Times New Roman"/>
        </w:rPr>
        <w:t>Distribuţia</w:t>
      </w:r>
      <w:r>
        <w:rPr>
          <w:rStyle w:val="FontStyle84"/>
          <w:rFonts w:ascii="Times New Roman" w:hAnsi="Times New Roman"/>
        </w:rPr>
        <w:t xml:space="preserve"> duală se referă la scenariul în care </w:t>
      </w:r>
      <w:r>
        <w:rPr>
          <w:rStyle w:val="FontStyle85"/>
          <w:rFonts w:ascii="Times New Roman" w:hAnsi="Times New Roman"/>
        </w:rPr>
        <w:t xml:space="preserve">un furnizor vinde bunuri sau servicii nu numai la nivelul din amonte, ci </w:t>
      </w:r>
      <w:r>
        <w:rPr>
          <w:rStyle w:val="FontStyle85"/>
          <w:rFonts w:ascii="Times New Roman" w:hAnsi="Times New Roman"/>
        </w:rPr>
        <w:t>şi</w:t>
      </w:r>
      <w:r>
        <w:rPr>
          <w:rStyle w:val="FontStyle85"/>
          <w:rFonts w:ascii="Times New Roman" w:hAnsi="Times New Roman"/>
        </w:rPr>
        <w:t xml:space="preserve"> la nivelul din aval, concurând astfel cu distribuitorii săi </w:t>
      </w:r>
      <w:r>
        <w:rPr>
          <w:rStyle w:val="FontStyle85"/>
          <w:rFonts w:ascii="Times New Roman" w:hAnsi="Times New Roman"/>
        </w:rPr>
        <w:t>independenţi</w:t>
      </w:r>
      <w:r>
        <w:rPr>
          <w:rStyle w:val="FontStyle85"/>
          <w:rFonts w:ascii="Times New Roman" w:hAnsi="Times New Roman"/>
        </w:rPr>
        <w:t xml:space="preserve">. </w:t>
      </w:r>
      <w:r>
        <w:rPr>
          <w:rStyle w:val="FontStyle84"/>
          <w:rFonts w:ascii="Times New Roman" w:hAnsi="Times New Roman"/>
        </w:rPr>
        <w:t xml:space="preserve">în acest scenariu, în </w:t>
      </w:r>
      <w:r>
        <w:rPr>
          <w:rStyle w:val="FontStyle84"/>
          <w:rFonts w:ascii="Times New Roman" w:hAnsi="Times New Roman"/>
        </w:rPr>
        <w:t>absenţa</w:t>
      </w:r>
      <w:r>
        <w:rPr>
          <w:rStyle w:val="FontStyle84"/>
          <w:rFonts w:ascii="Times New Roman" w:hAnsi="Times New Roman"/>
        </w:rPr>
        <w:t xml:space="preserve"> unor </w:t>
      </w:r>
      <w:r>
        <w:rPr>
          <w:rStyle w:val="FontStyle84"/>
          <w:rFonts w:ascii="Times New Roman" w:hAnsi="Times New Roman"/>
        </w:rPr>
        <w:t>restricţii</w:t>
      </w:r>
      <w:r>
        <w:rPr>
          <w:rStyle w:val="FontStyle84"/>
          <w:rFonts w:ascii="Times New Roman" w:hAnsi="Times New Roman"/>
        </w:rPr>
        <w:t xml:space="preserve"> grave </w:t>
      </w:r>
      <w:r>
        <w:rPr>
          <w:rStyle w:val="FontStyle84"/>
          <w:rFonts w:ascii="Times New Roman" w:hAnsi="Times New Roman"/>
        </w:rPr>
        <w:t>şi</w:t>
      </w:r>
      <w:r>
        <w:rPr>
          <w:rStyle w:val="FontStyle84"/>
          <w:rFonts w:ascii="Times New Roman" w:hAnsi="Times New Roman"/>
        </w:rPr>
        <w:t xml:space="preserve"> în cazul în care cumpărătorul nu concurează cu furnizorul la nivelul din amonte, impactul negativ </w:t>
      </w:r>
      <w:r>
        <w:rPr>
          <w:rStyle w:val="FontStyle84"/>
          <w:rFonts w:ascii="Times New Roman" w:hAnsi="Times New Roman"/>
        </w:rPr>
        <w:t>potenţial</w:t>
      </w:r>
      <w:r>
        <w:rPr>
          <w:rStyle w:val="FontStyle84"/>
          <w:rFonts w:ascii="Times New Roman" w:hAnsi="Times New Roman"/>
        </w:rPr>
        <w:t xml:space="preserve"> al acordului vertical asupra </w:t>
      </w:r>
      <w:r>
        <w:rPr>
          <w:rStyle w:val="FontStyle84"/>
          <w:rFonts w:ascii="Times New Roman" w:hAnsi="Times New Roman"/>
        </w:rPr>
        <w:t>relaţiei</w:t>
      </w:r>
      <w:r>
        <w:rPr>
          <w:rStyle w:val="FontStyle84"/>
          <w:rFonts w:ascii="Times New Roman" w:hAnsi="Times New Roman"/>
        </w:rPr>
        <w:t xml:space="preserve"> de concurentă dintre furnizor si cumpărător la nivelul din aval este mai </w:t>
      </w:r>
      <w:r>
        <w:rPr>
          <w:rStyle w:val="FontStyle84"/>
          <w:rFonts w:ascii="Times New Roman" w:hAnsi="Times New Roman"/>
        </w:rPr>
        <w:t>puţin</w:t>
      </w:r>
      <w:r>
        <w:rPr>
          <w:rStyle w:val="FontStyle84"/>
          <w:rFonts w:ascii="Times New Roman" w:hAnsi="Times New Roman"/>
        </w:rPr>
        <w:t xml:space="preserve"> important decât impactul </w:t>
      </w:r>
      <w:r>
        <w:rPr>
          <w:rStyle w:val="FontStyle84"/>
          <w:rFonts w:ascii="Times New Roman" w:hAnsi="Times New Roman"/>
        </w:rPr>
        <w:t>potenţial</w:t>
      </w:r>
      <w:r>
        <w:rPr>
          <w:rStyle w:val="FontStyle84"/>
          <w:rFonts w:ascii="Times New Roman" w:hAnsi="Times New Roman"/>
        </w:rPr>
        <w:t xml:space="preserve"> pozitiv al acordului vertical asupra concurentei în general</w:t>
      </w:r>
      <w:r>
        <w:rPr>
          <w:rStyle w:val="FontStyle84"/>
          <w:rFonts w:ascii="Times New Roman" w:hAnsi="Times New Roman"/>
          <w:u w:val="single"/>
        </w:rPr>
        <w:t>,</w:t>
      </w:r>
      <w:r>
        <w:rPr>
          <w:rStyle w:val="FontStyle84"/>
          <w:rFonts w:ascii="Times New Roman" w:hAnsi="Times New Roman"/>
        </w:rPr>
        <w:t xml:space="preserve"> la nivelul din amonte sau din aval."</w:t>
      </w:r>
    </w:p>
    <w:p w:rsidR="00565124" w:rsidP="00565124" w14:paraId="798E6BA8" w14:textId="77777777">
      <w:pPr>
        <w:tabs>
          <w:tab w:val="left" w:pos="851"/>
          <w:tab w:val="left" w:pos="2339"/>
        </w:tabs>
        <w:ind w:firstLine="993"/>
        <w:jc w:val="both"/>
        <w:rPr>
          <w:rStyle w:val="FontStyle84"/>
        </w:rPr>
      </w:pPr>
      <w:r>
        <w:rPr>
          <w:rStyle w:val="FontStyle84"/>
        </w:rPr>
        <w:t xml:space="preserve">„Exceptarea prevăzută la alineatul 1 nu se aplică acordurilor verticale încheiate între întreprinderi concurente. Cu toate acestea, exceptarea se aplică atunci când întreprinderile concurente încheie între ele un acord vertical nereciproc </w:t>
      </w:r>
      <w:r>
        <w:rPr>
          <w:rStyle w:val="FontStyle84"/>
        </w:rPr>
        <w:t>şi</w:t>
      </w:r>
      <w:r>
        <w:rPr>
          <w:rStyle w:val="FontStyle84"/>
        </w:rPr>
        <w:t xml:space="preserve"> dacă se aplică una din următoarele </w:t>
      </w:r>
      <w:r>
        <w:rPr>
          <w:rStyle w:val="FontStyle84"/>
        </w:rPr>
        <w:t>condiţii</w:t>
      </w:r>
      <w:r>
        <w:rPr>
          <w:rStyle w:val="FontStyle84"/>
        </w:rPr>
        <w:t>:</w:t>
      </w:r>
    </w:p>
    <w:p w:rsidR="00565124" w:rsidP="00565124" w14:paraId="67C509D5" w14:textId="77777777">
      <w:pPr>
        <w:pStyle w:val="Style56"/>
        <w:widowControl/>
        <w:numPr>
          <w:ilvl w:val="0"/>
          <w:numId w:val="2"/>
        </w:numPr>
        <w:spacing w:line="240" w:lineRule="auto"/>
        <w:ind w:firstLine="993"/>
        <w:rPr>
          <w:rStyle w:val="FontStyle84"/>
          <w:rFonts w:ascii="Times New Roman" w:hAnsi="Times New Roman"/>
        </w:rPr>
      </w:pPr>
      <w:r>
        <w:rPr>
          <w:rStyle w:val="FontStyle84"/>
          <w:rFonts w:ascii="Times New Roman" w:hAnsi="Times New Roman"/>
        </w:rPr>
        <w:t xml:space="preserve">furnizorul </w:t>
      </w:r>
      <w:r>
        <w:rPr>
          <w:rStyle w:val="FontStyle84"/>
          <w:rFonts w:ascii="Times New Roman" w:hAnsi="Times New Roman"/>
        </w:rPr>
        <w:t>îşi</w:t>
      </w:r>
      <w:r>
        <w:rPr>
          <w:rStyle w:val="FontStyle84"/>
          <w:rFonts w:ascii="Times New Roman" w:hAnsi="Times New Roman"/>
        </w:rPr>
        <w:t xml:space="preserve"> </w:t>
      </w:r>
      <w:r>
        <w:rPr>
          <w:rStyle w:val="FontStyle84"/>
          <w:rFonts w:ascii="Times New Roman" w:hAnsi="Times New Roman"/>
        </w:rPr>
        <w:t>desfăşoară</w:t>
      </w:r>
      <w:r>
        <w:rPr>
          <w:rStyle w:val="FontStyle84"/>
          <w:rFonts w:ascii="Times New Roman" w:hAnsi="Times New Roman"/>
        </w:rPr>
        <w:t xml:space="preserve"> activitatea la nivelul din amonte în calitate de producător, importator sau comerciant cu ridicata </w:t>
      </w:r>
      <w:r>
        <w:rPr>
          <w:rStyle w:val="FontStyle84"/>
          <w:rFonts w:ascii="Times New Roman" w:hAnsi="Times New Roman"/>
        </w:rPr>
        <w:t>şi</w:t>
      </w:r>
      <w:r>
        <w:rPr>
          <w:rStyle w:val="FontStyle84"/>
          <w:rFonts w:ascii="Times New Roman" w:hAnsi="Times New Roman"/>
        </w:rPr>
        <w:t xml:space="preserve"> la nivelul din aval în calitate de importator, comerciant cu ridicata sau comerciant cu amănuntul de bunuri, în timp ce cumpărătorul este un importator, un comerciant cu ridicata sau un comerciant cu amănuntul la nivelul din aval </w:t>
      </w:r>
      <w:r>
        <w:rPr>
          <w:rStyle w:val="FontStyle85"/>
          <w:rFonts w:ascii="Times New Roman" w:hAnsi="Times New Roman"/>
        </w:rPr>
        <w:t>şi</w:t>
      </w:r>
      <w:r>
        <w:rPr>
          <w:rStyle w:val="FontStyle85"/>
          <w:rFonts w:ascii="Times New Roman" w:hAnsi="Times New Roman"/>
        </w:rPr>
        <w:t xml:space="preserve"> nu o întreprindere concurentă la nivelul din amonte la care </w:t>
      </w:r>
      <w:r>
        <w:rPr>
          <w:rStyle w:val="FontStyle85"/>
          <w:rFonts w:ascii="Times New Roman" w:hAnsi="Times New Roman"/>
        </w:rPr>
        <w:t>achiziţionează</w:t>
      </w:r>
      <w:r>
        <w:rPr>
          <w:rStyle w:val="FontStyle85"/>
          <w:rFonts w:ascii="Times New Roman" w:hAnsi="Times New Roman"/>
        </w:rPr>
        <w:t xml:space="preserve"> bunurile contractuale; </w:t>
      </w:r>
      <w:r>
        <w:rPr>
          <w:rStyle w:val="FontStyle84"/>
          <w:rFonts w:ascii="Times New Roman" w:hAnsi="Times New Roman"/>
        </w:rPr>
        <w:t>sau</w:t>
      </w:r>
    </w:p>
    <w:p w:rsidR="00565124" w:rsidP="00565124" w14:paraId="0D172FAF" w14:textId="77777777">
      <w:pPr>
        <w:pStyle w:val="Style56"/>
        <w:widowControl/>
        <w:numPr>
          <w:ilvl w:val="0"/>
          <w:numId w:val="2"/>
        </w:numPr>
        <w:spacing w:line="240" w:lineRule="auto"/>
        <w:ind w:firstLine="993"/>
        <w:rPr>
          <w:rStyle w:val="FontStyle84"/>
          <w:rFonts w:ascii="Times New Roman" w:hAnsi="Times New Roman"/>
        </w:rPr>
      </w:pPr>
      <w:r>
        <w:rPr>
          <w:rStyle w:val="FontStyle84"/>
          <w:rFonts w:ascii="Times New Roman" w:hAnsi="Times New Roman"/>
        </w:rPr>
        <w:t xml:space="preserve">furnizorul este un prestator de servicii la mai multe niveluri comerciale, în timp ce cumpărătorul </w:t>
      </w:r>
      <w:r>
        <w:rPr>
          <w:rStyle w:val="FontStyle84"/>
          <w:rFonts w:ascii="Times New Roman" w:hAnsi="Times New Roman"/>
        </w:rPr>
        <w:t>îşi</w:t>
      </w:r>
      <w:r>
        <w:rPr>
          <w:rStyle w:val="FontStyle84"/>
          <w:rFonts w:ascii="Times New Roman" w:hAnsi="Times New Roman"/>
        </w:rPr>
        <w:t xml:space="preserve"> furnizează serviciile la nivelul comercializării cu amănuntul </w:t>
      </w:r>
      <w:r>
        <w:rPr>
          <w:rStyle w:val="FontStyle84"/>
          <w:rFonts w:ascii="Times New Roman" w:hAnsi="Times New Roman"/>
        </w:rPr>
        <w:t>şi</w:t>
      </w:r>
      <w:r>
        <w:rPr>
          <w:rStyle w:val="FontStyle84"/>
          <w:rFonts w:ascii="Times New Roman" w:hAnsi="Times New Roman"/>
        </w:rPr>
        <w:t xml:space="preserve"> nu este o întreprindere concurentă la nivelul comercial la care </w:t>
      </w:r>
      <w:r>
        <w:rPr>
          <w:rStyle w:val="FontStyle84"/>
          <w:rFonts w:ascii="Times New Roman" w:hAnsi="Times New Roman"/>
        </w:rPr>
        <w:t>îşi</w:t>
      </w:r>
      <w:r>
        <w:rPr>
          <w:rStyle w:val="FontStyle84"/>
          <w:rFonts w:ascii="Times New Roman" w:hAnsi="Times New Roman"/>
        </w:rPr>
        <w:t xml:space="preserve"> </w:t>
      </w:r>
      <w:r>
        <w:rPr>
          <w:rStyle w:val="FontStyle84"/>
          <w:rFonts w:ascii="Times New Roman" w:hAnsi="Times New Roman"/>
        </w:rPr>
        <w:t>achiziţionează</w:t>
      </w:r>
      <w:r>
        <w:rPr>
          <w:rStyle w:val="FontStyle84"/>
          <w:rFonts w:ascii="Times New Roman" w:hAnsi="Times New Roman"/>
        </w:rPr>
        <w:t xml:space="preserve"> serviciile contractuale."</w:t>
      </w:r>
    </w:p>
    <w:p w:rsidR="00565124" w:rsidP="00565124" w14:paraId="4D8D175A" w14:textId="77777777">
      <w:pPr>
        <w:pStyle w:val="Style33"/>
        <w:widowControl/>
        <w:spacing w:line="240" w:lineRule="auto"/>
        <w:ind w:firstLine="993"/>
        <w:rPr>
          <w:rStyle w:val="FontStyle80"/>
          <w:rFonts w:ascii="Times New Roman" w:hAnsi="Times New Roman"/>
        </w:rPr>
      </w:pPr>
      <w:r>
        <w:rPr>
          <w:rStyle w:val="FontStyle80"/>
          <w:rFonts w:ascii="Times New Roman" w:hAnsi="Times New Roman"/>
        </w:rPr>
        <w:t xml:space="preserve">Prin urmare, în cazul întreprinderilor concurente nu se aplică exceptarea instituită de alin. (1) al art. 2 din Regulamentul (UE) nr. 720/2022, însă această </w:t>
      </w:r>
      <w:r>
        <w:rPr>
          <w:rStyle w:val="FontStyle80"/>
          <w:rFonts w:ascii="Times New Roman" w:hAnsi="Times New Roman"/>
        </w:rPr>
        <w:t>excepţie</w:t>
      </w:r>
      <w:r>
        <w:rPr>
          <w:rStyle w:val="FontStyle80"/>
          <w:rFonts w:ascii="Times New Roman" w:hAnsi="Times New Roman"/>
        </w:rPr>
        <w:t xml:space="preserve"> suportă la rândul său o altă </w:t>
      </w:r>
      <w:r>
        <w:rPr>
          <w:rStyle w:val="FontStyle80"/>
          <w:rFonts w:ascii="Times New Roman" w:hAnsi="Times New Roman"/>
        </w:rPr>
        <w:t>excepţie</w:t>
      </w:r>
      <w:r>
        <w:rPr>
          <w:rStyle w:val="FontStyle80"/>
          <w:rFonts w:ascii="Times New Roman" w:hAnsi="Times New Roman"/>
        </w:rPr>
        <w:t xml:space="preserve"> subsumată. Astfel, exceptarea de la art. 2 alin. (1) Regulamentul (UE) nr. 720/2022 se va aplica </w:t>
      </w:r>
      <w:r>
        <w:rPr>
          <w:rStyle w:val="FontStyle78"/>
          <w:rFonts w:ascii="Times New Roman" w:hAnsi="Times New Roman"/>
        </w:rPr>
        <w:t xml:space="preserve">inclusiv întreprinderilor concurente, </w:t>
      </w:r>
      <w:r>
        <w:rPr>
          <w:rStyle w:val="FontStyle80"/>
          <w:rFonts w:ascii="Times New Roman" w:hAnsi="Times New Roman"/>
        </w:rPr>
        <w:t xml:space="preserve">atunci când acestea se încadrează într-un sistem de </w:t>
      </w:r>
      <w:r>
        <w:rPr>
          <w:rStyle w:val="FontStyle80"/>
          <w:rFonts w:ascii="Times New Roman" w:hAnsi="Times New Roman"/>
        </w:rPr>
        <w:t>distribuţie</w:t>
      </w:r>
      <w:r>
        <w:rPr>
          <w:rStyle w:val="FontStyle80"/>
          <w:rFonts w:ascii="Times New Roman" w:hAnsi="Times New Roman"/>
        </w:rPr>
        <w:t xml:space="preserve"> duală (precum Z  </w:t>
      </w:r>
      <w:r>
        <w:rPr>
          <w:rStyle w:val="FontStyle80"/>
          <w:rFonts w:ascii="Times New Roman" w:hAnsi="Times New Roman"/>
        </w:rPr>
        <w:t>şi</w:t>
      </w:r>
      <w:r>
        <w:rPr>
          <w:rStyle w:val="FontStyle80"/>
          <w:rFonts w:ascii="Times New Roman" w:hAnsi="Times New Roman"/>
        </w:rPr>
        <w:t xml:space="preserve"> X ).</w:t>
      </w:r>
    </w:p>
    <w:p w:rsidR="00565124" w:rsidP="00565124" w14:paraId="38C5BC2D" w14:textId="77777777">
      <w:pPr>
        <w:pStyle w:val="Style33"/>
        <w:widowControl/>
        <w:spacing w:line="240" w:lineRule="auto"/>
        <w:ind w:firstLine="993"/>
        <w:rPr>
          <w:rStyle w:val="FontStyle80"/>
          <w:rFonts w:ascii="Times New Roman" w:hAnsi="Times New Roman"/>
        </w:rPr>
      </w:pPr>
      <w:r>
        <w:rPr>
          <w:rStyle w:val="FontStyle80"/>
          <w:rFonts w:ascii="Times New Roman" w:hAnsi="Times New Roman"/>
        </w:rPr>
        <w:t xml:space="preserve">Cu alte cuvinte, conform normelor din VBER, </w:t>
      </w:r>
      <w:r>
        <w:rPr>
          <w:rStyle w:val="FontStyle78"/>
          <w:rFonts w:ascii="Times New Roman" w:hAnsi="Times New Roman"/>
        </w:rPr>
        <w:t xml:space="preserve">atât timp cât cumpărătorul nu concurează cu furnizorul pe </w:t>
      </w:r>
      <w:r>
        <w:rPr>
          <w:rStyle w:val="FontStyle78"/>
          <w:rFonts w:ascii="Times New Roman" w:hAnsi="Times New Roman"/>
        </w:rPr>
        <w:t>piaţa</w:t>
      </w:r>
      <w:r>
        <w:rPr>
          <w:rStyle w:val="FontStyle78"/>
          <w:rFonts w:ascii="Times New Roman" w:hAnsi="Times New Roman"/>
        </w:rPr>
        <w:t xml:space="preserve"> din amonte de unde cumpără bunurile </w:t>
      </w:r>
      <w:r>
        <w:rPr>
          <w:rStyle w:val="FontStyle80"/>
          <w:rFonts w:ascii="Times New Roman" w:hAnsi="Times New Roman"/>
        </w:rPr>
        <w:t xml:space="preserve">sau serviciile contractuale, </w:t>
      </w:r>
      <w:r>
        <w:rPr>
          <w:rStyle w:val="FontStyle80"/>
          <w:rFonts w:ascii="Times New Roman" w:hAnsi="Times New Roman"/>
        </w:rPr>
        <w:t>distribuţia</w:t>
      </w:r>
      <w:r>
        <w:rPr>
          <w:rStyle w:val="FontStyle80"/>
          <w:rFonts w:ascii="Times New Roman" w:hAnsi="Times New Roman"/>
        </w:rPr>
        <w:t xml:space="preserve"> duală poate face obiectul exceptării de la aplicarea art. 101 TFUE (</w:t>
      </w:r>
      <w:r>
        <w:rPr>
          <w:rStyle w:val="FontStyle80"/>
          <w:rFonts w:ascii="Times New Roman" w:hAnsi="Times New Roman"/>
        </w:rPr>
        <w:t>şi</w:t>
      </w:r>
      <w:r>
        <w:rPr>
          <w:rStyle w:val="FontStyle80"/>
          <w:rFonts w:ascii="Times New Roman" w:hAnsi="Times New Roman"/>
        </w:rPr>
        <w:t xml:space="preserve"> a art. 5 din Legea </w:t>
      </w:r>
      <w:r>
        <w:rPr>
          <w:rStyle w:val="FontStyle80"/>
          <w:rFonts w:ascii="Times New Roman" w:hAnsi="Times New Roman"/>
        </w:rPr>
        <w:t>concurenţei</w:t>
      </w:r>
      <w:r>
        <w:rPr>
          <w:rStyle w:val="FontStyle80"/>
          <w:rFonts w:ascii="Times New Roman" w:hAnsi="Times New Roman"/>
        </w:rPr>
        <w:t>).</w:t>
      </w:r>
    </w:p>
    <w:p w:rsidR="00565124" w:rsidP="00565124" w14:paraId="14D0D414" w14:textId="77777777">
      <w:pPr>
        <w:pStyle w:val="Style33"/>
        <w:widowControl/>
        <w:spacing w:line="240" w:lineRule="auto"/>
        <w:ind w:firstLine="993"/>
        <w:rPr>
          <w:rStyle w:val="FontStyle80"/>
          <w:rFonts w:ascii="Times New Roman" w:hAnsi="Times New Roman"/>
        </w:rPr>
      </w:pPr>
      <w:r>
        <w:rPr>
          <w:rStyle w:val="FontStyle80"/>
          <w:rFonts w:ascii="Times New Roman" w:hAnsi="Times New Roman"/>
        </w:rPr>
        <w:t xml:space="preserve">Este facil de observat că între </w:t>
      </w:r>
      <w:r>
        <w:rPr>
          <w:rStyle w:val="FontStyle80"/>
          <w:rFonts w:ascii="Times New Roman" w:hAnsi="Times New Roman"/>
        </w:rPr>
        <w:t>societăţile</w:t>
      </w:r>
      <w:r>
        <w:rPr>
          <w:rStyle w:val="FontStyle80"/>
          <w:rFonts w:ascii="Times New Roman" w:hAnsi="Times New Roman"/>
        </w:rPr>
        <w:t xml:space="preserve"> Z  </w:t>
      </w:r>
      <w:r>
        <w:rPr>
          <w:rStyle w:val="FontStyle80"/>
          <w:rFonts w:ascii="Times New Roman" w:hAnsi="Times New Roman"/>
        </w:rPr>
        <w:t>şi</w:t>
      </w:r>
      <w:r>
        <w:rPr>
          <w:rStyle w:val="FontStyle80"/>
          <w:rFonts w:ascii="Times New Roman" w:hAnsi="Times New Roman"/>
        </w:rPr>
        <w:t xml:space="preserve"> X  nu a existat un raport de </w:t>
      </w:r>
      <w:r>
        <w:rPr>
          <w:rStyle w:val="FontStyle80"/>
          <w:rFonts w:ascii="Times New Roman" w:hAnsi="Times New Roman"/>
        </w:rPr>
        <w:t>concurenţă</w:t>
      </w:r>
      <w:r>
        <w:rPr>
          <w:rStyle w:val="FontStyle80"/>
          <w:rFonts w:ascii="Times New Roman" w:hAnsi="Times New Roman"/>
        </w:rPr>
        <w:t xml:space="preserve"> tipic, între producători/importatori care să fi </w:t>
      </w:r>
      <w:r>
        <w:rPr>
          <w:rStyle w:val="FontStyle80"/>
          <w:rFonts w:ascii="Times New Roman" w:hAnsi="Times New Roman"/>
        </w:rPr>
        <w:t>acţionat</w:t>
      </w:r>
      <w:r>
        <w:rPr>
          <w:rStyle w:val="FontStyle80"/>
          <w:rFonts w:ascii="Times New Roman" w:hAnsi="Times New Roman"/>
        </w:rPr>
        <w:t xml:space="preserve"> la </w:t>
      </w:r>
      <w:r>
        <w:rPr>
          <w:rStyle w:val="FontStyle80"/>
          <w:rFonts w:ascii="Times New Roman" w:hAnsi="Times New Roman"/>
        </w:rPr>
        <w:t>acelaşi</w:t>
      </w:r>
      <w:r>
        <w:rPr>
          <w:rStyle w:val="FontStyle80"/>
          <w:rFonts w:ascii="Times New Roman" w:hAnsi="Times New Roman"/>
        </w:rPr>
        <w:t xml:space="preserve"> nivel al </w:t>
      </w:r>
      <w:r>
        <w:rPr>
          <w:rStyle w:val="FontStyle80"/>
          <w:rFonts w:ascii="Times New Roman" w:hAnsi="Times New Roman"/>
        </w:rPr>
        <w:t>lanţului</w:t>
      </w:r>
      <w:r>
        <w:rPr>
          <w:rStyle w:val="FontStyle80"/>
          <w:rFonts w:ascii="Times New Roman" w:hAnsi="Times New Roman"/>
        </w:rPr>
        <w:t xml:space="preserve"> de comercializare. Ne aflăm, în mod evident, un într-un scenariu de </w:t>
      </w:r>
      <w:r>
        <w:rPr>
          <w:rStyle w:val="FontStyle80"/>
          <w:rFonts w:ascii="Times New Roman" w:hAnsi="Times New Roman"/>
        </w:rPr>
        <w:t>distribuţie</w:t>
      </w:r>
      <w:r>
        <w:rPr>
          <w:rStyle w:val="FontStyle80"/>
          <w:rFonts w:ascii="Times New Roman" w:hAnsi="Times New Roman"/>
        </w:rPr>
        <w:t xml:space="preserve"> duală în </w:t>
      </w:r>
      <w:r>
        <w:rPr>
          <w:rStyle w:val="FontStyle80"/>
          <w:rFonts w:ascii="Times New Roman" w:hAnsi="Times New Roman"/>
        </w:rPr>
        <w:t>definiţia</w:t>
      </w:r>
      <w:r>
        <w:rPr>
          <w:rStyle w:val="FontStyle80"/>
          <w:rFonts w:ascii="Times New Roman" w:hAnsi="Times New Roman"/>
        </w:rPr>
        <w:t xml:space="preserve"> Regulamentul (UE) nr. 720/2022, Z  fiind producător/importator de echipamente de </w:t>
      </w:r>
      <w:r>
        <w:rPr>
          <w:rStyle w:val="FontStyle80"/>
          <w:rFonts w:ascii="Times New Roman" w:hAnsi="Times New Roman"/>
        </w:rPr>
        <w:t>protecţie</w:t>
      </w:r>
      <w:r>
        <w:rPr>
          <w:rStyle w:val="FontStyle80"/>
          <w:rFonts w:ascii="Times New Roman" w:hAnsi="Times New Roman"/>
        </w:rPr>
        <w:t xml:space="preserve">, prezent pe </w:t>
      </w:r>
      <w:r>
        <w:rPr>
          <w:rStyle w:val="FontStyle80"/>
          <w:rFonts w:ascii="Times New Roman" w:hAnsi="Times New Roman"/>
        </w:rPr>
        <w:t>piaţa</w:t>
      </w:r>
      <w:r>
        <w:rPr>
          <w:rStyle w:val="FontStyle80"/>
          <w:rFonts w:ascii="Times New Roman" w:hAnsi="Times New Roman"/>
        </w:rPr>
        <w:t xml:space="preserve"> din amonte (a </w:t>
      </w:r>
      <w:r>
        <w:rPr>
          <w:rStyle w:val="FontStyle80"/>
          <w:rFonts w:ascii="Times New Roman" w:hAnsi="Times New Roman"/>
        </w:rPr>
        <w:t>producţiei</w:t>
      </w:r>
      <w:r>
        <w:rPr>
          <w:rStyle w:val="FontStyle80"/>
          <w:rFonts w:ascii="Times New Roman" w:hAnsi="Times New Roman"/>
        </w:rPr>
        <w:t xml:space="preserve">, importului </w:t>
      </w:r>
      <w:r>
        <w:rPr>
          <w:rStyle w:val="FontStyle80"/>
          <w:rFonts w:ascii="Times New Roman" w:hAnsi="Times New Roman"/>
        </w:rPr>
        <w:t>şi</w:t>
      </w:r>
      <w:r>
        <w:rPr>
          <w:rStyle w:val="FontStyle80"/>
          <w:rFonts w:ascii="Times New Roman" w:hAnsi="Times New Roman"/>
        </w:rPr>
        <w:t xml:space="preserve"> comercializării cu ridicata de echipamente de </w:t>
      </w:r>
      <w:r>
        <w:rPr>
          <w:rStyle w:val="FontStyle80"/>
          <w:rFonts w:ascii="Times New Roman" w:hAnsi="Times New Roman"/>
        </w:rPr>
        <w:t>protecţie</w:t>
      </w:r>
      <w:r>
        <w:rPr>
          <w:rStyle w:val="FontStyle80"/>
          <w:rFonts w:ascii="Times New Roman" w:hAnsi="Times New Roman"/>
        </w:rPr>
        <w:t xml:space="preserve">, către </w:t>
      </w:r>
      <w:r>
        <w:rPr>
          <w:rStyle w:val="FontStyle80"/>
          <w:rFonts w:ascii="Times New Roman" w:hAnsi="Times New Roman"/>
        </w:rPr>
        <w:t>alţi</w:t>
      </w:r>
      <w:r>
        <w:rPr>
          <w:rStyle w:val="FontStyle80"/>
          <w:rFonts w:ascii="Times New Roman" w:hAnsi="Times New Roman"/>
        </w:rPr>
        <w:t xml:space="preserve"> revânzători), în timp ce X  nu concurează Z  pe această </w:t>
      </w:r>
      <w:r>
        <w:rPr>
          <w:rStyle w:val="FontStyle80"/>
          <w:rFonts w:ascii="Times New Roman" w:hAnsi="Times New Roman"/>
        </w:rPr>
        <w:t>piaţă</w:t>
      </w:r>
      <w:r>
        <w:rPr>
          <w:rStyle w:val="FontStyle80"/>
          <w:rFonts w:ascii="Times New Roman" w:hAnsi="Times New Roman"/>
        </w:rPr>
        <w:t xml:space="preserve">, ci doar în aval, în ceea ce </w:t>
      </w:r>
      <w:r>
        <w:rPr>
          <w:rStyle w:val="FontStyle80"/>
          <w:rFonts w:ascii="Times New Roman" w:hAnsi="Times New Roman"/>
        </w:rPr>
        <w:t>priveşte</w:t>
      </w:r>
      <w:r>
        <w:rPr>
          <w:rStyle w:val="FontStyle80"/>
          <w:rFonts w:ascii="Times New Roman" w:hAnsi="Times New Roman"/>
        </w:rPr>
        <w:t xml:space="preserve"> vânzarea către </w:t>
      </w:r>
      <w:r>
        <w:rPr>
          <w:rStyle w:val="FontStyle80"/>
          <w:rFonts w:ascii="Times New Roman" w:hAnsi="Times New Roman"/>
        </w:rPr>
        <w:t>clienţi</w:t>
      </w:r>
      <w:r>
        <w:rPr>
          <w:rStyle w:val="FontStyle80"/>
          <w:rFonts w:ascii="Times New Roman" w:hAnsi="Times New Roman"/>
        </w:rPr>
        <w:t xml:space="preserve"> finali (fabrici).</w:t>
      </w:r>
    </w:p>
    <w:p w:rsidR="00565124" w:rsidP="00565124" w14:paraId="2A64D2EB" w14:textId="77777777">
      <w:pPr>
        <w:pStyle w:val="Style33"/>
        <w:widowControl/>
        <w:spacing w:line="240" w:lineRule="auto"/>
        <w:ind w:firstLine="993"/>
        <w:rPr>
          <w:rStyle w:val="FontStyle80"/>
          <w:rFonts w:ascii="Times New Roman" w:hAnsi="Times New Roman"/>
        </w:rPr>
      </w:pPr>
      <w:r>
        <w:rPr>
          <w:rStyle w:val="FontStyle80"/>
          <w:rFonts w:ascii="Times New Roman" w:hAnsi="Times New Roman"/>
        </w:rPr>
        <w:t xml:space="preserve">Acest fapt nu este contestat de către Consiliul </w:t>
      </w:r>
      <w:r>
        <w:rPr>
          <w:rStyle w:val="FontStyle80"/>
          <w:rFonts w:ascii="Times New Roman" w:hAnsi="Times New Roman"/>
        </w:rPr>
        <w:t>Concurenţei</w:t>
      </w:r>
      <w:r>
        <w:rPr>
          <w:rStyle w:val="FontStyle80"/>
          <w:rFonts w:ascii="Times New Roman" w:hAnsi="Times New Roman"/>
        </w:rPr>
        <w:t xml:space="preserve"> în Decizie: la paragraful 317 se </w:t>
      </w:r>
      <w:r>
        <w:rPr>
          <w:rStyle w:val="FontStyle80"/>
          <w:rFonts w:ascii="Times New Roman" w:hAnsi="Times New Roman"/>
        </w:rPr>
        <w:t>menţionează</w:t>
      </w:r>
      <w:r>
        <w:rPr>
          <w:rStyle w:val="FontStyle80"/>
          <w:rFonts w:ascii="Times New Roman" w:hAnsi="Times New Roman"/>
        </w:rPr>
        <w:t xml:space="preserve"> </w:t>
      </w:r>
      <w:r>
        <w:rPr>
          <w:rStyle w:val="FontStyle80"/>
          <w:rFonts w:ascii="Times New Roman" w:hAnsi="Times New Roman"/>
        </w:rPr>
        <w:t>clarea</w:t>
      </w:r>
      <w:r>
        <w:rPr>
          <w:rStyle w:val="FontStyle80"/>
          <w:rFonts w:ascii="Times New Roman" w:hAnsi="Times New Roman"/>
        </w:rPr>
        <w:t xml:space="preserve"> X  este singura companie investigată care nu este prezentă pe </w:t>
      </w:r>
      <w:r>
        <w:rPr>
          <w:rStyle w:val="FontStyle80"/>
          <w:rFonts w:ascii="Times New Roman" w:hAnsi="Times New Roman"/>
        </w:rPr>
        <w:t>piaţa</w:t>
      </w:r>
      <w:r>
        <w:rPr>
          <w:rStyle w:val="FontStyle80"/>
          <w:rFonts w:ascii="Times New Roman" w:hAnsi="Times New Roman"/>
        </w:rPr>
        <w:t xml:space="preserve"> din amonte, a </w:t>
      </w:r>
      <w:r>
        <w:rPr>
          <w:rStyle w:val="FontStyle80"/>
          <w:rFonts w:ascii="Times New Roman" w:hAnsi="Times New Roman"/>
        </w:rPr>
        <w:t>producţiei</w:t>
      </w:r>
      <w:r>
        <w:rPr>
          <w:rStyle w:val="FontStyle80"/>
          <w:rFonts w:ascii="Times New Roman" w:hAnsi="Times New Roman"/>
        </w:rPr>
        <w:t xml:space="preserve"> de echipamente de </w:t>
      </w:r>
      <w:r>
        <w:rPr>
          <w:rStyle w:val="FontStyle80"/>
          <w:rFonts w:ascii="Times New Roman" w:hAnsi="Times New Roman"/>
        </w:rPr>
        <w:t>protecţie</w:t>
      </w:r>
      <w:r>
        <w:rPr>
          <w:rStyle w:val="FontStyle80"/>
          <w:rFonts w:ascii="Times New Roman" w:hAnsi="Times New Roman"/>
        </w:rPr>
        <w:t xml:space="preserve">, în timp ce Z  este lider de </w:t>
      </w:r>
      <w:r>
        <w:rPr>
          <w:rStyle w:val="FontStyle80"/>
          <w:rFonts w:ascii="Times New Roman" w:hAnsi="Times New Roman"/>
        </w:rPr>
        <w:t>piaţă</w:t>
      </w:r>
      <w:r>
        <w:rPr>
          <w:rStyle w:val="FontStyle80"/>
          <w:rFonts w:ascii="Times New Roman" w:hAnsi="Times New Roman"/>
        </w:rPr>
        <w:t xml:space="preserve">, producător </w:t>
      </w:r>
      <w:r>
        <w:rPr>
          <w:rStyle w:val="FontStyle80"/>
          <w:rFonts w:ascii="Times New Roman" w:hAnsi="Times New Roman"/>
        </w:rPr>
        <w:t>şi</w:t>
      </w:r>
      <w:r>
        <w:rPr>
          <w:rStyle w:val="FontStyle80"/>
          <w:rFonts w:ascii="Times New Roman" w:hAnsi="Times New Roman"/>
        </w:rPr>
        <w:t xml:space="preserve"> importator de astfel de produse.</w:t>
      </w:r>
    </w:p>
    <w:p w:rsidR="00565124" w:rsidP="00565124" w14:paraId="78FC3811" w14:textId="77777777">
      <w:pPr>
        <w:pStyle w:val="Style33"/>
        <w:widowControl/>
        <w:spacing w:line="240" w:lineRule="auto"/>
        <w:ind w:firstLine="993"/>
        <w:rPr>
          <w:rStyle w:val="FontStyle80"/>
          <w:rFonts w:ascii="Times New Roman" w:hAnsi="Times New Roman"/>
        </w:rPr>
      </w:pPr>
      <w:r>
        <w:rPr>
          <w:rStyle w:val="FontStyle80"/>
          <w:rFonts w:ascii="Times New Roman" w:hAnsi="Times New Roman"/>
        </w:rPr>
        <w:t xml:space="preserve">Consiliul </w:t>
      </w:r>
      <w:r>
        <w:rPr>
          <w:rStyle w:val="FontStyle80"/>
          <w:rFonts w:ascii="Times New Roman" w:hAnsi="Times New Roman"/>
        </w:rPr>
        <w:t>Concurenţei</w:t>
      </w:r>
      <w:r>
        <w:rPr>
          <w:rStyle w:val="FontStyle80"/>
          <w:rFonts w:ascii="Times New Roman" w:hAnsi="Times New Roman"/>
        </w:rPr>
        <w:t xml:space="preserve"> a ignorat complet această realitate </w:t>
      </w:r>
      <w:r>
        <w:rPr>
          <w:rStyle w:val="FontStyle80"/>
          <w:rFonts w:ascii="Times New Roman" w:hAnsi="Times New Roman"/>
        </w:rPr>
        <w:t>şi</w:t>
      </w:r>
      <w:r>
        <w:rPr>
          <w:rStyle w:val="FontStyle80"/>
          <w:rFonts w:ascii="Times New Roman" w:hAnsi="Times New Roman"/>
        </w:rPr>
        <w:t xml:space="preserve"> </w:t>
      </w:r>
      <w:r>
        <w:rPr>
          <w:rStyle w:val="FontStyle80"/>
          <w:rFonts w:ascii="Times New Roman" w:hAnsi="Times New Roman"/>
        </w:rPr>
        <w:t>şi</w:t>
      </w:r>
      <w:r>
        <w:rPr>
          <w:rStyle w:val="FontStyle80"/>
          <w:rFonts w:ascii="Times New Roman" w:hAnsi="Times New Roman"/>
        </w:rPr>
        <w:t xml:space="preserve">-a întemeiat întreaga analiză pe ipoteza eronată a unei </w:t>
      </w:r>
      <w:r>
        <w:rPr>
          <w:rStyle w:val="FontStyle80"/>
          <w:rFonts w:ascii="Times New Roman" w:hAnsi="Times New Roman"/>
        </w:rPr>
        <w:t>înţelegeri</w:t>
      </w:r>
      <w:r>
        <w:rPr>
          <w:rStyle w:val="FontStyle80"/>
          <w:rFonts w:ascii="Times New Roman" w:hAnsi="Times New Roman"/>
        </w:rPr>
        <w:t xml:space="preserve"> de </w:t>
      </w:r>
      <w:r>
        <w:rPr>
          <w:rStyle w:val="FontStyle80"/>
          <w:rFonts w:ascii="Times New Roman" w:hAnsi="Times New Roman"/>
        </w:rPr>
        <w:t>împărţire</w:t>
      </w:r>
      <w:r>
        <w:rPr>
          <w:rStyle w:val="FontStyle80"/>
          <w:rFonts w:ascii="Times New Roman" w:hAnsi="Times New Roman"/>
        </w:rPr>
        <w:t xml:space="preserve"> a </w:t>
      </w:r>
      <w:r>
        <w:rPr>
          <w:rStyle w:val="FontStyle80"/>
          <w:rFonts w:ascii="Times New Roman" w:hAnsi="Times New Roman"/>
        </w:rPr>
        <w:t>pieţei</w:t>
      </w:r>
      <w:r>
        <w:rPr>
          <w:rStyle w:val="FontStyle80"/>
          <w:rFonts w:ascii="Times New Roman" w:hAnsi="Times New Roman"/>
        </w:rPr>
        <w:t xml:space="preserve">, a unui cartel între competitori, </w:t>
      </w:r>
      <w:r>
        <w:rPr>
          <w:rStyle w:val="FontStyle80"/>
          <w:rFonts w:ascii="Times New Roman" w:hAnsi="Times New Roman"/>
        </w:rPr>
        <w:t>aflaţi</w:t>
      </w:r>
      <w:r>
        <w:rPr>
          <w:rStyle w:val="FontStyle80"/>
          <w:rFonts w:ascii="Times New Roman" w:hAnsi="Times New Roman"/>
        </w:rPr>
        <w:t xml:space="preserve"> pe </w:t>
      </w:r>
      <w:r>
        <w:rPr>
          <w:rStyle w:val="FontStyle80"/>
          <w:rFonts w:ascii="Times New Roman" w:hAnsi="Times New Roman"/>
        </w:rPr>
        <w:t>acelaşi</w:t>
      </w:r>
      <w:r>
        <w:rPr>
          <w:rStyle w:val="FontStyle80"/>
          <w:rFonts w:ascii="Times New Roman" w:hAnsi="Times New Roman"/>
        </w:rPr>
        <w:t xml:space="preserve"> nivel al </w:t>
      </w:r>
      <w:r>
        <w:rPr>
          <w:rStyle w:val="FontStyle80"/>
          <w:rFonts w:ascii="Times New Roman" w:hAnsi="Times New Roman"/>
        </w:rPr>
        <w:t>lanţului</w:t>
      </w:r>
      <w:r>
        <w:rPr>
          <w:rStyle w:val="FontStyle80"/>
          <w:rFonts w:ascii="Times New Roman" w:hAnsi="Times New Roman"/>
        </w:rPr>
        <w:t xml:space="preserve"> de </w:t>
      </w:r>
      <w:r>
        <w:rPr>
          <w:rStyle w:val="FontStyle80"/>
          <w:rFonts w:ascii="Times New Roman" w:hAnsi="Times New Roman"/>
        </w:rPr>
        <w:t>producţie</w:t>
      </w:r>
      <w:r>
        <w:rPr>
          <w:rStyle w:val="FontStyle80"/>
          <w:rFonts w:ascii="Times New Roman" w:hAnsi="Times New Roman"/>
        </w:rPr>
        <w:t xml:space="preserve"> </w:t>
      </w:r>
      <w:r>
        <w:rPr>
          <w:rStyle w:val="FontStyle80"/>
          <w:rFonts w:ascii="Times New Roman" w:hAnsi="Times New Roman"/>
        </w:rPr>
        <w:t>şi</w:t>
      </w:r>
      <w:r>
        <w:rPr>
          <w:rStyle w:val="FontStyle80"/>
          <w:rFonts w:ascii="Times New Roman" w:hAnsi="Times New Roman"/>
        </w:rPr>
        <w:t xml:space="preserve"> comercializare, </w:t>
      </w:r>
      <w:r>
        <w:rPr>
          <w:rStyle w:val="FontStyle78"/>
          <w:rFonts w:ascii="Times New Roman" w:hAnsi="Times New Roman"/>
        </w:rPr>
        <w:t xml:space="preserve">eliminând nemotivat </w:t>
      </w:r>
      <w:r>
        <w:rPr>
          <w:rStyle w:val="FontStyle80"/>
          <w:rFonts w:ascii="Times New Roman" w:hAnsi="Times New Roman"/>
        </w:rPr>
        <w:t xml:space="preserve">realitatea economică a </w:t>
      </w:r>
      <w:r>
        <w:rPr>
          <w:rStyle w:val="FontStyle80"/>
          <w:rFonts w:ascii="Times New Roman" w:hAnsi="Times New Roman"/>
        </w:rPr>
        <w:t>relaţiei</w:t>
      </w:r>
      <w:r>
        <w:rPr>
          <w:rStyle w:val="FontStyle80"/>
          <w:rFonts w:ascii="Times New Roman" w:hAnsi="Times New Roman"/>
        </w:rPr>
        <w:t xml:space="preserve"> verticale de </w:t>
      </w:r>
      <w:r>
        <w:rPr>
          <w:rStyle w:val="FontStyle80"/>
          <w:rFonts w:ascii="Times New Roman" w:hAnsi="Times New Roman"/>
        </w:rPr>
        <w:t>distribuţie</w:t>
      </w:r>
      <w:r>
        <w:rPr>
          <w:rStyle w:val="FontStyle80"/>
          <w:rFonts w:ascii="Times New Roman" w:hAnsi="Times New Roman"/>
        </w:rPr>
        <w:t xml:space="preserve"> duală dintre </w:t>
      </w:r>
      <w:r>
        <w:rPr>
          <w:rStyle w:val="FontStyle80"/>
          <w:rFonts w:ascii="Times New Roman" w:hAnsi="Times New Roman"/>
        </w:rPr>
        <w:t>părţi</w:t>
      </w:r>
      <w:r>
        <w:rPr>
          <w:rStyle w:val="FontStyle80"/>
          <w:rFonts w:ascii="Times New Roman" w:hAnsi="Times New Roman"/>
        </w:rPr>
        <w:t>.</w:t>
      </w:r>
    </w:p>
    <w:p w:rsidR="00565124" w:rsidP="00565124" w14:paraId="7EFFD4F0" w14:textId="77777777">
      <w:pPr>
        <w:pStyle w:val="Style33"/>
        <w:widowControl/>
        <w:spacing w:line="240" w:lineRule="auto"/>
        <w:ind w:firstLine="993"/>
        <w:rPr>
          <w:rStyle w:val="FontStyle80"/>
          <w:rFonts w:ascii="Times New Roman" w:hAnsi="Times New Roman"/>
        </w:rPr>
      </w:pPr>
      <w:r>
        <w:rPr>
          <w:rFonts w:ascii="Times New Roman" w:hAnsi="Times New Roman"/>
        </w:rPr>
        <w:t xml:space="preserve">A </w:t>
      </w:r>
      <w:r>
        <w:rPr>
          <w:rFonts w:ascii="Times New Roman" w:hAnsi="Times New Roman"/>
        </w:rPr>
        <w:t>menţionat</w:t>
      </w:r>
      <w:r>
        <w:rPr>
          <w:rFonts w:ascii="Times New Roman" w:hAnsi="Times New Roman"/>
        </w:rPr>
        <w:t xml:space="preserve"> î</w:t>
      </w:r>
      <w:r>
        <w:rPr>
          <w:rStyle w:val="FontStyle80"/>
          <w:rFonts w:ascii="Times New Roman" w:hAnsi="Times New Roman"/>
        </w:rPr>
        <w:t xml:space="preserve">n acest sens aspecte din care </w:t>
      </w:r>
      <w:r>
        <w:rPr>
          <w:rStyle w:val="FontStyle80"/>
          <w:rFonts w:ascii="Times New Roman" w:hAnsi="Times New Roman"/>
        </w:rPr>
        <w:t>instanţa</w:t>
      </w:r>
      <w:r>
        <w:rPr>
          <w:rStyle w:val="FontStyle80"/>
          <w:rFonts w:ascii="Times New Roman" w:hAnsi="Times New Roman"/>
        </w:rPr>
        <w:t xml:space="preserve"> poate constata, prima </w:t>
      </w:r>
      <w:r>
        <w:rPr>
          <w:rStyle w:val="FontStyle80"/>
          <w:rFonts w:ascii="Times New Roman" w:hAnsi="Times New Roman"/>
        </w:rPr>
        <w:t>facie</w:t>
      </w:r>
      <w:r>
        <w:rPr>
          <w:rStyle w:val="FontStyle80"/>
          <w:rFonts w:ascii="Times New Roman" w:hAnsi="Times New Roman"/>
        </w:rPr>
        <w:t xml:space="preserve"> practica decizională citată de Consiliul în decizie </w:t>
      </w:r>
      <w:r>
        <w:rPr>
          <w:rStyle w:val="FontStyle80"/>
          <w:rFonts w:ascii="Times New Roman" w:hAnsi="Times New Roman"/>
        </w:rPr>
        <w:t>priveşte</w:t>
      </w:r>
      <w:r>
        <w:rPr>
          <w:rStyle w:val="FontStyle80"/>
          <w:rFonts w:ascii="Times New Roman" w:hAnsi="Times New Roman"/>
        </w:rPr>
        <w:t xml:space="preserve"> exclusiv </w:t>
      </w:r>
      <w:r>
        <w:rPr>
          <w:rStyle w:val="FontStyle80"/>
          <w:rFonts w:ascii="Times New Roman" w:hAnsi="Times New Roman"/>
        </w:rPr>
        <w:t>înţelegeri</w:t>
      </w:r>
      <w:r>
        <w:rPr>
          <w:rStyle w:val="FontStyle80"/>
          <w:rFonts w:ascii="Times New Roman" w:hAnsi="Times New Roman"/>
        </w:rPr>
        <w:t xml:space="preserve"> de tip cartel între producători </w:t>
      </w:r>
      <w:r>
        <w:rPr>
          <w:rStyle w:val="FontStyle80"/>
          <w:rFonts w:ascii="Times New Roman" w:hAnsi="Times New Roman"/>
        </w:rPr>
        <w:t>concurenţi</w:t>
      </w:r>
      <w:r>
        <w:rPr>
          <w:rStyle w:val="FontStyle80"/>
          <w:rFonts w:ascii="Times New Roman" w:hAnsi="Times New Roman"/>
        </w:rPr>
        <w:t xml:space="preserve"> (paragrafele 326, 384, 385 din Decizie) </w:t>
      </w:r>
      <w:r>
        <w:rPr>
          <w:rStyle w:val="FontStyle80"/>
          <w:rFonts w:ascii="Times New Roman" w:hAnsi="Times New Roman"/>
        </w:rPr>
        <w:t>şi</w:t>
      </w:r>
      <w:r>
        <w:rPr>
          <w:rStyle w:val="FontStyle80"/>
          <w:rFonts w:ascii="Times New Roman" w:hAnsi="Times New Roman"/>
        </w:rPr>
        <w:t xml:space="preserve"> nu </w:t>
      </w:r>
      <w:r>
        <w:rPr>
          <w:rStyle w:val="FontStyle80"/>
          <w:rFonts w:ascii="Times New Roman" w:hAnsi="Times New Roman"/>
        </w:rPr>
        <w:t>relaţii</w:t>
      </w:r>
      <w:r>
        <w:rPr>
          <w:rStyle w:val="FontStyle80"/>
          <w:rFonts w:ascii="Times New Roman" w:hAnsi="Times New Roman"/>
        </w:rPr>
        <w:t xml:space="preserve"> de </w:t>
      </w:r>
      <w:r>
        <w:rPr>
          <w:rStyle w:val="FontStyle80"/>
          <w:rFonts w:ascii="Times New Roman" w:hAnsi="Times New Roman"/>
        </w:rPr>
        <w:t>distribuţie</w:t>
      </w:r>
      <w:r>
        <w:rPr>
          <w:rStyle w:val="FontStyle80"/>
          <w:rFonts w:ascii="Times New Roman" w:hAnsi="Times New Roman"/>
        </w:rPr>
        <w:t xml:space="preserve"> pe verticală între producător </w:t>
      </w:r>
      <w:r>
        <w:rPr>
          <w:rStyle w:val="FontStyle80"/>
          <w:rFonts w:ascii="Times New Roman" w:hAnsi="Times New Roman"/>
        </w:rPr>
        <w:t>şi</w:t>
      </w:r>
      <w:r>
        <w:rPr>
          <w:rStyle w:val="FontStyle80"/>
          <w:rFonts w:ascii="Times New Roman" w:hAnsi="Times New Roman"/>
        </w:rPr>
        <w:t xml:space="preserve"> distribuitorii/ revânzătorii acestuia.</w:t>
      </w:r>
    </w:p>
    <w:p w:rsidR="00565124" w:rsidP="00565124" w14:paraId="379909A1" w14:textId="77777777">
      <w:pPr>
        <w:pStyle w:val="Style33"/>
        <w:widowControl/>
        <w:spacing w:before="10" w:line="240" w:lineRule="auto"/>
        <w:ind w:firstLine="993"/>
        <w:rPr>
          <w:rStyle w:val="FontStyle78"/>
          <w:rFonts w:ascii="Times New Roman" w:hAnsi="Times New Roman"/>
          <w:b w:val="0"/>
        </w:rPr>
      </w:pPr>
      <w:r>
        <w:rPr>
          <w:rStyle w:val="FontStyle80"/>
          <w:rFonts w:ascii="Times New Roman" w:hAnsi="Times New Roman"/>
        </w:rPr>
        <w:t xml:space="preserve">Astfel cum se poate observa la o primă lectură a deciziei a cărei suspendare se solicită, în cuprinsul acesteia </w:t>
      </w:r>
      <w:r>
        <w:rPr>
          <w:rStyle w:val="FontStyle78"/>
          <w:rFonts w:ascii="Times New Roman" w:hAnsi="Times New Roman"/>
        </w:rPr>
        <w:t xml:space="preserve">nu există nicio analiză din perspectiva </w:t>
      </w:r>
      <w:r>
        <w:rPr>
          <w:rStyle w:val="FontStyle78"/>
          <w:rFonts w:ascii="Times New Roman" w:hAnsi="Times New Roman"/>
        </w:rPr>
        <w:t>incidenţei</w:t>
      </w:r>
      <w:r>
        <w:rPr>
          <w:rStyle w:val="FontStyle78"/>
          <w:rFonts w:ascii="Times New Roman" w:hAnsi="Times New Roman"/>
        </w:rPr>
        <w:t xml:space="preserve"> eventualelor exceptări de la aplicarea art. 101 TFUE </w:t>
      </w:r>
      <w:r>
        <w:rPr>
          <w:rStyle w:val="FontStyle78"/>
          <w:rFonts w:ascii="Times New Roman" w:hAnsi="Times New Roman"/>
        </w:rPr>
        <w:t>şi</w:t>
      </w:r>
      <w:r>
        <w:rPr>
          <w:rStyle w:val="FontStyle78"/>
          <w:rFonts w:ascii="Times New Roman" w:hAnsi="Times New Roman"/>
        </w:rPr>
        <w:t xml:space="preserve"> art. 5 Legea </w:t>
      </w:r>
      <w:r>
        <w:rPr>
          <w:rStyle w:val="FontStyle78"/>
          <w:rFonts w:ascii="Times New Roman" w:hAnsi="Times New Roman"/>
        </w:rPr>
        <w:t>concurenţei</w:t>
      </w:r>
      <w:r>
        <w:rPr>
          <w:rStyle w:val="FontStyle78"/>
          <w:rFonts w:ascii="Times New Roman" w:hAnsi="Times New Roman"/>
        </w:rPr>
        <w:t xml:space="preserve"> </w:t>
      </w:r>
      <w:r>
        <w:rPr>
          <w:rStyle w:val="FontStyle80"/>
          <w:rFonts w:ascii="Times New Roman" w:hAnsi="Times New Roman"/>
        </w:rPr>
        <w:t>relaţiilor</w:t>
      </w:r>
      <w:r>
        <w:rPr>
          <w:rStyle w:val="FontStyle80"/>
          <w:rFonts w:ascii="Times New Roman" w:hAnsi="Times New Roman"/>
        </w:rPr>
        <w:t xml:space="preserve"> verticale existente între </w:t>
      </w:r>
      <w:r>
        <w:rPr>
          <w:rStyle w:val="FontStyle80"/>
          <w:rFonts w:ascii="Times New Roman" w:hAnsi="Times New Roman"/>
        </w:rPr>
        <w:t>societăţile</w:t>
      </w:r>
      <w:r>
        <w:rPr>
          <w:rStyle w:val="FontStyle80"/>
          <w:rFonts w:ascii="Times New Roman" w:hAnsi="Times New Roman"/>
        </w:rPr>
        <w:t xml:space="preserve"> X  </w:t>
      </w:r>
      <w:r>
        <w:rPr>
          <w:rStyle w:val="FontStyle80"/>
          <w:rFonts w:ascii="Times New Roman" w:hAnsi="Times New Roman"/>
        </w:rPr>
        <w:t>şi</w:t>
      </w:r>
      <w:r>
        <w:rPr>
          <w:rStyle w:val="FontStyle80"/>
          <w:rFonts w:ascii="Times New Roman" w:hAnsi="Times New Roman"/>
        </w:rPr>
        <w:t xml:space="preserve"> Z , </w:t>
      </w:r>
      <w:r>
        <w:rPr>
          <w:rStyle w:val="FontStyle80"/>
          <w:rFonts w:ascii="Times New Roman" w:hAnsi="Times New Roman"/>
        </w:rPr>
        <w:t>deşi</w:t>
      </w:r>
      <w:r>
        <w:rPr>
          <w:rStyle w:val="FontStyle80"/>
          <w:rFonts w:ascii="Times New Roman" w:hAnsi="Times New Roman"/>
        </w:rPr>
        <w:t xml:space="preserve"> o astfel de analiză era obligatorie ca urmare a </w:t>
      </w:r>
      <w:r>
        <w:rPr>
          <w:rStyle w:val="FontStyle80"/>
          <w:rFonts w:ascii="Times New Roman" w:hAnsi="Times New Roman"/>
        </w:rPr>
        <w:t>situaţiei</w:t>
      </w:r>
      <w:r>
        <w:rPr>
          <w:rStyle w:val="FontStyle80"/>
          <w:rFonts w:ascii="Times New Roman" w:hAnsi="Times New Roman"/>
        </w:rPr>
        <w:t xml:space="preserve"> de fapt din care decurge </w:t>
      </w:r>
      <w:r>
        <w:rPr>
          <w:rStyle w:val="FontStyle80"/>
          <w:rFonts w:ascii="Times New Roman" w:hAnsi="Times New Roman"/>
        </w:rPr>
        <w:t>existenţa</w:t>
      </w:r>
      <w:r>
        <w:rPr>
          <w:rStyle w:val="FontStyle80"/>
          <w:rFonts w:ascii="Times New Roman" w:hAnsi="Times New Roman"/>
        </w:rPr>
        <w:t xml:space="preserve"> sistemului de </w:t>
      </w:r>
      <w:r>
        <w:rPr>
          <w:rStyle w:val="FontStyle80"/>
          <w:rFonts w:ascii="Times New Roman" w:hAnsi="Times New Roman"/>
        </w:rPr>
        <w:t>distribuţie</w:t>
      </w:r>
      <w:r>
        <w:rPr>
          <w:rStyle w:val="FontStyle80"/>
          <w:rFonts w:ascii="Times New Roman" w:hAnsi="Times New Roman"/>
        </w:rPr>
        <w:t xml:space="preserve"> duală în cauză între cele două </w:t>
      </w:r>
      <w:r>
        <w:rPr>
          <w:rStyle w:val="FontStyle80"/>
          <w:rFonts w:ascii="Times New Roman" w:hAnsi="Times New Roman"/>
        </w:rPr>
        <w:t>societăţi</w:t>
      </w:r>
      <w:r>
        <w:rPr>
          <w:rStyle w:val="FontStyle80"/>
          <w:rFonts w:ascii="Times New Roman" w:hAnsi="Times New Roman"/>
        </w:rPr>
        <w:t xml:space="preserve">. Odată constatată </w:t>
      </w:r>
      <w:r>
        <w:rPr>
          <w:rStyle w:val="FontStyle80"/>
          <w:rFonts w:ascii="Times New Roman" w:hAnsi="Times New Roman"/>
        </w:rPr>
        <w:t>existenţa</w:t>
      </w:r>
      <w:r>
        <w:rPr>
          <w:rStyle w:val="FontStyle80"/>
          <w:rFonts w:ascii="Times New Roman" w:hAnsi="Times New Roman"/>
        </w:rPr>
        <w:t xml:space="preserve"> acestui tip de </w:t>
      </w:r>
      <w:r>
        <w:rPr>
          <w:rStyle w:val="FontStyle80"/>
          <w:rFonts w:ascii="Times New Roman" w:hAnsi="Times New Roman"/>
        </w:rPr>
        <w:t>relaţie</w:t>
      </w:r>
      <w:r>
        <w:rPr>
          <w:rStyle w:val="FontStyle80"/>
          <w:rFonts w:ascii="Times New Roman" w:hAnsi="Times New Roman"/>
        </w:rPr>
        <w:t xml:space="preserve"> verticală între X  </w:t>
      </w:r>
      <w:r>
        <w:rPr>
          <w:rStyle w:val="FontStyle80"/>
          <w:rFonts w:ascii="Times New Roman" w:hAnsi="Times New Roman"/>
        </w:rPr>
        <w:t>şi</w:t>
      </w:r>
      <w:r>
        <w:rPr>
          <w:rStyle w:val="FontStyle80"/>
          <w:rFonts w:ascii="Times New Roman" w:hAnsi="Times New Roman"/>
        </w:rPr>
        <w:t xml:space="preserve"> Z , </w:t>
      </w:r>
      <w:r>
        <w:rPr>
          <w:rStyle w:val="FontStyle78"/>
          <w:rFonts w:ascii="Times New Roman" w:hAnsi="Times New Roman"/>
        </w:rPr>
        <w:t xml:space="preserve">era obligatorie analiza referitoare la </w:t>
      </w:r>
      <w:r>
        <w:rPr>
          <w:rStyle w:val="FontStyle78"/>
          <w:rFonts w:ascii="Times New Roman" w:hAnsi="Times New Roman"/>
        </w:rPr>
        <w:t>incidenţa</w:t>
      </w:r>
      <w:r>
        <w:rPr>
          <w:rStyle w:val="FontStyle78"/>
          <w:rFonts w:ascii="Times New Roman" w:hAnsi="Times New Roman"/>
        </w:rPr>
        <w:t xml:space="preserve"> sau nu a exceptărilor din VBER.</w:t>
      </w:r>
    </w:p>
    <w:p w:rsidR="00565124" w:rsidP="00565124" w14:paraId="05132482" w14:textId="77777777">
      <w:pPr>
        <w:pStyle w:val="Style27"/>
        <w:widowControl/>
        <w:tabs>
          <w:tab w:val="left" w:pos="0"/>
        </w:tabs>
        <w:spacing w:line="240" w:lineRule="auto"/>
        <w:ind w:firstLine="993"/>
        <w:rPr>
          <w:rStyle w:val="FontStyle80"/>
          <w:rFonts w:ascii="Times New Roman" w:hAnsi="Times New Roman"/>
        </w:rPr>
      </w:pPr>
      <w:r>
        <w:rPr>
          <w:rStyle w:val="FontStyle80"/>
          <w:rFonts w:ascii="Times New Roman" w:hAnsi="Times New Roman"/>
        </w:rPr>
        <w:t xml:space="preserve">Astfel, conform Regulamentului </w:t>
      </w:r>
      <w:r>
        <w:rPr>
          <w:rStyle w:val="FontStyle80"/>
          <w:rFonts w:ascii="Times New Roman" w:hAnsi="Times New Roman"/>
        </w:rPr>
        <w:t>menţionat</w:t>
      </w:r>
      <w:r>
        <w:rPr>
          <w:rStyle w:val="FontStyle80"/>
          <w:rFonts w:ascii="Times New Roman" w:hAnsi="Times New Roman"/>
        </w:rPr>
        <w:t xml:space="preserve">, pentru ca schimbul de </w:t>
      </w:r>
      <w:r>
        <w:rPr>
          <w:rStyle w:val="FontStyle80"/>
          <w:rFonts w:ascii="Times New Roman" w:hAnsi="Times New Roman"/>
        </w:rPr>
        <w:t>informaţii</w:t>
      </w:r>
      <w:r>
        <w:rPr>
          <w:rStyle w:val="FontStyle80"/>
          <w:rFonts w:ascii="Times New Roman" w:hAnsi="Times New Roman"/>
        </w:rPr>
        <w:t xml:space="preserve"> să fie exceptat în cadrul </w:t>
      </w:r>
      <w:r>
        <w:rPr>
          <w:rStyle w:val="FontStyle80"/>
          <w:rFonts w:ascii="Times New Roman" w:hAnsi="Times New Roman"/>
        </w:rPr>
        <w:t>distribuţiei</w:t>
      </w:r>
      <w:r>
        <w:rPr>
          <w:rStyle w:val="FontStyle80"/>
          <w:rFonts w:ascii="Times New Roman" w:hAnsi="Times New Roman"/>
        </w:rPr>
        <w:t xml:space="preserve"> duale, era necesară îndeplinirea oricăreia din următoarele </w:t>
      </w:r>
      <w:r>
        <w:rPr>
          <w:rStyle w:val="FontStyle80"/>
          <w:rFonts w:ascii="Times New Roman" w:hAnsi="Times New Roman"/>
        </w:rPr>
        <w:t>condiţii</w:t>
      </w:r>
      <w:r>
        <w:rPr>
          <w:rStyle w:val="FontStyle80"/>
          <w:rFonts w:ascii="Times New Roman" w:hAnsi="Times New Roman"/>
        </w:rPr>
        <w:t xml:space="preserve"> [conform art. 2 alin. (5)din VBER]:</w:t>
      </w:r>
    </w:p>
    <w:p w:rsidR="00565124" w:rsidP="00565124" w14:paraId="4A6C397C" w14:textId="77777777">
      <w:pPr>
        <w:pStyle w:val="Style20"/>
        <w:widowControl/>
        <w:tabs>
          <w:tab w:val="left" w:pos="0"/>
        </w:tabs>
        <w:spacing w:line="240" w:lineRule="auto"/>
        <w:ind w:firstLine="993"/>
        <w:rPr>
          <w:rStyle w:val="FontStyle80"/>
          <w:rFonts w:ascii="Times New Roman" w:hAnsi="Times New Roman"/>
        </w:rPr>
      </w:pPr>
      <w:r>
        <w:rPr>
          <w:rStyle w:val="FontStyle80"/>
          <w:rFonts w:ascii="Times New Roman" w:hAnsi="Times New Roman"/>
        </w:rPr>
        <w:t>- să fie direct legat de punerea în aplicare a acordului vertical,</w:t>
      </w:r>
    </w:p>
    <w:p w:rsidR="00565124" w:rsidP="00565124" w14:paraId="34E634F8" w14:textId="77777777">
      <w:pPr>
        <w:pStyle w:val="Style20"/>
        <w:widowControl/>
        <w:tabs>
          <w:tab w:val="left" w:pos="0"/>
        </w:tabs>
        <w:spacing w:line="240" w:lineRule="auto"/>
        <w:ind w:firstLine="993"/>
        <w:rPr>
          <w:rStyle w:val="FontStyle80"/>
          <w:rFonts w:ascii="Times New Roman" w:hAnsi="Times New Roman"/>
        </w:rPr>
      </w:pPr>
      <w:r>
        <w:rPr>
          <w:rFonts w:ascii="Times New Roman" w:hAnsi="Times New Roman"/>
        </w:rPr>
        <w:t xml:space="preserve">- </w:t>
      </w:r>
      <w:r>
        <w:rPr>
          <w:rStyle w:val="FontStyle80"/>
          <w:rFonts w:ascii="Times New Roman" w:hAnsi="Times New Roman"/>
        </w:rPr>
        <w:t xml:space="preserve">să fie necesar pentru a </w:t>
      </w:r>
      <w:r>
        <w:rPr>
          <w:rStyle w:val="FontStyle80"/>
          <w:rFonts w:ascii="Times New Roman" w:hAnsi="Times New Roman"/>
        </w:rPr>
        <w:t>îmbunătăţi</w:t>
      </w:r>
      <w:r>
        <w:rPr>
          <w:rStyle w:val="FontStyle80"/>
          <w:rFonts w:ascii="Times New Roman" w:hAnsi="Times New Roman"/>
        </w:rPr>
        <w:t xml:space="preserve"> </w:t>
      </w:r>
      <w:r>
        <w:rPr>
          <w:rStyle w:val="FontStyle80"/>
          <w:rFonts w:ascii="Times New Roman" w:hAnsi="Times New Roman"/>
        </w:rPr>
        <w:t>producţia</w:t>
      </w:r>
      <w:r>
        <w:rPr>
          <w:rStyle w:val="FontStyle80"/>
          <w:rFonts w:ascii="Times New Roman" w:hAnsi="Times New Roman"/>
        </w:rPr>
        <w:t xml:space="preserve"> sau </w:t>
      </w:r>
      <w:r>
        <w:rPr>
          <w:rStyle w:val="FontStyle80"/>
          <w:rFonts w:ascii="Times New Roman" w:hAnsi="Times New Roman"/>
        </w:rPr>
        <w:t>distribuţia</w:t>
      </w:r>
      <w:r>
        <w:rPr>
          <w:rStyle w:val="FontStyle80"/>
          <w:rFonts w:ascii="Times New Roman" w:hAnsi="Times New Roman"/>
        </w:rPr>
        <w:t xml:space="preserve"> bunurilor sau serviciilor contractuale.</w:t>
      </w:r>
    </w:p>
    <w:p w:rsidR="00565124" w:rsidP="00565124" w14:paraId="7E8AEFA6" w14:textId="77777777">
      <w:pPr>
        <w:pStyle w:val="Style33"/>
        <w:widowControl/>
        <w:tabs>
          <w:tab w:val="left" w:pos="0"/>
        </w:tabs>
        <w:spacing w:line="240" w:lineRule="auto"/>
        <w:ind w:firstLine="993"/>
        <w:rPr>
          <w:rStyle w:val="FontStyle80"/>
          <w:rFonts w:ascii="Times New Roman" w:hAnsi="Times New Roman"/>
        </w:rPr>
      </w:pPr>
      <w:r>
        <w:rPr>
          <w:rStyle w:val="FontStyle80"/>
          <w:rFonts w:ascii="Times New Roman" w:hAnsi="Times New Roman"/>
        </w:rPr>
        <w:t xml:space="preserve">Analiza acestor </w:t>
      </w:r>
      <w:r>
        <w:rPr>
          <w:rStyle w:val="FontStyle80"/>
          <w:rFonts w:ascii="Times New Roman" w:hAnsi="Times New Roman"/>
        </w:rPr>
        <w:t>condiţii</w:t>
      </w:r>
      <w:r>
        <w:rPr>
          <w:rStyle w:val="FontStyle80"/>
          <w:rFonts w:ascii="Times New Roman" w:hAnsi="Times New Roman"/>
        </w:rPr>
        <w:t xml:space="preserve"> nu se </w:t>
      </w:r>
      <w:r>
        <w:rPr>
          <w:rStyle w:val="FontStyle80"/>
          <w:rFonts w:ascii="Times New Roman" w:hAnsi="Times New Roman"/>
        </w:rPr>
        <w:t>regăseşte</w:t>
      </w:r>
      <w:r>
        <w:rPr>
          <w:rStyle w:val="FontStyle80"/>
          <w:rFonts w:ascii="Times New Roman" w:hAnsi="Times New Roman"/>
        </w:rPr>
        <w:t xml:space="preserve"> în cuprinsul deciziei a cărei suspendare o solicită.</w:t>
      </w:r>
    </w:p>
    <w:p w:rsidR="00565124" w:rsidP="00565124" w14:paraId="3318A02D" w14:textId="77777777">
      <w:pPr>
        <w:tabs>
          <w:tab w:val="left" w:pos="851"/>
          <w:tab w:val="left" w:pos="2339"/>
        </w:tabs>
        <w:ind w:firstLine="993"/>
        <w:jc w:val="both"/>
        <w:rPr>
          <w:rStyle w:val="FontStyle80"/>
        </w:rPr>
      </w:pPr>
      <w:r>
        <w:rPr>
          <w:rStyle w:val="FontStyle80"/>
        </w:rPr>
        <w:t xml:space="preserve">Este de remarcat faptul că autoritatea de </w:t>
      </w:r>
      <w:r>
        <w:rPr>
          <w:rStyle w:val="FontStyle80"/>
        </w:rPr>
        <w:t>concurenţă</w:t>
      </w:r>
      <w:r>
        <w:rPr>
          <w:rStyle w:val="FontStyle80"/>
        </w:rPr>
        <w:t xml:space="preserve"> era obligată să analizeze fapta investigată prin raportare la regulamentele </w:t>
      </w:r>
      <w:r>
        <w:rPr>
          <w:rStyle w:val="FontStyle80"/>
        </w:rPr>
        <w:t>menţionate</w:t>
      </w:r>
      <w:r>
        <w:rPr>
          <w:rStyle w:val="FontStyle80"/>
        </w:rPr>
        <w:t xml:space="preserve">, în virtutea efectului direct al dreptului Uniunii Europene. Acesta este consacrat, atât la nivel de </w:t>
      </w:r>
      <w:r>
        <w:rPr>
          <w:rStyle w:val="FontStyle80"/>
        </w:rPr>
        <w:t>jurisprudenţă</w:t>
      </w:r>
      <w:r>
        <w:rPr>
          <w:rStyle w:val="FontStyle80"/>
        </w:rPr>
        <w:t xml:space="preserve"> a CJUE, cât </w:t>
      </w:r>
      <w:r>
        <w:rPr>
          <w:rStyle w:val="FontStyle80"/>
        </w:rPr>
        <w:t>şi</w:t>
      </w:r>
      <w:r>
        <w:rPr>
          <w:rStyle w:val="FontStyle80"/>
        </w:rPr>
        <w:t xml:space="preserve"> prin art. 288 din Tratatul privind </w:t>
      </w:r>
      <w:r>
        <w:rPr>
          <w:rStyle w:val="FontStyle80"/>
        </w:rPr>
        <w:t>Funcţionarea</w:t>
      </w:r>
      <w:r>
        <w:rPr>
          <w:rStyle w:val="FontStyle80"/>
        </w:rPr>
        <w:t xml:space="preserve"> Uniunii Europene.   </w:t>
      </w:r>
    </w:p>
    <w:p w:rsidR="00565124" w:rsidP="00565124" w14:paraId="52C5B557" w14:textId="77777777">
      <w:pPr>
        <w:pStyle w:val="Style33"/>
        <w:widowControl/>
        <w:spacing w:before="38" w:line="240" w:lineRule="auto"/>
        <w:ind w:firstLine="993"/>
        <w:jc w:val="left"/>
        <w:rPr>
          <w:rStyle w:val="FontStyle80"/>
          <w:rFonts w:ascii="Times New Roman" w:hAnsi="Times New Roman"/>
        </w:rPr>
      </w:pPr>
      <w:r>
        <w:rPr>
          <w:rStyle w:val="FontStyle80"/>
          <w:rFonts w:ascii="Times New Roman" w:hAnsi="Times New Roman"/>
        </w:rPr>
        <w:t xml:space="preserve">De altfel, </w:t>
      </w:r>
      <w:r>
        <w:rPr>
          <w:rStyle w:val="FontStyle80"/>
          <w:rFonts w:ascii="Times New Roman" w:hAnsi="Times New Roman"/>
        </w:rPr>
        <w:t>însăşi</w:t>
      </w:r>
      <w:r>
        <w:rPr>
          <w:rStyle w:val="FontStyle80"/>
          <w:rFonts w:ascii="Times New Roman" w:hAnsi="Times New Roman"/>
        </w:rPr>
        <w:t xml:space="preserve"> Legea </w:t>
      </w:r>
      <w:r>
        <w:rPr>
          <w:rStyle w:val="FontStyle80"/>
          <w:rFonts w:ascii="Times New Roman" w:hAnsi="Times New Roman"/>
        </w:rPr>
        <w:t>concurenţei</w:t>
      </w:r>
      <w:r>
        <w:rPr>
          <w:rStyle w:val="FontStyle80"/>
          <w:rFonts w:ascii="Times New Roman" w:hAnsi="Times New Roman"/>
        </w:rPr>
        <w:t>, prevede la art. 5 alin. (3):</w:t>
      </w:r>
    </w:p>
    <w:p w:rsidR="00565124" w:rsidP="00565124" w14:paraId="05CAA007" w14:textId="77777777">
      <w:pPr>
        <w:pStyle w:val="Style34"/>
        <w:widowControl/>
        <w:spacing w:before="14" w:line="240" w:lineRule="auto"/>
        <w:ind w:firstLine="993"/>
        <w:rPr>
          <w:rStyle w:val="FontStyle80"/>
          <w:rFonts w:ascii="Times New Roman" w:hAnsi="Times New Roman"/>
        </w:rPr>
      </w:pPr>
      <w:r>
        <w:rPr>
          <w:rStyle w:val="FontStyle84"/>
          <w:rFonts w:ascii="Times New Roman" w:hAnsi="Times New Roman"/>
        </w:rPr>
        <w:t xml:space="preserve">"(3) Categoriile de </w:t>
      </w:r>
      <w:r>
        <w:rPr>
          <w:rStyle w:val="FontStyle84"/>
          <w:rFonts w:ascii="Times New Roman" w:hAnsi="Times New Roman"/>
        </w:rPr>
        <w:t>înţelegeri</w:t>
      </w:r>
      <w:r>
        <w:rPr>
          <w:rStyle w:val="FontStyle84"/>
          <w:rFonts w:ascii="Times New Roman" w:hAnsi="Times New Roman"/>
        </w:rPr>
        <w:t xml:space="preserve">, decizii </w:t>
      </w:r>
      <w:r>
        <w:rPr>
          <w:rStyle w:val="FontStyle84"/>
          <w:rFonts w:ascii="Times New Roman" w:hAnsi="Times New Roman"/>
        </w:rPr>
        <w:t>şi</w:t>
      </w:r>
      <w:r>
        <w:rPr>
          <w:rStyle w:val="FontStyle84"/>
          <w:rFonts w:ascii="Times New Roman" w:hAnsi="Times New Roman"/>
        </w:rPr>
        <w:t xml:space="preserve"> practici concertate, exceptate prin aplicarea prevederilor alin. (2), precum </w:t>
      </w:r>
      <w:r>
        <w:rPr>
          <w:rStyle w:val="FontStyle84"/>
          <w:rFonts w:ascii="Times New Roman" w:hAnsi="Times New Roman"/>
        </w:rPr>
        <w:t>şi</w:t>
      </w:r>
      <w:r>
        <w:rPr>
          <w:rStyle w:val="FontStyle84"/>
          <w:rFonts w:ascii="Times New Roman" w:hAnsi="Times New Roman"/>
        </w:rPr>
        <w:t xml:space="preserve"> </w:t>
      </w:r>
      <w:r>
        <w:rPr>
          <w:rStyle w:val="FontStyle84"/>
          <w:rFonts w:ascii="Times New Roman" w:hAnsi="Times New Roman"/>
        </w:rPr>
        <w:t>condiţiile</w:t>
      </w:r>
      <w:r>
        <w:rPr>
          <w:rStyle w:val="FontStyle84"/>
          <w:rFonts w:ascii="Times New Roman" w:hAnsi="Times New Roman"/>
        </w:rPr>
        <w:t xml:space="preserve"> </w:t>
      </w:r>
      <w:r>
        <w:rPr>
          <w:rStyle w:val="FontStyle84"/>
          <w:rFonts w:ascii="Times New Roman" w:hAnsi="Times New Roman"/>
        </w:rPr>
        <w:t>şi</w:t>
      </w:r>
      <w:r>
        <w:rPr>
          <w:rStyle w:val="FontStyle84"/>
          <w:rFonts w:ascii="Times New Roman" w:hAnsi="Times New Roman"/>
        </w:rPr>
        <w:t xml:space="preserve"> criteriile de încadrare pe categorii sunt cele stabilite în regulamentele Consiliului Uniunii Europene sau ale Comisiei Europene cu privire la aplicarea prevederilor art. 101 alin. (3) din Tratatul privind </w:t>
      </w:r>
      <w:r>
        <w:rPr>
          <w:rStyle w:val="FontStyle84"/>
          <w:rFonts w:ascii="Times New Roman" w:hAnsi="Times New Roman"/>
        </w:rPr>
        <w:t>funcţionarea</w:t>
      </w:r>
      <w:r>
        <w:rPr>
          <w:rStyle w:val="FontStyle84"/>
          <w:rFonts w:ascii="Times New Roman" w:hAnsi="Times New Roman"/>
        </w:rPr>
        <w:t xml:space="preserve"> Uniunii Europene anumitor categorii de </w:t>
      </w:r>
      <w:r>
        <w:rPr>
          <w:rStyle w:val="FontStyle84"/>
          <w:rFonts w:ascii="Times New Roman" w:hAnsi="Times New Roman"/>
        </w:rPr>
        <w:t>înţelegeri</w:t>
      </w:r>
      <w:r>
        <w:rPr>
          <w:rStyle w:val="FontStyle84"/>
          <w:rFonts w:ascii="Times New Roman" w:hAnsi="Times New Roman"/>
        </w:rPr>
        <w:t xml:space="preserve">, decizii ale </w:t>
      </w:r>
      <w:r>
        <w:rPr>
          <w:rStyle w:val="FontStyle84"/>
          <w:rFonts w:ascii="Times New Roman" w:hAnsi="Times New Roman"/>
        </w:rPr>
        <w:t>asociaţiilor</w:t>
      </w:r>
      <w:r>
        <w:rPr>
          <w:rStyle w:val="FontStyle84"/>
          <w:rFonts w:ascii="Times New Roman" w:hAnsi="Times New Roman"/>
        </w:rPr>
        <w:t xml:space="preserve"> de întreprinderi sau practici concertate, denumite regulamente de exceptare pe categorii, care se aplică în mod corespunzător."</w:t>
      </w:r>
    </w:p>
    <w:p w:rsidR="00565124" w:rsidP="00565124" w14:paraId="4969E2B7" w14:textId="77777777">
      <w:pPr>
        <w:pStyle w:val="Style34"/>
        <w:widowControl/>
        <w:spacing w:before="14" w:line="240" w:lineRule="auto"/>
        <w:ind w:firstLine="993"/>
        <w:rPr>
          <w:rStyle w:val="FontStyle80"/>
          <w:rFonts w:ascii="Times New Roman" w:hAnsi="Times New Roman"/>
        </w:rPr>
      </w:pPr>
      <w:r>
        <w:rPr>
          <w:rStyle w:val="FontStyle80"/>
          <w:rFonts w:ascii="Times New Roman" w:hAnsi="Times New Roman"/>
        </w:rPr>
        <w:t xml:space="preserve">Prin urmare, neaplicarea acestor </w:t>
      </w:r>
      <w:r>
        <w:rPr>
          <w:rStyle w:val="FontStyle80"/>
          <w:rFonts w:ascii="Times New Roman" w:hAnsi="Times New Roman"/>
        </w:rPr>
        <w:t>dispoziţii</w:t>
      </w:r>
      <w:r>
        <w:rPr>
          <w:rStyle w:val="FontStyle80"/>
          <w:rFonts w:ascii="Times New Roman" w:hAnsi="Times New Roman"/>
        </w:rPr>
        <w:t xml:space="preserve">, </w:t>
      </w:r>
      <w:r>
        <w:rPr>
          <w:rStyle w:val="FontStyle80"/>
          <w:rFonts w:ascii="Times New Roman" w:hAnsi="Times New Roman"/>
        </w:rPr>
        <w:t>deşi</w:t>
      </w:r>
      <w:r>
        <w:rPr>
          <w:rStyle w:val="FontStyle80"/>
          <w:rFonts w:ascii="Times New Roman" w:hAnsi="Times New Roman"/>
        </w:rPr>
        <w:t xml:space="preserve"> </w:t>
      </w:r>
      <w:r>
        <w:rPr>
          <w:rStyle w:val="FontStyle80"/>
          <w:rFonts w:ascii="Times New Roman" w:hAnsi="Times New Roman"/>
        </w:rPr>
        <w:t>situaţia</w:t>
      </w:r>
      <w:r>
        <w:rPr>
          <w:rStyle w:val="FontStyle80"/>
          <w:rFonts w:ascii="Times New Roman" w:hAnsi="Times New Roman"/>
        </w:rPr>
        <w:t xml:space="preserve"> de fapt din cauză o impunea, este de natură să vicieze întreaga analiză a </w:t>
      </w:r>
      <w:r>
        <w:rPr>
          <w:rStyle w:val="FontStyle80"/>
          <w:rFonts w:ascii="Times New Roman" w:hAnsi="Times New Roman"/>
        </w:rPr>
        <w:t>autorităţii</w:t>
      </w:r>
      <w:r>
        <w:rPr>
          <w:rStyle w:val="FontStyle80"/>
          <w:rFonts w:ascii="Times New Roman" w:hAnsi="Times New Roman"/>
        </w:rPr>
        <w:t xml:space="preserve"> de </w:t>
      </w:r>
      <w:r>
        <w:rPr>
          <w:rStyle w:val="FontStyle80"/>
          <w:rFonts w:ascii="Times New Roman" w:hAnsi="Times New Roman"/>
        </w:rPr>
        <w:t>concurenţă</w:t>
      </w:r>
      <w:r>
        <w:rPr>
          <w:rStyle w:val="FontStyle80"/>
          <w:rFonts w:ascii="Times New Roman" w:hAnsi="Times New Roman"/>
        </w:rPr>
        <w:t xml:space="preserve">, care a optat în cauză pentru varianta </w:t>
      </w:r>
      <w:r>
        <w:rPr>
          <w:rStyle w:val="FontStyle84"/>
          <w:rFonts w:ascii="Times New Roman" w:hAnsi="Times New Roman"/>
        </w:rPr>
        <w:t xml:space="preserve">"încălcării prin obiect” </w:t>
      </w:r>
      <w:r>
        <w:rPr>
          <w:rStyle w:val="FontStyle80"/>
          <w:rFonts w:ascii="Times New Roman" w:hAnsi="Times New Roman"/>
        </w:rPr>
        <w:t>săvârşite</w:t>
      </w:r>
      <w:r>
        <w:rPr>
          <w:rStyle w:val="FontStyle80"/>
          <w:rFonts w:ascii="Times New Roman" w:hAnsi="Times New Roman"/>
        </w:rPr>
        <w:t xml:space="preserve"> de </w:t>
      </w:r>
      <w:r>
        <w:rPr>
          <w:rStyle w:val="FontStyle84"/>
          <w:rFonts w:ascii="Times New Roman" w:hAnsi="Times New Roman"/>
        </w:rPr>
        <w:t xml:space="preserve">"întreprinderi concurente" </w:t>
      </w:r>
      <w:r>
        <w:rPr>
          <w:rStyle w:val="FontStyle80"/>
          <w:rFonts w:ascii="Times New Roman" w:hAnsi="Times New Roman"/>
        </w:rPr>
        <w:t xml:space="preserve">fără ca această încadrare să se suprapună perfect pe realitatea </w:t>
      </w:r>
      <w:r>
        <w:rPr>
          <w:rStyle w:val="FontStyle80"/>
          <w:rFonts w:ascii="Times New Roman" w:hAnsi="Times New Roman"/>
        </w:rPr>
        <w:t>relaţiilor</w:t>
      </w:r>
      <w:r>
        <w:rPr>
          <w:rStyle w:val="FontStyle80"/>
          <w:rFonts w:ascii="Times New Roman" w:hAnsi="Times New Roman"/>
        </w:rPr>
        <w:t xml:space="preserve"> comerciale existente între întreprinderile implicate.</w:t>
      </w:r>
    </w:p>
    <w:p w:rsidR="00565124" w:rsidP="00565124" w14:paraId="7E2B6CD4" w14:textId="77777777">
      <w:pPr>
        <w:pStyle w:val="Style34"/>
        <w:widowControl/>
        <w:spacing w:before="14" w:line="240" w:lineRule="auto"/>
        <w:ind w:firstLine="993"/>
        <w:rPr>
          <w:rFonts w:ascii="Times New Roman" w:hAnsi="Times New Roman"/>
          <w:i/>
        </w:rPr>
      </w:pPr>
      <w:r>
        <w:rPr>
          <w:rStyle w:val="FontStyle80"/>
          <w:rFonts w:ascii="Times New Roman" w:hAnsi="Times New Roman"/>
          <w:i/>
        </w:rPr>
        <w:t>b)</w:t>
      </w:r>
      <w:r>
        <w:rPr>
          <w:rFonts w:ascii="Times New Roman" w:hAnsi="Times New Roman"/>
          <w:i/>
        </w:rPr>
        <w:t xml:space="preserve"> în decizie nu este </w:t>
      </w:r>
      <w:r>
        <w:rPr>
          <w:rFonts w:ascii="Times New Roman" w:hAnsi="Times New Roman"/>
          <w:i/>
        </w:rPr>
        <w:t>reţinută</w:t>
      </w:r>
      <w:r>
        <w:rPr>
          <w:rFonts w:ascii="Times New Roman" w:hAnsi="Times New Roman"/>
          <w:i/>
        </w:rPr>
        <w:t>, în mod corect, o încălcare prin obiect</w:t>
      </w:r>
    </w:p>
    <w:p w:rsidR="00565124" w:rsidP="00565124" w14:paraId="62FB05DD" w14:textId="77777777">
      <w:pPr>
        <w:pStyle w:val="Style33"/>
        <w:widowControl/>
        <w:spacing w:before="14" w:line="240" w:lineRule="auto"/>
        <w:ind w:firstLine="993"/>
        <w:rPr>
          <w:rStyle w:val="FontStyle80"/>
          <w:rFonts w:ascii="Times New Roman" w:hAnsi="Times New Roman"/>
        </w:rPr>
      </w:pPr>
      <w:r>
        <w:rPr>
          <w:rStyle w:val="FontStyle80"/>
          <w:rFonts w:ascii="Times New Roman" w:hAnsi="Times New Roman"/>
        </w:rPr>
        <w:t xml:space="preserve">Fără a invoca argumente detaliate ce </w:t>
      </w:r>
      <w:r>
        <w:rPr>
          <w:rStyle w:val="FontStyle80"/>
          <w:rFonts w:ascii="Times New Roman" w:hAnsi="Times New Roman"/>
        </w:rPr>
        <w:t>ţin</w:t>
      </w:r>
      <w:r>
        <w:rPr>
          <w:rStyle w:val="FontStyle80"/>
          <w:rFonts w:ascii="Times New Roman" w:hAnsi="Times New Roman"/>
        </w:rPr>
        <w:t xml:space="preserve"> de analiza pe fond a probatoriului, la o lectură </w:t>
      </w:r>
      <w:r>
        <w:rPr>
          <w:rStyle w:val="FontStyle84"/>
          <w:rFonts w:ascii="Times New Roman" w:hAnsi="Times New Roman"/>
        </w:rPr>
        <w:t xml:space="preserve">prima </w:t>
      </w:r>
      <w:r>
        <w:rPr>
          <w:rStyle w:val="FontStyle84"/>
          <w:rFonts w:ascii="Times New Roman" w:hAnsi="Times New Roman"/>
        </w:rPr>
        <w:t>facie</w:t>
      </w:r>
      <w:r>
        <w:rPr>
          <w:rStyle w:val="FontStyle84"/>
          <w:rFonts w:ascii="Times New Roman" w:hAnsi="Times New Roman"/>
        </w:rPr>
        <w:t xml:space="preserve"> </w:t>
      </w:r>
      <w:r>
        <w:rPr>
          <w:rStyle w:val="FontStyle80"/>
          <w:rFonts w:ascii="Times New Roman" w:hAnsi="Times New Roman"/>
        </w:rPr>
        <w:t xml:space="preserve">a deciziei se poate observa că </w:t>
      </w:r>
      <w:r w:rsidRPr="00D920DE">
        <w:rPr>
          <w:rStyle w:val="FontStyle80"/>
          <w:rFonts w:ascii="Times New Roman" w:hAnsi="Times New Roman"/>
        </w:rPr>
        <w:t xml:space="preserve">motivul pentru care a fost </w:t>
      </w:r>
      <w:r w:rsidRPr="00D920DE">
        <w:rPr>
          <w:rStyle w:val="FontStyle80"/>
          <w:rFonts w:ascii="Times New Roman" w:hAnsi="Times New Roman"/>
        </w:rPr>
        <w:t>reţinută</w:t>
      </w:r>
      <w:r w:rsidRPr="00D920DE">
        <w:rPr>
          <w:rStyle w:val="FontStyle80"/>
          <w:rFonts w:ascii="Times New Roman" w:hAnsi="Times New Roman"/>
        </w:rPr>
        <w:t xml:space="preserve"> răspunderea X  în </w:t>
      </w:r>
      <w:r w:rsidRPr="00D920DE">
        <w:rPr>
          <w:rStyle w:val="FontStyle80"/>
          <w:rFonts w:ascii="Times New Roman" w:hAnsi="Times New Roman"/>
        </w:rPr>
        <w:t>speţă</w:t>
      </w:r>
      <w:r w:rsidRPr="00D920DE">
        <w:rPr>
          <w:rStyle w:val="FontStyle80"/>
          <w:rFonts w:ascii="Times New Roman" w:hAnsi="Times New Roman"/>
        </w:rPr>
        <w:t xml:space="preserve"> este că ar fi </w:t>
      </w:r>
      <w:r w:rsidRPr="00D920DE">
        <w:rPr>
          <w:rStyle w:val="FontStyle84"/>
          <w:rFonts w:ascii="Times New Roman" w:hAnsi="Times New Roman"/>
        </w:rPr>
        <w:t>"</w:t>
      </w:r>
      <w:r w:rsidRPr="00D920DE">
        <w:rPr>
          <w:rStyle w:val="FontStyle84"/>
          <w:rFonts w:ascii="Times New Roman" w:hAnsi="Times New Roman"/>
        </w:rPr>
        <w:t>împărţit</w:t>
      </w:r>
      <w:r w:rsidRPr="00D920DE">
        <w:rPr>
          <w:rStyle w:val="FontStyle84"/>
          <w:rFonts w:ascii="Times New Roman" w:hAnsi="Times New Roman"/>
        </w:rPr>
        <w:t xml:space="preserve">” </w:t>
      </w:r>
      <w:r w:rsidRPr="00D920DE">
        <w:rPr>
          <w:rStyle w:val="FontStyle80"/>
          <w:rFonts w:ascii="Times New Roman" w:hAnsi="Times New Roman"/>
        </w:rPr>
        <w:t>anumiţi</w:t>
      </w:r>
      <w:r w:rsidRPr="00D920DE">
        <w:rPr>
          <w:rStyle w:val="FontStyle80"/>
          <w:rFonts w:ascii="Times New Roman" w:hAnsi="Times New Roman"/>
        </w:rPr>
        <w:t xml:space="preserve"> </w:t>
      </w:r>
      <w:r w:rsidRPr="00D920DE">
        <w:rPr>
          <w:rStyle w:val="FontStyle80"/>
          <w:rFonts w:ascii="Times New Roman" w:hAnsi="Times New Roman"/>
        </w:rPr>
        <w:t>clienţi</w:t>
      </w:r>
      <w:r w:rsidRPr="00D920DE">
        <w:rPr>
          <w:rStyle w:val="FontStyle80"/>
          <w:rFonts w:ascii="Times New Roman" w:hAnsi="Times New Roman"/>
        </w:rPr>
        <w:t xml:space="preserve"> cu producătorul/furnizorul Z . În realitate, nu a existat o astfel de </w:t>
      </w:r>
      <w:r w:rsidRPr="00D920DE">
        <w:rPr>
          <w:rStyle w:val="FontStyle80"/>
          <w:rFonts w:ascii="Times New Roman" w:hAnsi="Times New Roman"/>
        </w:rPr>
        <w:t>împărţire</w:t>
      </w:r>
      <w:r w:rsidRPr="00D920DE">
        <w:rPr>
          <w:rStyle w:val="FontStyle80"/>
          <w:rFonts w:ascii="Times New Roman" w:hAnsi="Times New Roman"/>
        </w:rPr>
        <w:t xml:space="preserve">, iar analiza </w:t>
      </w:r>
      <w:r w:rsidRPr="00D920DE">
        <w:rPr>
          <w:rStyle w:val="FontStyle80"/>
          <w:rFonts w:ascii="Times New Roman" w:hAnsi="Times New Roman"/>
        </w:rPr>
        <w:t>autorităţii</w:t>
      </w:r>
      <w:r w:rsidRPr="00D920DE">
        <w:rPr>
          <w:rStyle w:val="FontStyle80"/>
          <w:rFonts w:ascii="Times New Roman" w:hAnsi="Times New Roman"/>
        </w:rPr>
        <w:t xml:space="preserve"> este eronată tocmai pentru că ignoră </w:t>
      </w:r>
      <w:r w:rsidRPr="00D920DE">
        <w:rPr>
          <w:rStyle w:val="FontStyle80"/>
          <w:rFonts w:ascii="Times New Roman" w:hAnsi="Times New Roman"/>
        </w:rPr>
        <w:t>relaţia</w:t>
      </w:r>
      <w:r w:rsidRPr="00D920DE">
        <w:rPr>
          <w:rStyle w:val="FontStyle80"/>
          <w:rFonts w:ascii="Times New Roman" w:hAnsi="Times New Roman"/>
        </w:rPr>
        <w:t xml:space="preserve"> verticală dintre cele două întreprinderi. Dacă această </w:t>
      </w:r>
      <w:r w:rsidRPr="00D920DE">
        <w:rPr>
          <w:rStyle w:val="FontStyle80"/>
          <w:rFonts w:ascii="Times New Roman" w:hAnsi="Times New Roman"/>
        </w:rPr>
        <w:t>relaţie</w:t>
      </w:r>
      <w:r w:rsidRPr="00D920DE">
        <w:rPr>
          <w:rStyle w:val="FontStyle80"/>
          <w:rFonts w:ascii="Times New Roman" w:hAnsi="Times New Roman"/>
        </w:rPr>
        <w:t xml:space="preserve"> ar fi fost avută în vedere, se putea observa că respectiva </w:t>
      </w:r>
      <w:r w:rsidRPr="00D920DE">
        <w:rPr>
          <w:rStyle w:val="FontStyle84"/>
          <w:rFonts w:ascii="Times New Roman" w:hAnsi="Times New Roman"/>
        </w:rPr>
        <w:t>"</w:t>
      </w:r>
      <w:r w:rsidRPr="00D920DE">
        <w:rPr>
          <w:rStyle w:val="FontStyle84"/>
          <w:rFonts w:ascii="Times New Roman" w:hAnsi="Times New Roman"/>
        </w:rPr>
        <w:t>împărţire</w:t>
      </w:r>
      <w:r w:rsidRPr="00D920DE">
        <w:rPr>
          <w:rStyle w:val="FontStyle84"/>
          <w:rFonts w:ascii="Times New Roman" w:hAnsi="Times New Roman"/>
        </w:rPr>
        <w:t xml:space="preserve">" </w:t>
      </w:r>
      <w:r w:rsidRPr="00D920DE">
        <w:rPr>
          <w:rStyle w:val="FontStyle80"/>
          <w:rFonts w:ascii="Times New Roman" w:hAnsi="Times New Roman"/>
        </w:rPr>
        <w:t xml:space="preserve">a </w:t>
      </w:r>
      <w:r w:rsidRPr="00D920DE">
        <w:rPr>
          <w:rStyle w:val="FontStyle80"/>
          <w:rFonts w:ascii="Times New Roman" w:hAnsi="Times New Roman"/>
        </w:rPr>
        <w:t>clienţilor</w:t>
      </w:r>
      <w:r w:rsidRPr="00D920DE">
        <w:rPr>
          <w:rStyle w:val="FontStyle80"/>
          <w:rFonts w:ascii="Times New Roman" w:hAnsi="Times New Roman"/>
        </w:rPr>
        <w:t xml:space="preserve"> reprezintă, în</w:t>
      </w:r>
      <w:r>
        <w:rPr>
          <w:rStyle w:val="FontStyle80"/>
          <w:rFonts w:ascii="Times New Roman" w:hAnsi="Times New Roman"/>
        </w:rPr>
        <w:t xml:space="preserve"> fapt, un </w:t>
      </w:r>
      <w:r>
        <w:rPr>
          <w:rStyle w:val="FontStyle84"/>
          <w:rFonts w:ascii="Times New Roman" w:hAnsi="Times New Roman"/>
        </w:rPr>
        <w:t xml:space="preserve">"sistem de </w:t>
      </w:r>
      <w:r>
        <w:rPr>
          <w:rStyle w:val="FontStyle84"/>
          <w:rFonts w:ascii="Times New Roman" w:hAnsi="Times New Roman"/>
        </w:rPr>
        <w:t>protecţie</w:t>
      </w:r>
      <w:r>
        <w:rPr>
          <w:rStyle w:val="FontStyle84"/>
          <w:rFonts w:ascii="Times New Roman" w:hAnsi="Times New Roman"/>
        </w:rPr>
        <w:t xml:space="preserve"> </w:t>
      </w:r>
      <w:r>
        <w:rPr>
          <w:rStyle w:val="FontStyle84"/>
          <w:rFonts w:ascii="Times New Roman" w:hAnsi="Times New Roman"/>
        </w:rPr>
        <w:t>parţială</w:t>
      </w:r>
      <w:r>
        <w:rPr>
          <w:rStyle w:val="FontStyle84"/>
          <w:rFonts w:ascii="Times New Roman" w:hAnsi="Times New Roman"/>
        </w:rPr>
        <w:t xml:space="preserve">", </w:t>
      </w:r>
      <w:r>
        <w:rPr>
          <w:rStyle w:val="FontStyle80"/>
          <w:rFonts w:ascii="Times New Roman" w:hAnsi="Times New Roman"/>
        </w:rPr>
        <w:t>astfel cum a fost definit la nivel doctrinar.</w:t>
      </w:r>
    </w:p>
    <w:p w:rsidR="00565124" w:rsidP="00565124" w14:paraId="531CCB12" w14:textId="77777777">
      <w:pPr>
        <w:ind w:firstLine="993"/>
        <w:jc w:val="both"/>
        <w:rPr>
          <w:rStyle w:val="FontStyle80"/>
        </w:rPr>
      </w:pPr>
      <w:r>
        <w:rPr>
          <w:rStyle w:val="FontStyle80"/>
        </w:rPr>
        <w:t>Restricţiile</w:t>
      </w:r>
      <w:r>
        <w:rPr>
          <w:rStyle w:val="FontStyle80"/>
        </w:rPr>
        <w:t xml:space="preserve"> grave cu privire la teritoriu sau </w:t>
      </w:r>
      <w:r>
        <w:rPr>
          <w:rStyle w:val="FontStyle80"/>
        </w:rPr>
        <w:t>clienţi</w:t>
      </w:r>
      <w:r>
        <w:rPr>
          <w:rStyle w:val="FontStyle80"/>
        </w:rPr>
        <w:t xml:space="preserve"> din art. 4 lit. b) din Regulamentul (UE) 2022/720 se referă la limitarea </w:t>
      </w:r>
      <w:r>
        <w:rPr>
          <w:rStyle w:val="FontStyle78"/>
        </w:rPr>
        <w:t>capacităţii</w:t>
      </w:r>
      <w:r>
        <w:rPr>
          <w:rStyle w:val="FontStyle78"/>
        </w:rPr>
        <w:t xml:space="preserve"> cumpărătorului </w:t>
      </w:r>
      <w:r>
        <w:rPr>
          <w:rStyle w:val="FontStyle80"/>
        </w:rPr>
        <w:t xml:space="preserve">de a vinde pasiv către un anumit teritoriu sau grup de </w:t>
      </w:r>
      <w:r>
        <w:rPr>
          <w:rStyle w:val="FontStyle80"/>
        </w:rPr>
        <w:t>clienţi</w:t>
      </w:r>
      <w:r>
        <w:rPr>
          <w:rStyle w:val="FontStyle80"/>
        </w:rPr>
        <w:t xml:space="preserve"> alocat exclusiv furnizorului sau a unui număr de maxim cinci </w:t>
      </w:r>
      <w:r>
        <w:rPr>
          <w:rStyle w:val="FontStyle80"/>
        </w:rPr>
        <w:t>alţi</w:t>
      </w:r>
      <w:r>
        <w:rPr>
          <w:rStyle w:val="FontStyle80"/>
        </w:rPr>
        <w:t xml:space="preserve"> distribuitori exclusivi. Deoarece art. 4 litera (b) din Regulamentul (UE) 2022/720 se aplică </w:t>
      </w:r>
      <w:r>
        <w:rPr>
          <w:rStyle w:val="FontStyle78"/>
        </w:rPr>
        <w:t xml:space="preserve">numai </w:t>
      </w:r>
      <w:r>
        <w:rPr>
          <w:rStyle w:val="FontStyle78"/>
        </w:rPr>
        <w:t>restricţiilor</w:t>
      </w:r>
      <w:r>
        <w:rPr>
          <w:rStyle w:val="FontStyle78"/>
        </w:rPr>
        <w:t xml:space="preserve"> de vânzare aferente cumpărătorului, </w:t>
      </w:r>
      <w:r>
        <w:rPr>
          <w:rStyle w:val="FontStyle80"/>
        </w:rPr>
        <w:t xml:space="preserve">aceasta înseamnă că </w:t>
      </w:r>
      <w:r>
        <w:rPr>
          <w:rStyle w:val="FontStyle80"/>
        </w:rPr>
        <w:t>restricţiile</w:t>
      </w:r>
      <w:r>
        <w:rPr>
          <w:rStyle w:val="FontStyle80"/>
        </w:rPr>
        <w:t xml:space="preserve"> privind vânzările furnizorului nu sunt considerate </w:t>
      </w:r>
      <w:r>
        <w:rPr>
          <w:rStyle w:val="FontStyle80"/>
        </w:rPr>
        <w:t>restricţii</w:t>
      </w:r>
      <w:r>
        <w:rPr>
          <w:rStyle w:val="FontStyle80"/>
        </w:rPr>
        <w:t xml:space="preserve"> grave. </w:t>
      </w:r>
    </w:p>
    <w:p w:rsidR="00565124" w:rsidP="00565124" w14:paraId="12A75EF0" w14:textId="77777777">
      <w:pPr>
        <w:ind w:firstLine="993"/>
        <w:jc w:val="both"/>
        <w:rPr>
          <w:rStyle w:val="FontStyle80"/>
        </w:rPr>
      </w:pPr>
      <w:r>
        <w:rPr>
          <w:rStyle w:val="FontStyle80"/>
        </w:rPr>
        <w:t xml:space="preserve">Prin urmare, dacă un furnizor </w:t>
      </w:r>
      <w:r>
        <w:rPr>
          <w:rStyle w:val="FontStyle80"/>
        </w:rPr>
        <w:t>îşi</w:t>
      </w:r>
      <w:r>
        <w:rPr>
          <w:rStyle w:val="FontStyle80"/>
        </w:rPr>
        <w:t xml:space="preserve"> asumă </w:t>
      </w:r>
      <w:r>
        <w:rPr>
          <w:rStyle w:val="FontStyle80"/>
        </w:rPr>
        <w:t>faţă</w:t>
      </w:r>
      <w:r>
        <w:rPr>
          <w:rStyle w:val="FontStyle80"/>
        </w:rPr>
        <w:t xml:space="preserve"> de unul sau mai </w:t>
      </w:r>
      <w:r>
        <w:rPr>
          <w:rStyle w:val="FontStyle80"/>
        </w:rPr>
        <w:t>mulţi</w:t>
      </w:r>
      <w:r>
        <w:rPr>
          <w:rStyle w:val="FontStyle80"/>
        </w:rPr>
        <w:t xml:space="preserve"> distribuitori că nu va vinde în anumite teritorii sau că nu va aborda </w:t>
      </w:r>
      <w:r>
        <w:rPr>
          <w:rStyle w:val="FontStyle80"/>
        </w:rPr>
        <w:t>anumiţi</w:t>
      </w:r>
      <w:r>
        <w:rPr>
          <w:rStyle w:val="FontStyle80"/>
        </w:rPr>
        <w:t xml:space="preserve"> </w:t>
      </w:r>
      <w:r>
        <w:rPr>
          <w:rStyle w:val="FontStyle80"/>
        </w:rPr>
        <w:t>clienţi</w:t>
      </w:r>
      <w:r>
        <w:rPr>
          <w:rStyle w:val="FontStyle80"/>
        </w:rPr>
        <w:t xml:space="preserve"> sau categorii de </w:t>
      </w:r>
      <w:r>
        <w:rPr>
          <w:rStyle w:val="FontStyle80"/>
        </w:rPr>
        <w:t>clienţii</w:t>
      </w:r>
      <w:r>
        <w:rPr>
          <w:rStyle w:val="FontStyle80"/>
        </w:rPr>
        <w:t xml:space="preserve">, această </w:t>
      </w:r>
      <w:r>
        <w:rPr>
          <w:rStyle w:val="FontStyle80"/>
        </w:rPr>
        <w:t>obligaţie</w:t>
      </w:r>
      <w:r>
        <w:rPr>
          <w:rStyle w:val="FontStyle80"/>
        </w:rPr>
        <w:t xml:space="preserve"> nu reprezintă o </w:t>
      </w:r>
      <w:r>
        <w:rPr>
          <w:rStyle w:val="FontStyle80"/>
        </w:rPr>
        <w:t>restricţie</w:t>
      </w:r>
      <w:r>
        <w:rPr>
          <w:rStyle w:val="FontStyle80"/>
        </w:rPr>
        <w:t xml:space="preserve"> interzisă </w:t>
      </w:r>
      <w:r>
        <w:rPr>
          <w:rStyle w:val="FontStyle84"/>
        </w:rPr>
        <w:t xml:space="preserve">per se. </w:t>
      </w:r>
      <w:r>
        <w:rPr>
          <w:rStyle w:val="FontStyle80"/>
        </w:rPr>
        <w:t xml:space="preserve">În lipsa unei încadrări exprese în lista de </w:t>
      </w:r>
      <w:r>
        <w:rPr>
          <w:rStyle w:val="FontStyle80"/>
        </w:rPr>
        <w:t>restricţii</w:t>
      </w:r>
      <w:r>
        <w:rPr>
          <w:rStyle w:val="FontStyle80"/>
        </w:rPr>
        <w:t xml:space="preserve"> grave de la art. 4 lit. b) din Regulamentul (UE) 2022/720, </w:t>
      </w:r>
      <w:r>
        <w:rPr>
          <w:rStyle w:val="FontStyle84"/>
        </w:rPr>
        <w:t>"</w:t>
      </w:r>
      <w:r>
        <w:rPr>
          <w:rStyle w:val="FontStyle84"/>
        </w:rPr>
        <w:t>părţile</w:t>
      </w:r>
      <w:r>
        <w:rPr>
          <w:rStyle w:val="FontStyle84"/>
        </w:rPr>
        <w:t xml:space="preserve"> pot agrea că furnizorul nu va vinde activ sau</w:t>
      </w:r>
      <w:r>
        <w:rPr>
          <w:rStyle w:val="FontStyle85"/>
        </w:rPr>
        <w:t xml:space="preserve"> pasiv către </w:t>
      </w:r>
      <w:r>
        <w:rPr>
          <w:rStyle w:val="FontStyle85"/>
        </w:rPr>
        <w:t>anumiţi</w:t>
      </w:r>
      <w:r>
        <w:rPr>
          <w:rStyle w:val="FontStyle85"/>
        </w:rPr>
        <w:t xml:space="preserve"> </w:t>
      </w:r>
      <w:r>
        <w:rPr>
          <w:rStyle w:val="FontStyle85"/>
        </w:rPr>
        <w:t>clienţi</w:t>
      </w:r>
      <w:r>
        <w:rPr>
          <w:rStyle w:val="FontStyle85"/>
        </w:rPr>
        <w:t xml:space="preserve">. </w:t>
      </w:r>
      <w:r>
        <w:rPr>
          <w:rStyle w:val="FontStyle84"/>
        </w:rPr>
        <w:t xml:space="preserve">Având în vedere aceste aspecte, furnizorii pot în mod legal să </w:t>
      </w:r>
      <w:r>
        <w:rPr>
          <w:rStyle w:val="FontStyle84"/>
        </w:rPr>
        <w:t>îşi</w:t>
      </w:r>
      <w:r>
        <w:rPr>
          <w:rStyle w:val="FontStyle84"/>
        </w:rPr>
        <w:t xml:space="preserve"> asume </w:t>
      </w:r>
      <w:r>
        <w:rPr>
          <w:rStyle w:val="FontStyle84"/>
        </w:rPr>
        <w:t>obligaţia</w:t>
      </w:r>
      <w:r>
        <w:rPr>
          <w:rStyle w:val="FontStyle84"/>
        </w:rPr>
        <w:t xml:space="preserve"> de a transmite cererile </w:t>
      </w:r>
      <w:r>
        <w:rPr>
          <w:rStyle w:val="FontStyle84"/>
        </w:rPr>
        <w:t>clienţilor</w:t>
      </w:r>
      <w:r>
        <w:rPr>
          <w:rStyle w:val="FontStyle84"/>
        </w:rPr>
        <w:t xml:space="preserve"> sau indicii privind </w:t>
      </w:r>
      <w:r>
        <w:rPr>
          <w:rStyle w:val="FontStyle84"/>
        </w:rPr>
        <w:t>clienţii</w:t>
      </w:r>
      <w:r>
        <w:rPr>
          <w:rStyle w:val="FontStyle84"/>
        </w:rPr>
        <w:t xml:space="preserve"> către distribuitorul localizat cel mai aproape de adresa clientului. [...] Cele de mai sus implică faptul că </w:t>
      </w:r>
      <w:r>
        <w:rPr>
          <w:rStyle w:val="FontStyle84"/>
        </w:rPr>
        <w:t>părţile</w:t>
      </w:r>
      <w:r>
        <w:rPr>
          <w:rStyle w:val="FontStyle84"/>
        </w:rPr>
        <w:t xml:space="preserve"> la un acord vertical beneficiază de o libertate considerabilă de a organiza </w:t>
      </w:r>
      <w:r>
        <w:rPr>
          <w:rStyle w:val="FontStyle84"/>
        </w:rPr>
        <w:t>protecţia</w:t>
      </w:r>
      <w:r>
        <w:rPr>
          <w:rStyle w:val="FontStyle84"/>
        </w:rPr>
        <w:t xml:space="preserve"> unui distribuitor împotriva </w:t>
      </w:r>
      <w:r>
        <w:rPr>
          <w:rStyle w:val="FontStyle84"/>
        </w:rPr>
        <w:t>concurenţei</w:t>
      </w:r>
      <w:r>
        <w:rPr>
          <w:rStyle w:val="FontStyle84"/>
        </w:rPr>
        <w:t xml:space="preserve"> din partea unui furnizor. în afară de o </w:t>
      </w:r>
      <w:r>
        <w:rPr>
          <w:rStyle w:val="FontStyle84"/>
        </w:rPr>
        <w:t>interdicţie</w:t>
      </w:r>
      <w:r>
        <w:rPr>
          <w:rStyle w:val="FontStyle84"/>
        </w:rPr>
        <w:t xml:space="preserve"> totală (incluzând o </w:t>
      </w:r>
      <w:r>
        <w:rPr>
          <w:rStyle w:val="FontStyle84"/>
        </w:rPr>
        <w:t>interdicţie</w:t>
      </w:r>
      <w:r>
        <w:rPr>
          <w:rStyle w:val="FontStyle84"/>
        </w:rPr>
        <w:t xml:space="preserve"> a vânzărilor active </w:t>
      </w:r>
      <w:r>
        <w:rPr>
          <w:rStyle w:val="FontStyle84"/>
        </w:rPr>
        <w:t>şi</w:t>
      </w:r>
      <w:r>
        <w:rPr>
          <w:rStyle w:val="FontStyle84"/>
        </w:rPr>
        <w:t xml:space="preserve"> pasive), </w:t>
      </w:r>
      <w:r>
        <w:rPr>
          <w:rStyle w:val="FontStyle85"/>
        </w:rPr>
        <w:t>părţile</w:t>
      </w:r>
      <w:r>
        <w:rPr>
          <w:rStyle w:val="FontStyle85"/>
        </w:rPr>
        <w:t xml:space="preserve"> pot stabili sisteme de </w:t>
      </w:r>
      <w:r>
        <w:rPr>
          <w:rStyle w:val="FontStyle85"/>
        </w:rPr>
        <w:t>protecţie</w:t>
      </w:r>
      <w:r>
        <w:rPr>
          <w:rStyle w:val="FontStyle85"/>
        </w:rPr>
        <w:t xml:space="preserve"> </w:t>
      </w:r>
      <w:r>
        <w:rPr>
          <w:rStyle w:val="FontStyle85"/>
        </w:rPr>
        <w:t>parţială</w:t>
      </w:r>
      <w:r>
        <w:rPr>
          <w:rStyle w:val="FontStyle85"/>
        </w:rPr>
        <w:t xml:space="preserve">. </w:t>
      </w:r>
      <w:r>
        <w:rPr>
          <w:rStyle w:val="FontStyle84"/>
        </w:rPr>
        <w:t xml:space="preserve">Aceasta va lua în mod tipic </w:t>
      </w:r>
      <w:r>
        <w:rPr>
          <w:rStyle w:val="FontStyle85"/>
        </w:rPr>
        <w:t xml:space="preserve">forma listelor de </w:t>
      </w:r>
      <w:r>
        <w:rPr>
          <w:rStyle w:val="FontStyle85"/>
        </w:rPr>
        <w:t>clienţi</w:t>
      </w:r>
      <w:r>
        <w:rPr>
          <w:rStyle w:val="FontStyle85"/>
        </w:rPr>
        <w:t xml:space="preserve"> către care sau a teritoriilor unde, furnizorului îi este permis să vândă </w:t>
      </w:r>
      <w:r>
        <w:rPr>
          <w:rStyle w:val="FontStyle84"/>
        </w:rPr>
        <w:t>(</w:t>
      </w:r>
      <w:r>
        <w:rPr>
          <w:rStyle w:val="FontStyle84"/>
        </w:rPr>
        <w:t>aşa</w:t>
      </w:r>
      <w:r>
        <w:rPr>
          <w:rStyle w:val="FontStyle84"/>
        </w:rPr>
        <w:t xml:space="preserve">-zisele liste de </w:t>
      </w:r>
      <w:r>
        <w:rPr>
          <w:rStyle w:val="FontStyle84"/>
        </w:rPr>
        <w:t>clienţi</w:t>
      </w:r>
      <w:r>
        <w:rPr>
          <w:rStyle w:val="FontStyle84"/>
        </w:rPr>
        <w:t xml:space="preserve"> sau teritorii). Acestea nu sunt </w:t>
      </w:r>
      <w:r>
        <w:rPr>
          <w:rStyle w:val="FontStyle84"/>
        </w:rPr>
        <w:t>aceleaşi</w:t>
      </w:r>
      <w:r>
        <w:rPr>
          <w:rStyle w:val="FontStyle84"/>
        </w:rPr>
        <w:t xml:space="preserve"> cu </w:t>
      </w:r>
      <w:r>
        <w:rPr>
          <w:rStyle w:val="FontStyle84"/>
        </w:rPr>
        <w:t>aşa</w:t>
      </w:r>
      <w:r>
        <w:rPr>
          <w:rStyle w:val="FontStyle84"/>
        </w:rPr>
        <w:t xml:space="preserve"> zisele liste de </w:t>
      </w:r>
      <w:r>
        <w:rPr>
          <w:rStyle w:val="FontStyle84"/>
        </w:rPr>
        <w:t>clienţi</w:t>
      </w:r>
      <w:r>
        <w:rPr>
          <w:rStyle w:val="FontStyle84"/>
        </w:rPr>
        <w:t xml:space="preserve"> sau teritorii rezervate [...] furnizorul nu poate rezerva complet anumite teritorii sau </w:t>
      </w:r>
      <w:r>
        <w:rPr>
          <w:rStyle w:val="FontStyle84"/>
        </w:rPr>
        <w:t>clienţi</w:t>
      </w:r>
      <w:r>
        <w:rPr>
          <w:rStyle w:val="FontStyle84"/>
        </w:rPr>
        <w:t xml:space="preserve"> pentru sine”. </w:t>
      </w:r>
    </w:p>
    <w:p w:rsidR="00565124" w:rsidP="00565124" w14:paraId="39F1D828" w14:textId="77777777">
      <w:pPr>
        <w:pStyle w:val="Style33"/>
        <w:widowControl/>
        <w:spacing w:before="5" w:line="240" w:lineRule="auto"/>
        <w:ind w:firstLine="993"/>
        <w:rPr>
          <w:rStyle w:val="FontStyle80"/>
          <w:rFonts w:ascii="Times New Roman" w:hAnsi="Times New Roman"/>
        </w:rPr>
      </w:pPr>
      <w:r>
        <w:rPr>
          <w:rStyle w:val="FontStyle80"/>
          <w:rFonts w:ascii="Times New Roman" w:hAnsi="Times New Roman"/>
        </w:rPr>
        <w:t>Situaţia</w:t>
      </w:r>
      <w:r>
        <w:rPr>
          <w:rStyle w:val="FontStyle80"/>
          <w:rFonts w:ascii="Times New Roman" w:hAnsi="Times New Roman"/>
        </w:rPr>
        <w:t xml:space="preserve"> anterior expusă la nivel doctrinar este aplicabilă </w:t>
      </w:r>
      <w:r>
        <w:rPr>
          <w:rStyle w:val="FontStyle80"/>
          <w:rFonts w:ascii="Times New Roman" w:hAnsi="Times New Roman"/>
        </w:rPr>
        <w:t>şi</w:t>
      </w:r>
      <w:r>
        <w:rPr>
          <w:rStyle w:val="FontStyle80"/>
          <w:rFonts w:ascii="Times New Roman" w:hAnsi="Times New Roman"/>
        </w:rPr>
        <w:t xml:space="preserve"> în cadrul </w:t>
      </w:r>
      <w:r>
        <w:rPr>
          <w:rStyle w:val="FontStyle80"/>
          <w:rFonts w:ascii="Times New Roman" w:hAnsi="Times New Roman"/>
        </w:rPr>
        <w:t>relaţiei</w:t>
      </w:r>
      <w:r>
        <w:rPr>
          <w:rStyle w:val="FontStyle80"/>
          <w:rFonts w:ascii="Times New Roman" w:hAnsi="Times New Roman"/>
        </w:rPr>
        <w:t xml:space="preserve"> Z -X , unde </w:t>
      </w:r>
      <w:r>
        <w:rPr>
          <w:rStyle w:val="FontStyle78"/>
          <w:rFonts w:ascii="Times New Roman" w:hAnsi="Times New Roman"/>
        </w:rPr>
        <w:t xml:space="preserve">un număr limitat de </w:t>
      </w:r>
      <w:r>
        <w:rPr>
          <w:rStyle w:val="FontStyle78"/>
          <w:rFonts w:ascii="Times New Roman" w:hAnsi="Times New Roman"/>
        </w:rPr>
        <w:t>clienţi</w:t>
      </w:r>
      <w:r>
        <w:rPr>
          <w:rStyle w:val="FontStyle78"/>
          <w:rFonts w:ascii="Times New Roman" w:hAnsi="Times New Roman"/>
        </w:rPr>
        <w:t xml:space="preserve"> </w:t>
      </w:r>
      <w:r>
        <w:rPr>
          <w:rStyle w:val="FontStyle78"/>
          <w:rFonts w:ascii="Times New Roman" w:hAnsi="Times New Roman"/>
        </w:rPr>
        <w:t>menţionaţi</w:t>
      </w:r>
      <w:r>
        <w:rPr>
          <w:rStyle w:val="FontStyle78"/>
          <w:rFonts w:ascii="Times New Roman" w:hAnsi="Times New Roman"/>
        </w:rPr>
        <w:t xml:space="preserve"> expres, </w:t>
      </w:r>
      <w:r>
        <w:rPr>
          <w:rStyle w:val="FontStyle80"/>
          <w:rFonts w:ascii="Times New Roman" w:hAnsi="Times New Roman"/>
        </w:rPr>
        <w:t xml:space="preserve">care aveau un istoric comercial de durată cu societatea </w:t>
      </w:r>
      <w:r>
        <w:rPr>
          <w:rStyle w:val="FontStyle80"/>
          <w:rFonts w:ascii="Times New Roman" w:hAnsi="Times New Roman"/>
        </w:rPr>
        <w:t>Lingeman</w:t>
      </w:r>
      <w:r>
        <w:rPr>
          <w:rStyle w:val="FontStyle80"/>
          <w:rFonts w:ascii="Times New Roman" w:hAnsi="Times New Roman"/>
        </w:rPr>
        <w:t xml:space="preserve">, au fost </w:t>
      </w:r>
      <w:r>
        <w:rPr>
          <w:rStyle w:val="FontStyle80"/>
          <w:rFonts w:ascii="Times New Roman" w:hAnsi="Times New Roman"/>
        </w:rPr>
        <w:t>alocaţi</w:t>
      </w:r>
      <w:r>
        <w:rPr>
          <w:rStyle w:val="FontStyle80"/>
          <w:rFonts w:ascii="Times New Roman" w:hAnsi="Times New Roman"/>
        </w:rPr>
        <w:t xml:space="preserve"> acestei </w:t>
      </w:r>
      <w:r>
        <w:rPr>
          <w:rStyle w:val="FontStyle80"/>
          <w:rFonts w:ascii="Times New Roman" w:hAnsi="Times New Roman"/>
        </w:rPr>
        <w:t>societăţi</w:t>
      </w:r>
      <w:r>
        <w:rPr>
          <w:rStyle w:val="FontStyle80"/>
          <w:rFonts w:ascii="Times New Roman" w:hAnsi="Times New Roman"/>
        </w:rPr>
        <w:t xml:space="preserve">, astfel încât acesta să beneficieze de </w:t>
      </w:r>
      <w:r>
        <w:rPr>
          <w:rStyle w:val="FontStyle80"/>
          <w:rFonts w:ascii="Times New Roman" w:hAnsi="Times New Roman"/>
        </w:rPr>
        <w:t>protecţie</w:t>
      </w:r>
      <w:r>
        <w:rPr>
          <w:rStyle w:val="FontStyle80"/>
          <w:rFonts w:ascii="Times New Roman" w:hAnsi="Times New Roman"/>
        </w:rPr>
        <w:t xml:space="preserve"> </w:t>
      </w:r>
      <w:r>
        <w:rPr>
          <w:rStyle w:val="FontStyle80"/>
          <w:rFonts w:ascii="Times New Roman" w:hAnsi="Times New Roman"/>
        </w:rPr>
        <w:t>faţă</w:t>
      </w:r>
      <w:r>
        <w:rPr>
          <w:rStyle w:val="FontStyle80"/>
          <w:rFonts w:ascii="Times New Roman" w:hAnsi="Times New Roman"/>
        </w:rPr>
        <w:t xml:space="preserve"> de furnizorul său Z . Astfel de acorduri nu sunt interzise, analiza </w:t>
      </w:r>
      <w:r>
        <w:rPr>
          <w:rStyle w:val="FontStyle80"/>
          <w:rFonts w:ascii="Times New Roman" w:hAnsi="Times New Roman"/>
        </w:rPr>
        <w:t>autorităţii</w:t>
      </w:r>
      <w:r>
        <w:rPr>
          <w:rStyle w:val="FontStyle80"/>
          <w:rFonts w:ascii="Times New Roman" w:hAnsi="Times New Roman"/>
        </w:rPr>
        <w:t xml:space="preserve"> fiind eronată din această perspectivă.</w:t>
      </w:r>
    </w:p>
    <w:p w:rsidR="00565124" w:rsidP="00565124" w14:paraId="0DFE4E80" w14:textId="77777777">
      <w:pPr>
        <w:pStyle w:val="Style33"/>
        <w:widowControl/>
        <w:spacing w:line="240" w:lineRule="auto"/>
        <w:ind w:firstLine="993"/>
        <w:rPr>
          <w:rStyle w:val="FontStyle84"/>
          <w:rFonts w:ascii="Times New Roman" w:hAnsi="Times New Roman"/>
        </w:rPr>
      </w:pPr>
      <w:r>
        <w:rPr>
          <w:rStyle w:val="FontStyle80"/>
          <w:rFonts w:ascii="Times New Roman" w:hAnsi="Times New Roman"/>
        </w:rPr>
        <w:t xml:space="preserve">Chiar dacă s-ar ignora aspectele anterioare referitoare la </w:t>
      </w:r>
      <w:r>
        <w:rPr>
          <w:rStyle w:val="FontStyle80"/>
          <w:rFonts w:ascii="Times New Roman" w:hAnsi="Times New Roman"/>
        </w:rPr>
        <w:t>existenţa</w:t>
      </w:r>
      <w:r>
        <w:rPr>
          <w:rStyle w:val="FontStyle80"/>
          <w:rFonts w:ascii="Times New Roman" w:hAnsi="Times New Roman"/>
        </w:rPr>
        <w:t xml:space="preserve"> sistemului de </w:t>
      </w:r>
      <w:r>
        <w:rPr>
          <w:rStyle w:val="FontStyle80"/>
          <w:rFonts w:ascii="Times New Roman" w:hAnsi="Times New Roman"/>
        </w:rPr>
        <w:t>protecţie</w:t>
      </w:r>
      <w:r>
        <w:rPr>
          <w:rStyle w:val="FontStyle80"/>
          <w:rFonts w:ascii="Times New Roman" w:hAnsi="Times New Roman"/>
        </w:rPr>
        <w:t xml:space="preserve"> </w:t>
      </w:r>
      <w:r>
        <w:rPr>
          <w:rStyle w:val="FontStyle80"/>
          <w:rFonts w:ascii="Times New Roman" w:hAnsi="Times New Roman"/>
        </w:rPr>
        <w:t>parţială</w:t>
      </w:r>
      <w:r>
        <w:rPr>
          <w:rStyle w:val="FontStyle80"/>
          <w:rFonts w:ascii="Times New Roman" w:hAnsi="Times New Roman"/>
        </w:rPr>
        <w:t xml:space="preserve">, </w:t>
      </w:r>
      <w:r>
        <w:rPr>
          <w:rStyle w:val="FontStyle80"/>
          <w:rFonts w:ascii="Times New Roman" w:hAnsi="Times New Roman"/>
        </w:rPr>
        <w:t>şi</w:t>
      </w:r>
      <w:r>
        <w:rPr>
          <w:rStyle w:val="FontStyle80"/>
          <w:rFonts w:ascii="Times New Roman" w:hAnsi="Times New Roman"/>
        </w:rPr>
        <w:t xml:space="preserve"> s-ar lua în considerare o eventuală </w:t>
      </w:r>
      <w:r>
        <w:rPr>
          <w:rStyle w:val="FontStyle84"/>
          <w:rFonts w:ascii="Times New Roman" w:hAnsi="Times New Roman"/>
        </w:rPr>
        <w:t xml:space="preserve">alocare exclusivă a clientelei </w:t>
      </w:r>
      <w:r>
        <w:rPr>
          <w:rStyle w:val="FontStyle80"/>
          <w:rFonts w:ascii="Times New Roman" w:hAnsi="Times New Roman"/>
        </w:rPr>
        <w:t xml:space="preserve">cu titlu general, ar fi relevante </w:t>
      </w:r>
      <w:r>
        <w:rPr>
          <w:rStyle w:val="FontStyle80"/>
          <w:rFonts w:ascii="Times New Roman" w:hAnsi="Times New Roman"/>
        </w:rPr>
        <w:t>dispoziţiile</w:t>
      </w:r>
      <w:r>
        <w:rPr>
          <w:rStyle w:val="FontStyle80"/>
          <w:rFonts w:ascii="Times New Roman" w:hAnsi="Times New Roman"/>
        </w:rPr>
        <w:t xml:space="preserve"> par. 168- 172 din Orientările privind </w:t>
      </w:r>
      <w:r>
        <w:rPr>
          <w:rStyle w:val="FontStyle80"/>
          <w:rFonts w:ascii="Times New Roman" w:hAnsi="Times New Roman"/>
        </w:rPr>
        <w:t>restricţiile</w:t>
      </w:r>
      <w:r>
        <w:rPr>
          <w:rStyle w:val="FontStyle80"/>
          <w:rFonts w:ascii="Times New Roman" w:hAnsi="Times New Roman"/>
        </w:rPr>
        <w:t xml:space="preserve"> verticale în sprijinul faptului că alocarea exclusivă a </w:t>
      </w:r>
      <w:r>
        <w:rPr>
          <w:rStyle w:val="FontStyle80"/>
          <w:rFonts w:ascii="Times New Roman" w:hAnsi="Times New Roman"/>
        </w:rPr>
        <w:t>clienţilor</w:t>
      </w:r>
      <w:r>
        <w:rPr>
          <w:rStyle w:val="FontStyle80"/>
          <w:rFonts w:ascii="Times New Roman" w:hAnsi="Times New Roman"/>
        </w:rPr>
        <w:t xml:space="preserve"> reprezintă doar o îngrădire minoră a </w:t>
      </w:r>
      <w:r>
        <w:rPr>
          <w:rStyle w:val="FontStyle80"/>
          <w:rFonts w:ascii="Times New Roman" w:hAnsi="Times New Roman"/>
        </w:rPr>
        <w:t>concurenţei</w:t>
      </w:r>
      <w:r>
        <w:rPr>
          <w:rStyle w:val="FontStyle80"/>
          <w:rFonts w:ascii="Times New Roman" w:hAnsi="Times New Roman"/>
        </w:rPr>
        <w:t xml:space="preserve">, ale cărei efecte pozitive prevalează în </w:t>
      </w:r>
      <w:r>
        <w:rPr>
          <w:rStyle w:val="FontStyle80"/>
          <w:rFonts w:ascii="Times New Roman" w:hAnsi="Times New Roman"/>
        </w:rPr>
        <w:t>faţa</w:t>
      </w:r>
      <w:r>
        <w:rPr>
          <w:rStyle w:val="FontStyle80"/>
          <w:rFonts w:ascii="Times New Roman" w:hAnsi="Times New Roman"/>
        </w:rPr>
        <w:t xml:space="preserve"> </w:t>
      </w:r>
      <w:r>
        <w:rPr>
          <w:rStyle w:val="FontStyle80"/>
          <w:rFonts w:ascii="Times New Roman" w:hAnsi="Times New Roman"/>
        </w:rPr>
        <w:t>potenţialelor</w:t>
      </w:r>
      <w:r>
        <w:rPr>
          <w:rStyle w:val="FontStyle80"/>
          <w:rFonts w:ascii="Times New Roman" w:hAnsi="Times New Roman"/>
        </w:rPr>
        <w:t xml:space="preserve"> efecte negative. Astfel, potrivit art. 169 din Orientările privind </w:t>
      </w:r>
      <w:r>
        <w:rPr>
          <w:rStyle w:val="FontStyle80"/>
          <w:rFonts w:ascii="Times New Roman" w:hAnsi="Times New Roman"/>
        </w:rPr>
        <w:t>restricţiile</w:t>
      </w:r>
      <w:r>
        <w:rPr>
          <w:rStyle w:val="FontStyle80"/>
          <w:rFonts w:ascii="Times New Roman" w:hAnsi="Times New Roman"/>
        </w:rPr>
        <w:t xml:space="preserve"> verticale </w:t>
      </w:r>
      <w:r>
        <w:rPr>
          <w:rStyle w:val="FontStyle84"/>
          <w:rFonts w:ascii="Times New Roman" w:hAnsi="Times New Roman"/>
        </w:rPr>
        <w:t xml:space="preserve">„Alocarea exclusivă a clientelei beneficiază de aplicarea exceptării pe categorii în cazul în care cota de </w:t>
      </w:r>
      <w:r>
        <w:rPr>
          <w:rStyle w:val="FontStyle84"/>
          <w:rFonts w:ascii="Times New Roman" w:hAnsi="Times New Roman"/>
        </w:rPr>
        <w:t>piaţă</w:t>
      </w:r>
      <w:r>
        <w:rPr>
          <w:rStyle w:val="FontStyle84"/>
          <w:rFonts w:ascii="Times New Roman" w:hAnsi="Times New Roman"/>
        </w:rPr>
        <w:t xml:space="preserve"> a furnizorului, cât </w:t>
      </w:r>
      <w:r>
        <w:rPr>
          <w:rStyle w:val="FontStyle84"/>
          <w:rFonts w:ascii="Times New Roman" w:hAnsi="Times New Roman"/>
        </w:rPr>
        <w:t>şi</w:t>
      </w:r>
      <w:r>
        <w:rPr>
          <w:rStyle w:val="FontStyle84"/>
          <w:rFonts w:ascii="Times New Roman" w:hAnsi="Times New Roman"/>
        </w:rPr>
        <w:t xml:space="preserve"> cea a cumpărătorului nu </w:t>
      </w:r>
      <w:r>
        <w:rPr>
          <w:rStyle w:val="FontStyle84"/>
          <w:rFonts w:ascii="Times New Roman" w:hAnsi="Times New Roman"/>
        </w:rPr>
        <w:t>depăşeşte</w:t>
      </w:r>
      <w:r>
        <w:rPr>
          <w:rStyle w:val="FontStyle84"/>
          <w:rFonts w:ascii="Times New Roman" w:hAnsi="Times New Roman"/>
        </w:rPr>
        <w:t xml:space="preserve"> pragul de 30 %, chiar dacă este combinată cu alte </w:t>
      </w:r>
      <w:r>
        <w:rPr>
          <w:rStyle w:val="FontStyle84"/>
          <w:rFonts w:ascii="Times New Roman" w:hAnsi="Times New Roman"/>
        </w:rPr>
        <w:t>restricţii</w:t>
      </w:r>
      <w:r>
        <w:rPr>
          <w:rStyle w:val="FontStyle84"/>
          <w:rFonts w:ascii="Times New Roman" w:hAnsi="Times New Roman"/>
        </w:rPr>
        <w:t xml:space="preserve"> verticale, altele decât </w:t>
      </w:r>
      <w:r>
        <w:rPr>
          <w:rStyle w:val="FontStyle84"/>
          <w:rFonts w:ascii="Times New Roman" w:hAnsi="Times New Roman"/>
        </w:rPr>
        <w:t>restricţiile</w:t>
      </w:r>
      <w:r>
        <w:rPr>
          <w:rStyle w:val="FontStyle84"/>
          <w:rFonts w:ascii="Times New Roman" w:hAnsi="Times New Roman"/>
        </w:rPr>
        <w:t xml:space="preserve"> grave, cum ar fi </w:t>
      </w:r>
      <w:r>
        <w:rPr>
          <w:rStyle w:val="FontStyle84"/>
          <w:rFonts w:ascii="Times New Roman" w:hAnsi="Times New Roman"/>
        </w:rPr>
        <w:t>obligaţia</w:t>
      </w:r>
      <w:r>
        <w:rPr>
          <w:rStyle w:val="FontStyle84"/>
          <w:rFonts w:ascii="Times New Roman" w:hAnsi="Times New Roman"/>
        </w:rPr>
        <w:t xml:space="preserve"> de </w:t>
      </w:r>
      <w:r>
        <w:rPr>
          <w:rStyle w:val="FontStyle84"/>
          <w:rFonts w:ascii="Times New Roman" w:hAnsi="Times New Roman"/>
        </w:rPr>
        <w:t>neconcurenţă</w:t>
      </w:r>
      <w:r>
        <w:rPr>
          <w:rStyle w:val="FontStyle84"/>
          <w:rFonts w:ascii="Times New Roman" w:hAnsi="Times New Roman"/>
        </w:rPr>
        <w:t xml:space="preserve">, impunerea cotelor sau </w:t>
      </w:r>
      <w:r>
        <w:rPr>
          <w:rStyle w:val="FontStyle84"/>
          <w:rFonts w:ascii="Times New Roman" w:hAnsi="Times New Roman"/>
        </w:rPr>
        <w:t>achiziţia</w:t>
      </w:r>
      <w:r>
        <w:rPr>
          <w:rStyle w:val="FontStyle84"/>
          <w:rFonts w:ascii="Times New Roman" w:hAnsi="Times New Roman"/>
        </w:rPr>
        <w:t xml:space="preserve"> exclusivă."</w:t>
      </w:r>
    </w:p>
    <w:p w:rsidR="00565124" w:rsidP="00565124" w14:paraId="7016416A" w14:textId="77777777">
      <w:pPr>
        <w:pStyle w:val="Style33"/>
        <w:widowControl/>
        <w:spacing w:before="5" w:line="240" w:lineRule="auto"/>
        <w:ind w:firstLine="993"/>
        <w:rPr>
          <w:rStyle w:val="FontStyle80"/>
          <w:rFonts w:ascii="Times New Roman" w:hAnsi="Times New Roman"/>
        </w:rPr>
      </w:pPr>
      <w:r>
        <w:rPr>
          <w:rStyle w:val="FontStyle80"/>
          <w:rFonts w:ascii="Times New Roman" w:hAnsi="Times New Roman"/>
        </w:rPr>
        <w:t xml:space="preserve">Se poate observa că fapta constatată în cauză se referă la alocarea anumitor </w:t>
      </w:r>
      <w:r>
        <w:rPr>
          <w:rStyle w:val="FontStyle80"/>
          <w:rFonts w:ascii="Times New Roman" w:hAnsi="Times New Roman"/>
        </w:rPr>
        <w:t>clienţi</w:t>
      </w:r>
      <w:r>
        <w:rPr>
          <w:rStyle w:val="FontStyle80"/>
          <w:rFonts w:ascii="Times New Roman" w:hAnsi="Times New Roman"/>
        </w:rPr>
        <w:t xml:space="preserve">, în cadrul </w:t>
      </w:r>
      <w:r>
        <w:rPr>
          <w:rStyle w:val="FontStyle80"/>
          <w:rFonts w:ascii="Times New Roman" w:hAnsi="Times New Roman"/>
        </w:rPr>
        <w:t>relaţiei</w:t>
      </w:r>
      <w:r>
        <w:rPr>
          <w:rStyle w:val="FontStyle80"/>
          <w:rFonts w:ascii="Times New Roman" w:hAnsi="Times New Roman"/>
        </w:rPr>
        <w:t xml:space="preserve"> verticale Z -X , către acesta din urmă, care furniza servicii integrate unor </w:t>
      </w:r>
      <w:r>
        <w:rPr>
          <w:rStyle w:val="FontStyle80"/>
          <w:rFonts w:ascii="Times New Roman" w:hAnsi="Times New Roman"/>
        </w:rPr>
        <w:t>clienţi</w:t>
      </w:r>
      <w:r>
        <w:rPr>
          <w:rStyle w:val="FontStyle80"/>
          <w:rFonts w:ascii="Times New Roman" w:hAnsi="Times New Roman"/>
        </w:rPr>
        <w:t xml:space="preserve"> cu care avea </w:t>
      </w:r>
      <w:r>
        <w:rPr>
          <w:rStyle w:val="FontStyle80"/>
          <w:rFonts w:ascii="Times New Roman" w:hAnsi="Times New Roman"/>
        </w:rPr>
        <w:t>relaţii</w:t>
      </w:r>
      <w:r>
        <w:rPr>
          <w:rStyle w:val="FontStyle80"/>
          <w:rFonts w:ascii="Times New Roman" w:hAnsi="Times New Roman"/>
        </w:rPr>
        <w:t xml:space="preserve"> comerciale de lungă durată. Aceasta se realiza în scopul oferirii unor servicii complete de către X , în beneficiul clientului final, care plătea o singură companie pentru furnizarea unor servicii complete. În calitate de furnizor de servicii de </w:t>
      </w:r>
      <w:r>
        <w:rPr>
          <w:rStyle w:val="FontStyle80"/>
          <w:rFonts w:ascii="Times New Roman" w:hAnsi="Times New Roman"/>
        </w:rPr>
        <w:t>distribuţie</w:t>
      </w:r>
      <w:r>
        <w:rPr>
          <w:rStyle w:val="FontStyle80"/>
          <w:rFonts w:ascii="Times New Roman" w:hAnsi="Times New Roman"/>
        </w:rPr>
        <w:t xml:space="preserve"> integrată X  este constant direct interesat în a-i propune clientului cele mai bune oferte </w:t>
      </w:r>
      <w:r>
        <w:rPr>
          <w:rStyle w:val="FontStyle80"/>
          <w:rFonts w:ascii="Times New Roman" w:hAnsi="Times New Roman"/>
        </w:rPr>
        <w:t>şi</w:t>
      </w:r>
      <w:r>
        <w:rPr>
          <w:rStyle w:val="FontStyle80"/>
          <w:rFonts w:ascii="Times New Roman" w:hAnsi="Times New Roman"/>
        </w:rPr>
        <w:t xml:space="preserve"> nu are absolut niciun alt interes de a promova Z  decât pentru </w:t>
      </w:r>
      <w:r>
        <w:rPr>
          <w:rStyle w:val="FontStyle80"/>
          <w:rFonts w:ascii="Times New Roman" w:hAnsi="Times New Roman"/>
        </w:rPr>
        <w:t>preţurile</w:t>
      </w:r>
      <w:r>
        <w:rPr>
          <w:rStyle w:val="FontStyle80"/>
          <w:rFonts w:ascii="Times New Roman" w:hAnsi="Times New Roman"/>
        </w:rPr>
        <w:t xml:space="preserve"> competitive, </w:t>
      </w:r>
      <w:r>
        <w:rPr>
          <w:rStyle w:val="FontStyle80"/>
          <w:rFonts w:ascii="Times New Roman" w:hAnsi="Times New Roman"/>
        </w:rPr>
        <w:t>consultanţa</w:t>
      </w:r>
      <w:r>
        <w:rPr>
          <w:rStyle w:val="FontStyle80"/>
          <w:rFonts w:ascii="Times New Roman" w:hAnsi="Times New Roman"/>
        </w:rPr>
        <w:t xml:space="preserve"> tehnică specializată, adaptarea produselor la cererile particulare ale </w:t>
      </w:r>
      <w:r>
        <w:rPr>
          <w:rStyle w:val="FontStyle80"/>
          <w:rFonts w:ascii="Times New Roman" w:hAnsi="Times New Roman"/>
        </w:rPr>
        <w:t>clienţilor</w:t>
      </w:r>
      <w:r>
        <w:rPr>
          <w:rStyle w:val="FontStyle80"/>
          <w:rFonts w:ascii="Times New Roman" w:hAnsi="Times New Roman"/>
        </w:rPr>
        <w:t xml:space="preserve">, dacă </w:t>
      </w:r>
      <w:r>
        <w:rPr>
          <w:rStyle w:val="FontStyle80"/>
          <w:rFonts w:ascii="Times New Roman" w:hAnsi="Times New Roman"/>
        </w:rPr>
        <w:t>şi</w:t>
      </w:r>
      <w:r>
        <w:rPr>
          <w:rStyle w:val="FontStyle80"/>
          <w:rFonts w:ascii="Times New Roman" w:hAnsi="Times New Roman"/>
        </w:rPr>
        <w:t xml:space="preserve"> când acestea prevalează în </w:t>
      </w:r>
      <w:r>
        <w:rPr>
          <w:rStyle w:val="FontStyle80"/>
          <w:rFonts w:ascii="Times New Roman" w:hAnsi="Times New Roman"/>
        </w:rPr>
        <w:t>faţa</w:t>
      </w:r>
      <w:r>
        <w:rPr>
          <w:rStyle w:val="FontStyle80"/>
          <w:rFonts w:ascii="Times New Roman" w:hAnsi="Times New Roman"/>
        </w:rPr>
        <w:t xml:space="preserve"> altor competitori. Dovadă incontestabilă este faptul că X  are peste 8000 de furnizori în portofoliul său iar peste 54% din echipamentele de </w:t>
      </w:r>
      <w:r>
        <w:rPr>
          <w:rStyle w:val="FontStyle80"/>
          <w:rFonts w:ascii="Times New Roman" w:hAnsi="Times New Roman"/>
        </w:rPr>
        <w:t>protecţie</w:t>
      </w:r>
      <w:r>
        <w:rPr>
          <w:rStyle w:val="FontStyle80"/>
          <w:rFonts w:ascii="Times New Roman" w:hAnsi="Times New Roman"/>
        </w:rPr>
        <w:t xml:space="preserve"> a muncii furnizate de X  </w:t>
      </w:r>
      <w:r>
        <w:rPr>
          <w:rStyle w:val="FontStyle80"/>
          <w:rFonts w:ascii="Times New Roman" w:hAnsi="Times New Roman"/>
        </w:rPr>
        <w:t>clienţilor</w:t>
      </w:r>
      <w:r>
        <w:rPr>
          <w:rStyle w:val="FontStyle80"/>
          <w:rFonts w:ascii="Times New Roman" w:hAnsi="Times New Roman"/>
        </w:rPr>
        <w:t xml:space="preserve"> săi provin de la </w:t>
      </w:r>
      <w:r>
        <w:rPr>
          <w:rStyle w:val="FontStyle80"/>
          <w:rFonts w:ascii="Times New Roman" w:hAnsi="Times New Roman"/>
        </w:rPr>
        <w:t>concurenţii</w:t>
      </w:r>
      <w:r>
        <w:rPr>
          <w:rStyle w:val="FontStyle80"/>
          <w:rFonts w:ascii="Times New Roman" w:hAnsi="Times New Roman"/>
        </w:rPr>
        <w:t xml:space="preserve"> Z .</w:t>
      </w:r>
    </w:p>
    <w:p w:rsidR="00565124" w:rsidP="00565124" w14:paraId="20D87333" w14:textId="77777777">
      <w:pPr>
        <w:ind w:firstLine="993"/>
        <w:jc w:val="both"/>
        <w:rPr>
          <w:rStyle w:val="FontStyle80"/>
        </w:rPr>
      </w:pPr>
      <w:r>
        <w:rPr>
          <w:rStyle w:val="FontStyle80"/>
        </w:rPr>
        <w:t xml:space="preserve">Prin urmare, oricare ar fi ipoteza în care ne aflăm (sistem de </w:t>
      </w:r>
      <w:r>
        <w:rPr>
          <w:rStyle w:val="FontStyle80"/>
        </w:rPr>
        <w:t>protecţie</w:t>
      </w:r>
      <w:r>
        <w:rPr>
          <w:rStyle w:val="FontStyle80"/>
        </w:rPr>
        <w:t xml:space="preserve"> </w:t>
      </w:r>
      <w:r>
        <w:rPr>
          <w:rStyle w:val="FontStyle80"/>
        </w:rPr>
        <w:t>parţială</w:t>
      </w:r>
      <w:r>
        <w:rPr>
          <w:rStyle w:val="FontStyle80"/>
        </w:rPr>
        <w:t xml:space="preserve">/alocare exclusivă a clientelei) se poate afirma că, în cadrul </w:t>
      </w:r>
      <w:r>
        <w:rPr>
          <w:rStyle w:val="FontStyle80"/>
        </w:rPr>
        <w:t>relaţiilor</w:t>
      </w:r>
      <w:r>
        <w:rPr>
          <w:rStyle w:val="FontStyle80"/>
        </w:rPr>
        <w:t xml:space="preserve"> verticale dintre producător/furnizor </w:t>
      </w:r>
      <w:r>
        <w:rPr>
          <w:rStyle w:val="FontStyle80"/>
        </w:rPr>
        <w:t>şi</w:t>
      </w:r>
      <w:r>
        <w:rPr>
          <w:rStyle w:val="FontStyle80"/>
        </w:rPr>
        <w:t xml:space="preserve"> distribuitorul său nu poate fi </w:t>
      </w:r>
      <w:r>
        <w:rPr>
          <w:rStyle w:val="FontStyle80"/>
        </w:rPr>
        <w:t>reţinută</w:t>
      </w:r>
      <w:r>
        <w:rPr>
          <w:rStyle w:val="FontStyle80"/>
        </w:rPr>
        <w:t xml:space="preserve"> o </w:t>
      </w:r>
      <w:r>
        <w:rPr>
          <w:rStyle w:val="FontStyle84"/>
        </w:rPr>
        <w:t xml:space="preserve">încălcare per se </w:t>
      </w:r>
      <w:r>
        <w:rPr>
          <w:rStyle w:val="FontStyle80"/>
        </w:rPr>
        <w:t xml:space="preserve">a </w:t>
      </w:r>
      <w:r>
        <w:rPr>
          <w:rStyle w:val="FontStyle80"/>
        </w:rPr>
        <w:t>legislaţiei</w:t>
      </w:r>
      <w:r>
        <w:rPr>
          <w:rStyle w:val="FontStyle80"/>
        </w:rPr>
        <w:t xml:space="preserve"> </w:t>
      </w:r>
      <w:r>
        <w:rPr>
          <w:rStyle w:val="FontStyle80"/>
        </w:rPr>
        <w:t>concurenţei</w:t>
      </w:r>
      <w:r>
        <w:rPr>
          <w:rStyle w:val="FontStyle80"/>
        </w:rPr>
        <w:t xml:space="preserve">, ceea ce conduce la concluzia că analiza din Decizie este una eronată întrucât decizia exact acest aspect îl constată (încălcare prin obiect de </w:t>
      </w:r>
      <w:r>
        <w:rPr>
          <w:rStyle w:val="FontStyle80"/>
        </w:rPr>
        <w:t>împărţire</w:t>
      </w:r>
      <w:r>
        <w:rPr>
          <w:rStyle w:val="FontStyle80"/>
        </w:rPr>
        <w:t xml:space="preserve"> a </w:t>
      </w:r>
      <w:r>
        <w:rPr>
          <w:rStyle w:val="FontStyle80"/>
        </w:rPr>
        <w:t>clienţilor</w:t>
      </w:r>
      <w:r>
        <w:rPr>
          <w:rStyle w:val="FontStyle80"/>
        </w:rPr>
        <w:t xml:space="preserve">). </w:t>
      </w:r>
    </w:p>
    <w:p w:rsidR="00565124" w:rsidP="00565124" w14:paraId="2AC83063" w14:textId="77777777">
      <w:pPr>
        <w:ind w:firstLine="993"/>
        <w:jc w:val="both"/>
        <w:rPr>
          <w:i/>
        </w:rPr>
      </w:pPr>
      <w:r>
        <w:rPr>
          <w:i/>
        </w:rPr>
        <w:t>c) decizia nu conferă certitudine asupra caracterului unic al faptei contestate</w:t>
      </w:r>
    </w:p>
    <w:p w:rsidR="00565124" w:rsidP="00565124" w14:paraId="5CF51D08" w14:textId="77777777">
      <w:pPr>
        <w:pStyle w:val="Style27"/>
        <w:widowControl/>
        <w:tabs>
          <w:tab w:val="left" w:pos="802"/>
        </w:tabs>
        <w:spacing w:line="240" w:lineRule="auto"/>
        <w:ind w:firstLine="993"/>
        <w:rPr>
          <w:rStyle w:val="FontStyle80"/>
          <w:rFonts w:ascii="Times New Roman" w:hAnsi="Times New Roman"/>
        </w:rPr>
      </w:pPr>
      <w:r>
        <w:rPr>
          <w:rStyle w:val="FontStyle80"/>
          <w:rFonts w:ascii="Times New Roman" w:hAnsi="Times New Roman"/>
        </w:rPr>
        <w:t xml:space="preserve">Decizia vizează </w:t>
      </w:r>
      <w:r>
        <w:rPr>
          <w:rStyle w:val="FontStyle84"/>
          <w:rFonts w:ascii="Times New Roman" w:hAnsi="Times New Roman"/>
        </w:rPr>
        <w:t xml:space="preserve">"încheierea unei </w:t>
      </w:r>
      <w:r>
        <w:rPr>
          <w:rStyle w:val="FontStyle84"/>
          <w:rFonts w:ascii="Times New Roman" w:hAnsi="Times New Roman"/>
        </w:rPr>
        <w:t>înţelegeri</w:t>
      </w:r>
      <w:r>
        <w:rPr>
          <w:rStyle w:val="FontStyle84"/>
          <w:rFonts w:ascii="Times New Roman" w:hAnsi="Times New Roman"/>
        </w:rPr>
        <w:t xml:space="preserve">/practici concertate de </w:t>
      </w:r>
      <w:r>
        <w:rPr>
          <w:rStyle w:val="FontStyle84"/>
          <w:rFonts w:ascii="Times New Roman" w:hAnsi="Times New Roman"/>
        </w:rPr>
        <w:t>împărţire</w:t>
      </w:r>
      <w:r>
        <w:rPr>
          <w:rStyle w:val="FontStyle84"/>
          <w:rFonts w:ascii="Times New Roman" w:hAnsi="Times New Roman"/>
        </w:rPr>
        <w:t xml:space="preserve"> a </w:t>
      </w:r>
      <w:r>
        <w:rPr>
          <w:rStyle w:val="FontStyle84"/>
          <w:rFonts w:ascii="Times New Roman" w:hAnsi="Times New Roman"/>
        </w:rPr>
        <w:t>pieţei</w:t>
      </w:r>
      <w:r>
        <w:rPr>
          <w:rStyle w:val="FontStyle84"/>
          <w:rFonts w:ascii="Times New Roman" w:hAnsi="Times New Roman"/>
        </w:rPr>
        <w:t xml:space="preserve">, prin alocarea </w:t>
      </w:r>
      <w:r>
        <w:rPr>
          <w:rStyle w:val="FontStyle84"/>
          <w:rFonts w:ascii="Times New Roman" w:hAnsi="Times New Roman"/>
        </w:rPr>
        <w:t>clienţilor</w:t>
      </w:r>
      <w:r>
        <w:rPr>
          <w:rStyle w:val="FontStyle84"/>
          <w:rFonts w:ascii="Times New Roman" w:hAnsi="Times New Roman"/>
        </w:rPr>
        <w:t xml:space="preserve"> </w:t>
      </w:r>
      <w:r>
        <w:rPr>
          <w:rStyle w:val="FontStyle84"/>
          <w:rFonts w:ascii="Times New Roman" w:hAnsi="Times New Roman"/>
        </w:rPr>
        <w:t>şi</w:t>
      </w:r>
      <w:r>
        <w:rPr>
          <w:rStyle w:val="FontStyle84"/>
          <w:rFonts w:ascii="Times New Roman" w:hAnsi="Times New Roman"/>
        </w:rPr>
        <w:t xml:space="preserve"> a produselor, cu elemente de coordonare a </w:t>
      </w:r>
      <w:r>
        <w:rPr>
          <w:rStyle w:val="FontStyle84"/>
          <w:rFonts w:ascii="Times New Roman" w:hAnsi="Times New Roman"/>
        </w:rPr>
        <w:t>preţurilor</w:t>
      </w:r>
      <w:r>
        <w:rPr>
          <w:rStyle w:val="FontStyle84"/>
          <w:rFonts w:ascii="Times New Roman" w:hAnsi="Times New Roman"/>
        </w:rPr>
        <w:t xml:space="preserve">" </w:t>
      </w:r>
      <w:r>
        <w:rPr>
          <w:rStyle w:val="FontStyle80"/>
          <w:rFonts w:ascii="Times New Roman" w:hAnsi="Times New Roman"/>
        </w:rPr>
        <w:t xml:space="preserve">(art. 1 din dispozitiv). Prin urmare, </w:t>
      </w:r>
      <w:r>
        <w:rPr>
          <w:rStyle w:val="FontStyle80"/>
          <w:rFonts w:ascii="Times New Roman" w:hAnsi="Times New Roman"/>
        </w:rPr>
        <w:t>deşi</w:t>
      </w:r>
      <w:r>
        <w:rPr>
          <w:rStyle w:val="FontStyle80"/>
          <w:rFonts w:ascii="Times New Roman" w:hAnsi="Times New Roman"/>
        </w:rPr>
        <w:t xml:space="preserve"> nu o afirmă expres, decizia Consiliului a </w:t>
      </w:r>
      <w:r>
        <w:rPr>
          <w:rStyle w:val="FontStyle80"/>
          <w:rFonts w:ascii="Times New Roman" w:hAnsi="Times New Roman"/>
        </w:rPr>
        <w:t>sancţionat</w:t>
      </w:r>
      <w:r>
        <w:rPr>
          <w:rStyle w:val="FontStyle80"/>
          <w:rFonts w:ascii="Times New Roman" w:hAnsi="Times New Roman"/>
        </w:rPr>
        <w:t xml:space="preserve"> o faptă unică, nefiind clar despre ce fel de unicitate este vorba (unică </w:t>
      </w:r>
      <w:r>
        <w:rPr>
          <w:rStyle w:val="FontStyle80"/>
          <w:rFonts w:ascii="Times New Roman" w:hAnsi="Times New Roman"/>
        </w:rPr>
        <w:t>şi</w:t>
      </w:r>
      <w:r>
        <w:rPr>
          <w:rStyle w:val="FontStyle80"/>
          <w:rFonts w:ascii="Times New Roman" w:hAnsi="Times New Roman"/>
        </w:rPr>
        <w:t xml:space="preserve"> continuă, unică </w:t>
      </w:r>
      <w:r>
        <w:rPr>
          <w:rStyle w:val="FontStyle80"/>
          <w:rFonts w:ascii="Times New Roman" w:hAnsi="Times New Roman"/>
        </w:rPr>
        <w:t>şi</w:t>
      </w:r>
      <w:r>
        <w:rPr>
          <w:rStyle w:val="FontStyle80"/>
          <w:rFonts w:ascii="Times New Roman" w:hAnsi="Times New Roman"/>
        </w:rPr>
        <w:t xml:space="preserve"> complexă sau unică </w:t>
      </w:r>
      <w:r>
        <w:rPr>
          <w:rStyle w:val="FontStyle80"/>
          <w:rFonts w:ascii="Times New Roman" w:hAnsi="Times New Roman"/>
        </w:rPr>
        <w:t>şi</w:t>
      </w:r>
      <w:r>
        <w:rPr>
          <w:rStyle w:val="FontStyle80"/>
          <w:rFonts w:ascii="Times New Roman" w:hAnsi="Times New Roman"/>
        </w:rPr>
        <w:t xml:space="preserve"> repetată).</w:t>
      </w:r>
    </w:p>
    <w:p w:rsidR="00565124" w:rsidP="00565124" w14:paraId="4267984B" w14:textId="77777777">
      <w:pPr>
        <w:pStyle w:val="Style27"/>
        <w:widowControl/>
        <w:tabs>
          <w:tab w:val="left" w:pos="802"/>
        </w:tabs>
        <w:spacing w:before="245" w:line="240" w:lineRule="auto"/>
        <w:ind w:firstLine="993"/>
        <w:rPr>
          <w:rStyle w:val="FontStyle80"/>
          <w:rFonts w:ascii="Times New Roman" w:hAnsi="Times New Roman"/>
          <w:b/>
        </w:rPr>
      </w:pPr>
      <w:r>
        <w:rPr>
          <w:rStyle w:val="FontStyle80"/>
          <w:rFonts w:ascii="Times New Roman" w:hAnsi="Times New Roman"/>
        </w:rPr>
        <w:t xml:space="preserve">Unicitatea faptei rezultă totodată din modalitatea de </w:t>
      </w:r>
      <w:r>
        <w:rPr>
          <w:rStyle w:val="FontStyle80"/>
          <w:rFonts w:ascii="Times New Roman" w:hAnsi="Times New Roman"/>
        </w:rPr>
        <w:t>sancţionare</w:t>
      </w:r>
      <w:r>
        <w:rPr>
          <w:rStyle w:val="FontStyle80"/>
          <w:rFonts w:ascii="Times New Roman" w:hAnsi="Times New Roman"/>
        </w:rPr>
        <w:t xml:space="preserve"> abordată de autoritate, întrucât, în ipoteza în care anumite întreprinderi ar fi implicate în încălcări diferite, chiar constatate prin </w:t>
      </w:r>
      <w:r>
        <w:rPr>
          <w:rStyle w:val="FontStyle80"/>
          <w:rFonts w:ascii="Times New Roman" w:hAnsi="Times New Roman"/>
        </w:rPr>
        <w:t>aceeaşi</w:t>
      </w:r>
      <w:r>
        <w:rPr>
          <w:rStyle w:val="FontStyle80"/>
          <w:rFonts w:ascii="Times New Roman" w:hAnsi="Times New Roman"/>
        </w:rPr>
        <w:t xml:space="preserve"> decizie, ele ar trebui </w:t>
      </w:r>
      <w:r>
        <w:rPr>
          <w:rStyle w:val="FontStyle80"/>
          <w:rFonts w:ascii="Times New Roman" w:hAnsi="Times New Roman"/>
        </w:rPr>
        <w:t>sancţionate</w:t>
      </w:r>
      <w:r>
        <w:rPr>
          <w:rStyle w:val="FontStyle80"/>
          <w:rFonts w:ascii="Times New Roman" w:hAnsi="Times New Roman"/>
        </w:rPr>
        <w:t xml:space="preserve"> separat. Cu privire la această chestiune dispozitivul deciziei contestate este clar, constatând </w:t>
      </w:r>
      <w:r>
        <w:rPr>
          <w:rStyle w:val="FontStyle80"/>
          <w:rFonts w:ascii="Times New Roman" w:hAnsi="Times New Roman"/>
        </w:rPr>
        <w:t>şi</w:t>
      </w:r>
      <w:r>
        <w:rPr>
          <w:rStyle w:val="FontStyle80"/>
          <w:rFonts w:ascii="Times New Roman" w:hAnsi="Times New Roman"/>
        </w:rPr>
        <w:t xml:space="preserve"> </w:t>
      </w:r>
      <w:r>
        <w:rPr>
          <w:rStyle w:val="FontStyle80"/>
          <w:rFonts w:ascii="Times New Roman" w:hAnsi="Times New Roman"/>
        </w:rPr>
        <w:t>sancţionând</w:t>
      </w:r>
      <w:r>
        <w:rPr>
          <w:rStyle w:val="FontStyle80"/>
          <w:rFonts w:ascii="Times New Roman" w:hAnsi="Times New Roman"/>
        </w:rPr>
        <w:t xml:space="preserve"> participarea la </w:t>
      </w:r>
      <w:r>
        <w:rPr>
          <w:rStyle w:val="FontStyle78"/>
          <w:rFonts w:ascii="Times New Roman" w:hAnsi="Times New Roman"/>
        </w:rPr>
        <w:t>o singură faptă.</w:t>
      </w:r>
    </w:p>
    <w:p w:rsidR="00565124" w:rsidP="00565124" w14:paraId="1B4A4DAA" w14:textId="77777777">
      <w:pPr>
        <w:pStyle w:val="Style33"/>
        <w:widowControl/>
        <w:spacing w:before="5" w:line="240" w:lineRule="auto"/>
        <w:ind w:firstLine="993"/>
        <w:rPr>
          <w:rStyle w:val="FontStyle80"/>
          <w:rFonts w:ascii="Times New Roman" w:hAnsi="Times New Roman"/>
        </w:rPr>
      </w:pPr>
      <w:r>
        <w:rPr>
          <w:rStyle w:val="FontStyle80"/>
          <w:rFonts w:ascii="Times New Roman" w:hAnsi="Times New Roman"/>
        </w:rPr>
        <w:t xml:space="preserve">În această cauză nu suntem în ipoteza clasică de încălcare orizontală în care Z  împreună cu </w:t>
      </w:r>
      <w:r>
        <w:rPr>
          <w:rStyle w:val="FontStyle80"/>
          <w:rFonts w:ascii="Times New Roman" w:hAnsi="Times New Roman"/>
        </w:rPr>
        <w:t>alţi</w:t>
      </w:r>
      <w:r>
        <w:rPr>
          <w:rStyle w:val="FontStyle80"/>
          <w:rFonts w:ascii="Times New Roman" w:hAnsi="Times New Roman"/>
        </w:rPr>
        <w:t xml:space="preserve"> jucători de pe </w:t>
      </w:r>
      <w:r>
        <w:rPr>
          <w:rStyle w:val="FontStyle80"/>
          <w:rFonts w:ascii="Times New Roman" w:hAnsi="Times New Roman"/>
        </w:rPr>
        <w:t>piaţa</w:t>
      </w:r>
      <w:r>
        <w:rPr>
          <w:rStyle w:val="FontStyle80"/>
          <w:rFonts w:ascii="Times New Roman" w:hAnsi="Times New Roman"/>
        </w:rPr>
        <w:t xml:space="preserve"> </w:t>
      </w:r>
      <w:r>
        <w:rPr>
          <w:rStyle w:val="FontStyle80"/>
          <w:rFonts w:ascii="Times New Roman" w:hAnsi="Times New Roman"/>
        </w:rPr>
        <w:t>producţiei</w:t>
      </w:r>
      <w:r>
        <w:rPr>
          <w:rStyle w:val="FontStyle80"/>
          <w:rFonts w:ascii="Times New Roman" w:hAnsi="Times New Roman"/>
        </w:rPr>
        <w:t xml:space="preserve">/ comercializării </w:t>
      </w:r>
      <w:r>
        <w:rPr>
          <w:rStyle w:val="FontStyle80"/>
          <w:rFonts w:ascii="Times New Roman" w:hAnsi="Times New Roman"/>
        </w:rPr>
        <w:t>şi</w:t>
      </w:r>
      <w:r>
        <w:rPr>
          <w:rStyle w:val="FontStyle80"/>
          <w:rFonts w:ascii="Times New Roman" w:hAnsi="Times New Roman"/>
        </w:rPr>
        <w:t xml:space="preserve">-au </w:t>
      </w:r>
      <w:r>
        <w:rPr>
          <w:rStyle w:val="FontStyle80"/>
          <w:rFonts w:ascii="Times New Roman" w:hAnsi="Times New Roman"/>
        </w:rPr>
        <w:t>împărţit</w:t>
      </w:r>
      <w:r>
        <w:rPr>
          <w:rStyle w:val="FontStyle80"/>
          <w:rFonts w:ascii="Times New Roman" w:hAnsi="Times New Roman"/>
        </w:rPr>
        <w:t xml:space="preserve"> o anumită </w:t>
      </w:r>
      <w:r>
        <w:rPr>
          <w:rStyle w:val="FontStyle80"/>
          <w:rFonts w:ascii="Times New Roman" w:hAnsi="Times New Roman"/>
        </w:rPr>
        <w:t>piaţă</w:t>
      </w:r>
      <w:r>
        <w:rPr>
          <w:rStyle w:val="FontStyle80"/>
          <w:rFonts w:ascii="Times New Roman" w:hAnsi="Times New Roman"/>
        </w:rPr>
        <w:t xml:space="preserve"> în temeiul colaborării pe orizontală, cunoscând </w:t>
      </w:r>
      <w:r>
        <w:rPr>
          <w:rStyle w:val="FontStyle80"/>
          <w:rFonts w:ascii="Times New Roman" w:hAnsi="Times New Roman"/>
        </w:rPr>
        <w:t>toţi</w:t>
      </w:r>
      <w:r>
        <w:rPr>
          <w:rStyle w:val="FontStyle80"/>
          <w:rFonts w:ascii="Times New Roman" w:hAnsi="Times New Roman"/>
        </w:rPr>
        <w:t xml:space="preserve"> dimensiunea completă a </w:t>
      </w:r>
      <w:r>
        <w:rPr>
          <w:rStyle w:val="FontStyle80"/>
          <w:rFonts w:ascii="Times New Roman" w:hAnsi="Times New Roman"/>
        </w:rPr>
        <w:t>împărţirii</w:t>
      </w:r>
      <w:r>
        <w:rPr>
          <w:rStyle w:val="FontStyle80"/>
          <w:rFonts w:ascii="Times New Roman" w:hAnsi="Times New Roman"/>
        </w:rPr>
        <w:t xml:space="preserve">, ci într-o </w:t>
      </w:r>
      <w:r>
        <w:rPr>
          <w:rStyle w:val="FontStyle80"/>
          <w:rFonts w:ascii="Times New Roman" w:hAnsi="Times New Roman"/>
        </w:rPr>
        <w:t>situaţie</w:t>
      </w:r>
      <w:r>
        <w:rPr>
          <w:rStyle w:val="FontStyle80"/>
          <w:rFonts w:ascii="Times New Roman" w:hAnsi="Times New Roman"/>
        </w:rPr>
        <w:t xml:space="preserve"> diferită, care decurge din </w:t>
      </w:r>
      <w:r>
        <w:rPr>
          <w:rStyle w:val="FontStyle80"/>
          <w:rFonts w:ascii="Times New Roman" w:hAnsi="Times New Roman"/>
        </w:rPr>
        <w:t>relaţia</w:t>
      </w:r>
      <w:r>
        <w:rPr>
          <w:rStyle w:val="FontStyle80"/>
          <w:rFonts w:ascii="Times New Roman" w:hAnsi="Times New Roman"/>
        </w:rPr>
        <w:t xml:space="preserve"> Z  cu fiecare dintre întreprinderile de la nivelul comercializării.</w:t>
      </w:r>
    </w:p>
    <w:p w:rsidR="00565124" w:rsidP="00565124" w14:paraId="0C923320" w14:textId="77777777">
      <w:pPr>
        <w:ind w:firstLine="993"/>
        <w:jc w:val="both"/>
        <w:rPr>
          <w:rStyle w:val="FontStyle85"/>
          <w:b w:val="0"/>
        </w:rPr>
      </w:pPr>
      <w:r>
        <w:rPr>
          <w:rStyle w:val="FontStyle80"/>
        </w:rPr>
        <w:t xml:space="preserve">Întreprinderile de la nivelul comercializării nu aveau o imagine completă asupra comportamentului de ansamblu, fiecare fiind </w:t>
      </w:r>
      <w:r>
        <w:rPr>
          <w:rStyle w:val="FontStyle80"/>
        </w:rPr>
        <w:t>conştient</w:t>
      </w:r>
      <w:r>
        <w:rPr>
          <w:rStyle w:val="FontStyle80"/>
        </w:rPr>
        <w:t xml:space="preserve"> strict de </w:t>
      </w:r>
      <w:r>
        <w:rPr>
          <w:rStyle w:val="FontStyle80"/>
        </w:rPr>
        <w:t>relaţia</w:t>
      </w:r>
      <w:r>
        <w:rPr>
          <w:rStyle w:val="FontStyle80"/>
        </w:rPr>
        <w:t xml:space="preserve"> verticală cu întreprinderea Z . Acest aspect este important întrucât standardul de probă instituit la nivelul </w:t>
      </w:r>
      <w:r>
        <w:rPr>
          <w:rStyle w:val="FontStyle80"/>
        </w:rPr>
        <w:t>jurisprudenţei</w:t>
      </w:r>
      <w:r>
        <w:rPr>
          <w:rStyle w:val="FontStyle80"/>
        </w:rPr>
        <w:t xml:space="preserve"> CJUE cu privire la faptele unice </w:t>
      </w:r>
      <w:r>
        <w:rPr>
          <w:rStyle w:val="FontStyle80"/>
        </w:rPr>
        <w:t>şi</w:t>
      </w:r>
      <w:r>
        <w:rPr>
          <w:rStyle w:val="FontStyle80"/>
        </w:rPr>
        <w:t xml:space="preserve"> continue/complexe impune ca autoritatea de </w:t>
      </w:r>
      <w:r>
        <w:rPr>
          <w:rStyle w:val="FontStyle80"/>
        </w:rPr>
        <w:t>concurenţă</w:t>
      </w:r>
      <w:r>
        <w:rPr>
          <w:rStyle w:val="FontStyle80"/>
        </w:rPr>
        <w:t xml:space="preserve"> să demonstreze că un participant la o faptă unică </w:t>
      </w:r>
      <w:r>
        <w:rPr>
          <w:rStyle w:val="FontStyle85"/>
        </w:rPr>
        <w:t>"</w:t>
      </w:r>
      <w:r>
        <w:rPr>
          <w:rStyle w:val="FontStyle85"/>
        </w:rPr>
        <w:t>intenţiona</w:t>
      </w:r>
      <w:r>
        <w:rPr>
          <w:rStyle w:val="FontStyle85"/>
        </w:rPr>
        <w:t xml:space="preserve"> să contribuie prin propriul comportament la obiectivele comune urmărite de </w:t>
      </w:r>
      <w:r>
        <w:rPr>
          <w:rStyle w:val="FontStyle85"/>
        </w:rPr>
        <w:t>toţi</w:t>
      </w:r>
      <w:r>
        <w:rPr>
          <w:rStyle w:val="FontStyle85"/>
        </w:rPr>
        <w:t xml:space="preserve"> </w:t>
      </w:r>
      <w:r>
        <w:rPr>
          <w:rStyle w:val="FontStyle85"/>
        </w:rPr>
        <w:t>participanţii</w:t>
      </w:r>
      <w:r>
        <w:rPr>
          <w:rStyle w:val="FontStyle85"/>
        </w:rPr>
        <w:t xml:space="preserve"> </w:t>
      </w:r>
      <w:r>
        <w:rPr>
          <w:rStyle w:val="FontStyle85"/>
        </w:rPr>
        <w:t>şi</w:t>
      </w:r>
      <w:r>
        <w:rPr>
          <w:rStyle w:val="FontStyle85"/>
        </w:rPr>
        <w:t xml:space="preserve"> că </w:t>
      </w:r>
      <w:r>
        <w:rPr>
          <w:rStyle w:val="FontStyle85"/>
        </w:rPr>
        <w:t>cunoştea</w:t>
      </w:r>
      <w:r>
        <w:rPr>
          <w:rStyle w:val="FontStyle85"/>
        </w:rPr>
        <w:t xml:space="preserve"> comportamentele ilicite urmărite sau puse în aplicare de alte întreprinderi pentru atingerea </w:t>
      </w:r>
      <w:r>
        <w:rPr>
          <w:rStyle w:val="FontStyle85"/>
        </w:rPr>
        <w:t>aceloraşi</w:t>
      </w:r>
      <w:r>
        <w:rPr>
          <w:rStyle w:val="FontStyle85"/>
        </w:rPr>
        <w:t xml:space="preserve"> obiective sau că putea să le prevadă în mod rezonabil </w:t>
      </w:r>
      <w:r>
        <w:rPr>
          <w:rStyle w:val="FontStyle85"/>
        </w:rPr>
        <w:t>şi</w:t>
      </w:r>
      <w:r>
        <w:rPr>
          <w:rStyle w:val="FontStyle85"/>
        </w:rPr>
        <w:t xml:space="preserve"> că era pregătită să accepte riscul ce decurge din acestea (Hotărârea Comisia/</w:t>
      </w:r>
      <w:r>
        <w:rPr>
          <w:rStyle w:val="FontStyle85"/>
        </w:rPr>
        <w:t>Verhuizingen</w:t>
      </w:r>
      <w:r>
        <w:rPr>
          <w:rStyle w:val="FontStyle85"/>
        </w:rPr>
        <w:t xml:space="preserve"> </w:t>
      </w:r>
      <w:r>
        <w:rPr>
          <w:rStyle w:val="FontStyle85"/>
        </w:rPr>
        <w:t>Coppens</w:t>
      </w:r>
      <w:r>
        <w:rPr>
          <w:rStyle w:val="FontStyle85"/>
        </w:rPr>
        <w:t xml:space="preserve">, C-441/11P, EU:c:2012:778, punctul 42 </w:t>
      </w:r>
      <w:r>
        <w:rPr>
          <w:rStyle w:val="FontStyle85"/>
        </w:rPr>
        <w:t>şi</w:t>
      </w:r>
      <w:r>
        <w:rPr>
          <w:rStyle w:val="FontStyle85"/>
        </w:rPr>
        <w:t xml:space="preserve"> </w:t>
      </w:r>
      <w:r>
        <w:rPr>
          <w:rStyle w:val="FontStyle85"/>
        </w:rPr>
        <w:t>jurisprudenţa</w:t>
      </w:r>
      <w:r>
        <w:rPr>
          <w:rStyle w:val="FontStyle85"/>
        </w:rPr>
        <w:t xml:space="preserve"> citată)”. </w:t>
      </w:r>
    </w:p>
    <w:p w:rsidR="00565124" w:rsidP="00565124" w14:paraId="5FC00739" w14:textId="77777777">
      <w:pPr>
        <w:pStyle w:val="Style33"/>
        <w:widowControl/>
        <w:spacing w:before="5" w:line="240" w:lineRule="auto"/>
        <w:ind w:firstLine="993"/>
        <w:rPr>
          <w:rStyle w:val="FontStyle80"/>
          <w:rFonts w:ascii="Times New Roman" w:hAnsi="Times New Roman"/>
        </w:rPr>
      </w:pPr>
      <w:r>
        <w:rPr>
          <w:rStyle w:val="FontStyle80"/>
          <w:rFonts w:ascii="Times New Roman" w:hAnsi="Times New Roman"/>
        </w:rPr>
        <w:t xml:space="preserve">În prezenta cauză nu există date din care să rezulte că X  a cunoscut sau putea să cunoască </w:t>
      </w:r>
      <w:r>
        <w:rPr>
          <w:rStyle w:val="FontStyle80"/>
          <w:rFonts w:ascii="Times New Roman" w:hAnsi="Times New Roman"/>
        </w:rPr>
        <w:t>relaţiile</w:t>
      </w:r>
      <w:r>
        <w:rPr>
          <w:rStyle w:val="FontStyle80"/>
          <w:rFonts w:ascii="Times New Roman" w:hAnsi="Times New Roman"/>
        </w:rPr>
        <w:t xml:space="preserve"> pe care Z  le avea cu celelalte </w:t>
      </w:r>
      <w:r>
        <w:rPr>
          <w:rStyle w:val="FontStyle80"/>
          <w:rFonts w:ascii="Times New Roman" w:hAnsi="Times New Roman"/>
        </w:rPr>
        <w:t>părţi</w:t>
      </w:r>
      <w:r>
        <w:rPr>
          <w:rStyle w:val="FontStyle80"/>
          <w:rFonts w:ascii="Times New Roman" w:hAnsi="Times New Roman"/>
        </w:rPr>
        <w:t xml:space="preserve"> investigate, pentru a concluziona că X  ar fi făcut parte dintr-o încălcare unică </w:t>
      </w:r>
      <w:r>
        <w:rPr>
          <w:rStyle w:val="FontStyle80"/>
          <w:rFonts w:ascii="Times New Roman" w:hAnsi="Times New Roman"/>
        </w:rPr>
        <w:t>şi</w:t>
      </w:r>
      <w:r>
        <w:rPr>
          <w:rStyle w:val="FontStyle80"/>
          <w:rFonts w:ascii="Times New Roman" w:hAnsi="Times New Roman"/>
        </w:rPr>
        <w:t xml:space="preserve"> continuă cu aceste </w:t>
      </w:r>
      <w:r>
        <w:rPr>
          <w:rStyle w:val="FontStyle80"/>
          <w:rFonts w:ascii="Times New Roman" w:hAnsi="Times New Roman"/>
        </w:rPr>
        <w:t>părţi</w:t>
      </w:r>
      <w:r>
        <w:rPr>
          <w:rStyle w:val="FontStyle80"/>
          <w:rFonts w:ascii="Times New Roman" w:hAnsi="Times New Roman"/>
        </w:rPr>
        <w:t xml:space="preserve">. Din Decizie reiese că celelalte </w:t>
      </w:r>
      <w:r>
        <w:rPr>
          <w:rStyle w:val="FontStyle80"/>
          <w:rFonts w:ascii="Times New Roman" w:hAnsi="Times New Roman"/>
        </w:rPr>
        <w:t>părţi</w:t>
      </w:r>
      <w:r>
        <w:rPr>
          <w:rStyle w:val="FontStyle80"/>
          <w:rFonts w:ascii="Times New Roman" w:hAnsi="Times New Roman"/>
        </w:rPr>
        <w:t xml:space="preserve"> concurau Z  în calitate de producători de echipamente de </w:t>
      </w:r>
      <w:r>
        <w:rPr>
          <w:rStyle w:val="FontStyle80"/>
          <w:rFonts w:ascii="Times New Roman" w:hAnsi="Times New Roman"/>
        </w:rPr>
        <w:t>protecţie</w:t>
      </w:r>
      <w:r>
        <w:rPr>
          <w:rStyle w:val="FontStyle80"/>
          <w:rFonts w:ascii="Times New Roman" w:hAnsi="Times New Roman"/>
        </w:rPr>
        <w:t xml:space="preserve"> (Decizie, paragraful 326). Dimpotrivă, dacă se analizează probatoriul care </w:t>
      </w:r>
      <w:r>
        <w:rPr>
          <w:rStyle w:val="FontStyle80"/>
          <w:rFonts w:ascii="Times New Roman" w:hAnsi="Times New Roman"/>
        </w:rPr>
        <w:t>priveşte</w:t>
      </w:r>
      <w:r>
        <w:rPr>
          <w:rStyle w:val="FontStyle80"/>
          <w:rFonts w:ascii="Times New Roman" w:hAnsi="Times New Roman"/>
        </w:rPr>
        <w:t xml:space="preserve"> societatea X , acesta se rezumă la câteva schimburi de emailuri dintre societatea reclamantă </w:t>
      </w:r>
      <w:r>
        <w:rPr>
          <w:rStyle w:val="FontStyle80"/>
          <w:rFonts w:ascii="Times New Roman" w:hAnsi="Times New Roman"/>
        </w:rPr>
        <w:t>şi</w:t>
      </w:r>
      <w:r>
        <w:rPr>
          <w:rStyle w:val="FontStyle80"/>
          <w:rFonts w:ascii="Times New Roman" w:hAnsi="Times New Roman"/>
        </w:rPr>
        <w:t xml:space="preserve"> Z , neexistând nicio </w:t>
      </w:r>
      <w:r>
        <w:rPr>
          <w:rStyle w:val="FontStyle80"/>
          <w:rFonts w:ascii="Times New Roman" w:hAnsi="Times New Roman"/>
        </w:rPr>
        <w:t>corespondenţă</w:t>
      </w:r>
      <w:r>
        <w:rPr>
          <w:rStyle w:val="FontStyle80"/>
          <w:rFonts w:ascii="Times New Roman" w:hAnsi="Times New Roman"/>
        </w:rPr>
        <w:t xml:space="preserve"> sau schimburi de </w:t>
      </w:r>
      <w:r>
        <w:rPr>
          <w:rStyle w:val="FontStyle80"/>
          <w:rFonts w:ascii="Times New Roman" w:hAnsi="Times New Roman"/>
        </w:rPr>
        <w:t>informaţii</w:t>
      </w:r>
      <w:r>
        <w:rPr>
          <w:rStyle w:val="FontStyle80"/>
          <w:rFonts w:ascii="Times New Roman" w:hAnsi="Times New Roman"/>
        </w:rPr>
        <w:t xml:space="preserve"> direct sau indirect cu alte </w:t>
      </w:r>
      <w:r>
        <w:rPr>
          <w:rStyle w:val="FontStyle80"/>
          <w:rFonts w:ascii="Times New Roman" w:hAnsi="Times New Roman"/>
        </w:rPr>
        <w:t>societăţi</w:t>
      </w:r>
      <w:r>
        <w:rPr>
          <w:rStyle w:val="FontStyle80"/>
          <w:rFonts w:ascii="Times New Roman" w:hAnsi="Times New Roman"/>
        </w:rPr>
        <w:t xml:space="preserve"> investigate. Prin urmare, </w:t>
      </w:r>
      <w:r>
        <w:rPr>
          <w:rStyle w:val="FontStyle78"/>
          <w:rFonts w:ascii="Times New Roman" w:hAnsi="Times New Roman"/>
        </w:rPr>
        <w:t xml:space="preserve">cu privire la X , nu se poate afirma că acesta ar fi cunoscut sau ar fi putut </w:t>
      </w:r>
      <w:r>
        <w:rPr>
          <w:rStyle w:val="FontStyle78"/>
          <w:rFonts w:ascii="Times New Roman" w:hAnsi="Times New Roman"/>
        </w:rPr>
        <w:t>cunoaşte</w:t>
      </w:r>
      <w:r>
        <w:rPr>
          <w:rStyle w:val="FontStyle78"/>
          <w:rFonts w:ascii="Times New Roman" w:hAnsi="Times New Roman"/>
        </w:rPr>
        <w:t xml:space="preserve"> un plan de ansamblu </w:t>
      </w:r>
      <w:r>
        <w:rPr>
          <w:rStyle w:val="FontStyle80"/>
          <w:rFonts w:ascii="Times New Roman" w:hAnsi="Times New Roman"/>
        </w:rPr>
        <w:t xml:space="preserve">din care să rezulte obiectivul </w:t>
      </w:r>
      <w:r>
        <w:rPr>
          <w:rStyle w:val="FontStyle80"/>
          <w:rFonts w:ascii="Times New Roman" w:hAnsi="Times New Roman"/>
        </w:rPr>
        <w:t>anticoncurenţial</w:t>
      </w:r>
      <w:r>
        <w:rPr>
          <w:rStyle w:val="FontStyle80"/>
          <w:rFonts w:ascii="Times New Roman" w:hAnsi="Times New Roman"/>
        </w:rPr>
        <w:t xml:space="preserve"> urmărit de toate </w:t>
      </w:r>
      <w:r>
        <w:rPr>
          <w:rStyle w:val="FontStyle80"/>
          <w:rFonts w:ascii="Times New Roman" w:hAnsi="Times New Roman"/>
        </w:rPr>
        <w:t>societăţile</w:t>
      </w:r>
      <w:r>
        <w:rPr>
          <w:rStyle w:val="FontStyle80"/>
          <w:rFonts w:ascii="Times New Roman" w:hAnsi="Times New Roman"/>
        </w:rPr>
        <w:t xml:space="preserve"> implicate, întrucât singurele </w:t>
      </w:r>
      <w:r>
        <w:rPr>
          <w:rStyle w:val="FontStyle80"/>
          <w:rFonts w:ascii="Times New Roman" w:hAnsi="Times New Roman"/>
        </w:rPr>
        <w:t>aşa</w:t>
      </w:r>
      <w:r>
        <w:rPr>
          <w:rStyle w:val="FontStyle80"/>
          <w:rFonts w:ascii="Times New Roman" w:hAnsi="Times New Roman"/>
        </w:rPr>
        <w:t xml:space="preserve">-zise probe care se referă la această societate vizează </w:t>
      </w:r>
      <w:r>
        <w:rPr>
          <w:rStyle w:val="FontStyle80"/>
          <w:rFonts w:ascii="Times New Roman" w:hAnsi="Times New Roman"/>
        </w:rPr>
        <w:t>relaţia</w:t>
      </w:r>
      <w:r>
        <w:rPr>
          <w:rStyle w:val="FontStyle80"/>
          <w:rFonts w:ascii="Times New Roman" w:hAnsi="Times New Roman"/>
        </w:rPr>
        <w:t xml:space="preserve"> sa de natură verticală, de </w:t>
      </w:r>
      <w:r>
        <w:rPr>
          <w:rStyle w:val="FontStyle80"/>
          <w:rFonts w:ascii="Times New Roman" w:hAnsi="Times New Roman"/>
        </w:rPr>
        <w:t>achiziţie</w:t>
      </w:r>
      <w:r>
        <w:rPr>
          <w:rStyle w:val="FontStyle80"/>
          <w:rFonts w:ascii="Times New Roman" w:hAnsi="Times New Roman"/>
        </w:rPr>
        <w:t xml:space="preserve"> de produse, de la Z . X  nu </w:t>
      </w:r>
      <w:r>
        <w:rPr>
          <w:rStyle w:val="FontStyle80"/>
          <w:rFonts w:ascii="Times New Roman" w:hAnsi="Times New Roman"/>
        </w:rPr>
        <w:t>cunoştea</w:t>
      </w:r>
      <w:r>
        <w:rPr>
          <w:rStyle w:val="FontStyle80"/>
          <w:rFonts w:ascii="Times New Roman" w:hAnsi="Times New Roman"/>
        </w:rPr>
        <w:t xml:space="preserve"> ce tip de implicare aveau în faptă celelalte întreprinderi </w:t>
      </w:r>
      <w:r>
        <w:rPr>
          <w:rStyle w:val="FontStyle80"/>
          <w:rFonts w:ascii="Times New Roman" w:hAnsi="Times New Roman"/>
        </w:rPr>
        <w:t>şi</w:t>
      </w:r>
      <w:r>
        <w:rPr>
          <w:rStyle w:val="FontStyle80"/>
          <w:rFonts w:ascii="Times New Roman" w:hAnsi="Times New Roman"/>
        </w:rPr>
        <w:t xml:space="preserve"> ce fel de </w:t>
      </w:r>
      <w:r>
        <w:rPr>
          <w:rStyle w:val="FontStyle80"/>
          <w:rFonts w:ascii="Times New Roman" w:hAnsi="Times New Roman"/>
        </w:rPr>
        <w:t>relaţii</w:t>
      </w:r>
      <w:r>
        <w:rPr>
          <w:rStyle w:val="FontStyle80"/>
          <w:rFonts w:ascii="Times New Roman" w:hAnsi="Times New Roman"/>
        </w:rPr>
        <w:t xml:space="preserve"> comerciale existau între Z  </w:t>
      </w:r>
      <w:r>
        <w:rPr>
          <w:rStyle w:val="FontStyle80"/>
          <w:rFonts w:ascii="Times New Roman" w:hAnsi="Times New Roman"/>
        </w:rPr>
        <w:t>şi</w:t>
      </w:r>
      <w:r>
        <w:rPr>
          <w:rStyle w:val="FontStyle80"/>
          <w:rFonts w:ascii="Times New Roman" w:hAnsi="Times New Roman"/>
        </w:rPr>
        <w:t xml:space="preserve"> acestea.</w:t>
      </w:r>
    </w:p>
    <w:p w:rsidR="00565124" w:rsidP="00565124" w14:paraId="64E2032D" w14:textId="77777777">
      <w:pPr>
        <w:ind w:firstLine="993"/>
        <w:jc w:val="both"/>
        <w:rPr>
          <w:rStyle w:val="FontStyle80"/>
        </w:rPr>
      </w:pPr>
      <w:r>
        <w:rPr>
          <w:rStyle w:val="FontStyle80"/>
        </w:rPr>
        <w:t xml:space="preserve">Astfel, pentru a stabili răspunderea pentru o faptă unică, Comisia Europeană trebuie să demonstreze că </w:t>
      </w:r>
      <w:r>
        <w:rPr>
          <w:rStyle w:val="FontStyle80"/>
        </w:rPr>
        <w:t>acţiunile</w:t>
      </w:r>
      <w:r>
        <w:rPr>
          <w:rStyle w:val="FontStyle80"/>
        </w:rPr>
        <w:t xml:space="preserve"> fiecărui participant la faptă se înscriu într-un </w:t>
      </w:r>
      <w:r>
        <w:rPr>
          <w:rStyle w:val="FontStyle84"/>
        </w:rPr>
        <w:t xml:space="preserve">"plan de ansamblu”, </w:t>
      </w:r>
      <w:r>
        <w:rPr>
          <w:rStyle w:val="FontStyle84"/>
        </w:rPr>
        <w:t>condiţie</w:t>
      </w:r>
      <w:r>
        <w:rPr>
          <w:rStyle w:val="FontStyle84"/>
        </w:rPr>
        <w:t xml:space="preserve"> </w:t>
      </w:r>
      <w:r>
        <w:rPr>
          <w:rStyle w:val="FontStyle80"/>
        </w:rPr>
        <w:t xml:space="preserve">ce nu poate fi considerată ca îndeplinită de analiza realizată de autoritatea de </w:t>
      </w:r>
      <w:r>
        <w:rPr>
          <w:rStyle w:val="FontStyle80"/>
        </w:rPr>
        <w:t>concurenţă</w:t>
      </w:r>
      <w:r>
        <w:rPr>
          <w:rStyle w:val="FontStyle80"/>
        </w:rPr>
        <w:t xml:space="preserve"> în prezenta cauză. Se poate observa la o simplă lectură a Deciziei, fără a interfera cu analiza de fond ce urmează a se realiza cu privire la legalitatea actului, că "fapta" constatată este formată, în realitate din mai multe </w:t>
      </w:r>
      <w:r>
        <w:rPr>
          <w:rStyle w:val="FontStyle84"/>
        </w:rPr>
        <w:t xml:space="preserve">"fapte componente", </w:t>
      </w:r>
      <w:r>
        <w:rPr>
          <w:rStyle w:val="FontStyle80"/>
        </w:rPr>
        <w:t xml:space="preserve">câte una pentru fiecare </w:t>
      </w:r>
      <w:r>
        <w:rPr>
          <w:rStyle w:val="FontStyle80"/>
        </w:rPr>
        <w:t>relaţie</w:t>
      </w:r>
      <w:r>
        <w:rPr>
          <w:rStyle w:val="FontStyle80"/>
        </w:rPr>
        <w:t xml:space="preserve"> comercială dintre Z  </w:t>
      </w:r>
      <w:r>
        <w:rPr>
          <w:rStyle w:val="FontStyle80"/>
        </w:rPr>
        <w:t>şi</w:t>
      </w:r>
      <w:r>
        <w:rPr>
          <w:rStyle w:val="FontStyle80"/>
        </w:rPr>
        <w:t xml:space="preserve"> cei care activau pe </w:t>
      </w:r>
      <w:r>
        <w:rPr>
          <w:rStyle w:val="FontStyle80"/>
        </w:rPr>
        <w:t>piaţa</w:t>
      </w:r>
      <w:r>
        <w:rPr>
          <w:rStyle w:val="FontStyle80"/>
        </w:rPr>
        <w:t xml:space="preserve"> din aval.</w:t>
      </w:r>
    </w:p>
    <w:p w:rsidR="00565124" w:rsidP="00565124" w14:paraId="4DA0BDA6" w14:textId="77777777">
      <w:pPr>
        <w:ind w:firstLine="993"/>
        <w:jc w:val="both"/>
        <w:rPr>
          <w:rStyle w:val="FontStyle84"/>
        </w:rPr>
      </w:pPr>
      <w:r>
        <w:rPr>
          <w:rStyle w:val="FontStyle80"/>
        </w:rPr>
        <w:t xml:space="preserve">O astfel de analiză </w:t>
      </w:r>
      <w:r>
        <w:rPr>
          <w:rStyle w:val="FontStyle80"/>
        </w:rPr>
        <w:t>greşită</w:t>
      </w:r>
      <w:r>
        <w:rPr>
          <w:rStyle w:val="FontStyle80"/>
        </w:rPr>
        <w:t xml:space="preserve"> realizată cu privire la </w:t>
      </w:r>
      <w:r>
        <w:rPr>
          <w:rStyle w:val="FontStyle80"/>
        </w:rPr>
        <w:t>configuraţia</w:t>
      </w:r>
      <w:r>
        <w:rPr>
          <w:rStyle w:val="FontStyle80"/>
        </w:rPr>
        <w:t xml:space="preserve"> faptei este de natură să încalce dreptul la apărare al reclamantei întrucât nu există certitudine juridică cu privire la fapta investigată </w:t>
      </w:r>
      <w:r>
        <w:rPr>
          <w:rStyle w:val="FontStyle80"/>
        </w:rPr>
        <w:t>şi</w:t>
      </w:r>
      <w:r>
        <w:rPr>
          <w:rStyle w:val="FontStyle80"/>
        </w:rPr>
        <w:t xml:space="preserve"> imputată X . încălcarea dreptului la apărare într-o </w:t>
      </w:r>
      <w:r>
        <w:rPr>
          <w:rStyle w:val="FontStyle80"/>
        </w:rPr>
        <w:t>situaţie</w:t>
      </w:r>
      <w:r>
        <w:rPr>
          <w:rStyle w:val="FontStyle80"/>
        </w:rPr>
        <w:t xml:space="preserve"> în care analiza </w:t>
      </w:r>
      <w:r>
        <w:rPr>
          <w:rStyle w:val="FontStyle80"/>
        </w:rPr>
        <w:t>autorităţii</w:t>
      </w:r>
      <w:r>
        <w:rPr>
          <w:rStyle w:val="FontStyle80"/>
        </w:rPr>
        <w:t xml:space="preserve"> a fost efectuată </w:t>
      </w:r>
      <w:r>
        <w:rPr>
          <w:rStyle w:val="FontStyle80"/>
        </w:rPr>
        <w:t>greşit</w:t>
      </w:r>
      <w:r>
        <w:rPr>
          <w:rStyle w:val="FontStyle80"/>
        </w:rPr>
        <w:t xml:space="preserve">, printr-o raportare eronată la o încălcare unică, </w:t>
      </w:r>
      <w:r>
        <w:rPr>
          <w:rStyle w:val="FontStyle80"/>
        </w:rPr>
        <w:t>deşi</w:t>
      </w:r>
      <w:r>
        <w:rPr>
          <w:rStyle w:val="FontStyle80"/>
        </w:rPr>
        <w:t xml:space="preserve">, în realitate, trebuiau analizate fapte distincte, atrage nulitatea deciziei, astfel cum rezultă din considerentele CJUE din cauza C-700/19 P, </w:t>
      </w:r>
      <w:r>
        <w:rPr>
          <w:rStyle w:val="FontStyle84"/>
        </w:rPr>
        <w:t xml:space="preserve">Toshiba Samsung </w:t>
      </w:r>
      <w:r>
        <w:rPr>
          <w:rStyle w:val="FontStyle84"/>
        </w:rPr>
        <w:t>Storage</w:t>
      </w:r>
      <w:r>
        <w:rPr>
          <w:rStyle w:val="FontStyle84"/>
        </w:rPr>
        <w:t xml:space="preserve"> Technology Corp. </w:t>
      </w:r>
      <w:r>
        <w:rPr>
          <w:rStyle w:val="FontStyle84"/>
        </w:rPr>
        <w:t>şi</w:t>
      </w:r>
      <w:r>
        <w:rPr>
          <w:rStyle w:val="FontStyle84"/>
        </w:rPr>
        <w:t xml:space="preserve"> Toshiba Samsung </w:t>
      </w:r>
      <w:r>
        <w:rPr>
          <w:rStyle w:val="FontStyle84"/>
        </w:rPr>
        <w:t>Storage</w:t>
      </w:r>
      <w:r>
        <w:rPr>
          <w:rStyle w:val="FontStyle84"/>
        </w:rPr>
        <w:t xml:space="preserve"> Technology </w:t>
      </w:r>
      <w:r>
        <w:rPr>
          <w:rStyle w:val="FontStyle84"/>
        </w:rPr>
        <w:t>Korea</w:t>
      </w:r>
      <w:r>
        <w:rPr>
          <w:rStyle w:val="FontStyle84"/>
        </w:rPr>
        <w:t xml:space="preserve"> Corp. împotriva Comisiei Europene. </w:t>
      </w:r>
    </w:p>
    <w:p w:rsidR="00565124" w:rsidP="00565124" w14:paraId="2A985D27" w14:textId="77777777">
      <w:pPr>
        <w:pStyle w:val="Style27"/>
        <w:widowControl/>
        <w:tabs>
          <w:tab w:val="left" w:pos="355"/>
        </w:tabs>
        <w:spacing w:line="240" w:lineRule="auto"/>
        <w:ind w:firstLine="993"/>
        <w:rPr>
          <w:rStyle w:val="FontStyle80"/>
          <w:rFonts w:ascii="Times New Roman" w:hAnsi="Times New Roman"/>
        </w:rPr>
      </w:pPr>
      <w:r>
        <w:rPr>
          <w:rStyle w:val="FontStyle80"/>
          <w:rFonts w:ascii="Times New Roman" w:hAnsi="Times New Roman"/>
        </w:rPr>
        <w:t>Speţa</w:t>
      </w:r>
      <w:r>
        <w:rPr>
          <w:rStyle w:val="FontStyle80"/>
          <w:rFonts w:ascii="Times New Roman" w:hAnsi="Times New Roman"/>
        </w:rPr>
        <w:t xml:space="preserve"> respectivă se referă la o </w:t>
      </w:r>
      <w:r>
        <w:rPr>
          <w:rStyle w:val="FontStyle80"/>
          <w:rFonts w:ascii="Times New Roman" w:hAnsi="Times New Roman"/>
        </w:rPr>
        <w:t>situaţie</w:t>
      </w:r>
      <w:r>
        <w:rPr>
          <w:rStyle w:val="FontStyle80"/>
          <w:rFonts w:ascii="Times New Roman" w:hAnsi="Times New Roman"/>
        </w:rPr>
        <w:t xml:space="preserve"> de fapt similară, în care Comisia Europeană a omis să </w:t>
      </w:r>
      <w:r>
        <w:rPr>
          <w:rStyle w:val="FontStyle80"/>
          <w:rFonts w:ascii="Times New Roman" w:hAnsi="Times New Roman"/>
        </w:rPr>
        <w:t>menţioneze</w:t>
      </w:r>
      <w:r>
        <w:rPr>
          <w:rStyle w:val="FontStyle80"/>
          <w:rFonts w:ascii="Times New Roman" w:hAnsi="Times New Roman"/>
        </w:rPr>
        <w:t xml:space="preserve"> în comunicarea privind </w:t>
      </w:r>
      <w:r>
        <w:rPr>
          <w:rStyle w:val="FontStyle80"/>
          <w:rFonts w:ascii="Times New Roman" w:hAnsi="Times New Roman"/>
        </w:rPr>
        <w:t>obiecţiunile</w:t>
      </w:r>
      <w:r>
        <w:rPr>
          <w:rStyle w:val="FontStyle80"/>
          <w:rFonts w:ascii="Times New Roman" w:hAnsi="Times New Roman"/>
        </w:rPr>
        <w:t xml:space="preserve"> faptul că ceea ce era vizat de </w:t>
      </w:r>
      <w:r>
        <w:rPr>
          <w:rStyle w:val="FontStyle80"/>
          <w:rFonts w:ascii="Times New Roman" w:hAnsi="Times New Roman"/>
        </w:rPr>
        <w:t>investigaţie</w:t>
      </w:r>
      <w:r>
        <w:rPr>
          <w:rStyle w:val="FontStyle80"/>
          <w:rFonts w:ascii="Times New Roman" w:hAnsi="Times New Roman"/>
        </w:rPr>
        <w:t xml:space="preserve"> erau încălcări distincte, </w:t>
      </w:r>
      <w:r>
        <w:rPr>
          <w:rStyle w:val="FontStyle78"/>
          <w:rFonts w:ascii="Times New Roman" w:hAnsi="Times New Roman"/>
        </w:rPr>
        <w:t xml:space="preserve">aferente fiecărei </w:t>
      </w:r>
      <w:r>
        <w:rPr>
          <w:rStyle w:val="FontStyle78"/>
          <w:rFonts w:ascii="Times New Roman" w:hAnsi="Times New Roman"/>
        </w:rPr>
        <w:t>relaţii</w:t>
      </w:r>
      <w:r>
        <w:rPr>
          <w:rStyle w:val="FontStyle78"/>
          <w:rFonts w:ascii="Times New Roman" w:hAnsi="Times New Roman"/>
        </w:rPr>
        <w:t xml:space="preserve"> bilaterale </w:t>
      </w:r>
      <w:r>
        <w:rPr>
          <w:rStyle w:val="FontStyle80"/>
          <w:rFonts w:ascii="Times New Roman" w:hAnsi="Times New Roman"/>
        </w:rPr>
        <w:t xml:space="preserve">existente, ceea ce a condus la anularea deciziei Comisiei. Pentru identitate de </w:t>
      </w:r>
      <w:r>
        <w:rPr>
          <w:rStyle w:val="FontStyle80"/>
          <w:rFonts w:ascii="Times New Roman" w:hAnsi="Times New Roman"/>
        </w:rPr>
        <w:t>raţiune</w:t>
      </w:r>
      <w:r>
        <w:rPr>
          <w:rStyle w:val="FontStyle80"/>
          <w:rFonts w:ascii="Times New Roman" w:hAnsi="Times New Roman"/>
        </w:rPr>
        <w:t xml:space="preserve">, </w:t>
      </w:r>
      <w:r>
        <w:rPr>
          <w:rStyle w:val="FontStyle80"/>
          <w:rFonts w:ascii="Times New Roman" w:hAnsi="Times New Roman"/>
        </w:rPr>
        <w:t>aceeaşi</w:t>
      </w:r>
      <w:r>
        <w:rPr>
          <w:rStyle w:val="FontStyle80"/>
          <w:rFonts w:ascii="Times New Roman" w:hAnsi="Times New Roman"/>
        </w:rPr>
        <w:t xml:space="preserve"> </w:t>
      </w:r>
      <w:r>
        <w:rPr>
          <w:rStyle w:val="FontStyle80"/>
          <w:rFonts w:ascii="Times New Roman" w:hAnsi="Times New Roman"/>
        </w:rPr>
        <w:t>soluţie</w:t>
      </w:r>
      <w:r>
        <w:rPr>
          <w:rStyle w:val="FontStyle80"/>
          <w:rFonts w:ascii="Times New Roman" w:hAnsi="Times New Roman"/>
        </w:rPr>
        <w:t xml:space="preserve"> se impune </w:t>
      </w:r>
      <w:r>
        <w:rPr>
          <w:rStyle w:val="FontStyle80"/>
          <w:rFonts w:ascii="Times New Roman" w:hAnsi="Times New Roman"/>
        </w:rPr>
        <w:t>şi</w:t>
      </w:r>
      <w:r>
        <w:rPr>
          <w:rStyle w:val="FontStyle80"/>
          <w:rFonts w:ascii="Times New Roman" w:hAnsi="Times New Roman"/>
        </w:rPr>
        <w:t xml:space="preserve"> în prezenta cauză.</w:t>
      </w:r>
    </w:p>
    <w:p w:rsidR="00565124" w:rsidP="00565124" w14:paraId="323A5E76" w14:textId="77777777">
      <w:pPr>
        <w:pStyle w:val="Style27"/>
        <w:widowControl/>
        <w:tabs>
          <w:tab w:val="left" w:pos="0"/>
        </w:tabs>
        <w:spacing w:line="240" w:lineRule="auto"/>
        <w:ind w:firstLine="993"/>
        <w:rPr>
          <w:rStyle w:val="FontStyle80"/>
          <w:rFonts w:ascii="Times New Roman" w:hAnsi="Times New Roman"/>
        </w:rPr>
      </w:pPr>
      <w:r>
        <w:rPr>
          <w:rStyle w:val="FontStyle78"/>
          <w:rFonts w:ascii="Times New Roman" w:hAnsi="Times New Roman"/>
        </w:rPr>
        <w:t xml:space="preserve">În ceea ce </w:t>
      </w:r>
      <w:r>
        <w:rPr>
          <w:rStyle w:val="FontStyle78"/>
          <w:rFonts w:ascii="Times New Roman" w:hAnsi="Times New Roman"/>
        </w:rPr>
        <w:t>priveşte</w:t>
      </w:r>
      <w:r>
        <w:rPr>
          <w:rStyle w:val="FontStyle78"/>
          <w:rFonts w:ascii="Times New Roman" w:hAnsi="Times New Roman"/>
        </w:rPr>
        <w:t xml:space="preserve"> paguba iminentă, a arătat reclamanta că a</w:t>
      </w:r>
      <w:r>
        <w:rPr>
          <w:rStyle w:val="FontStyle80"/>
          <w:rFonts w:ascii="Times New Roman" w:hAnsi="Times New Roman"/>
        </w:rPr>
        <w:t xml:space="preserve">tunci când se demonstrează </w:t>
      </w:r>
      <w:r>
        <w:rPr>
          <w:rStyle w:val="FontStyle80"/>
          <w:rFonts w:ascii="Times New Roman" w:hAnsi="Times New Roman"/>
        </w:rPr>
        <w:t>existenţa</w:t>
      </w:r>
      <w:r>
        <w:rPr>
          <w:rStyle w:val="FontStyle80"/>
          <w:rFonts w:ascii="Times New Roman" w:hAnsi="Times New Roman"/>
        </w:rPr>
        <w:t xml:space="preserve"> unui caz bine justificat, din care rezultă o aparentă nelegalitate a actului administrativ, este îndeplinită </w:t>
      </w:r>
      <w:r>
        <w:rPr>
          <w:rStyle w:val="FontStyle80"/>
          <w:rFonts w:ascii="Times New Roman" w:hAnsi="Times New Roman"/>
        </w:rPr>
        <w:t>şi</w:t>
      </w:r>
      <w:r>
        <w:rPr>
          <w:rStyle w:val="FontStyle80"/>
          <w:rFonts w:ascii="Times New Roman" w:hAnsi="Times New Roman"/>
        </w:rPr>
        <w:t xml:space="preserve"> </w:t>
      </w:r>
      <w:r>
        <w:rPr>
          <w:rStyle w:val="FontStyle80"/>
          <w:rFonts w:ascii="Times New Roman" w:hAnsi="Times New Roman"/>
        </w:rPr>
        <w:t>condiţia</w:t>
      </w:r>
      <w:r>
        <w:rPr>
          <w:rStyle w:val="FontStyle80"/>
          <w:rFonts w:ascii="Times New Roman" w:hAnsi="Times New Roman"/>
        </w:rPr>
        <w:t xml:space="preserve"> pagubei iminente, întrucât un act administrativ nelegal </w:t>
      </w:r>
      <w:r>
        <w:rPr>
          <w:rStyle w:val="FontStyle84"/>
          <w:rFonts w:ascii="Times New Roman" w:hAnsi="Times New Roman"/>
        </w:rPr>
        <w:t xml:space="preserve">(prima </w:t>
      </w:r>
      <w:r>
        <w:rPr>
          <w:rStyle w:val="FontStyle84"/>
          <w:rFonts w:ascii="Times New Roman" w:hAnsi="Times New Roman"/>
        </w:rPr>
        <w:t>facie</w:t>
      </w:r>
      <w:r>
        <w:rPr>
          <w:rStyle w:val="FontStyle84"/>
          <w:rFonts w:ascii="Times New Roman" w:hAnsi="Times New Roman"/>
        </w:rPr>
        <w:t xml:space="preserve">) </w:t>
      </w:r>
      <w:r>
        <w:rPr>
          <w:rStyle w:val="FontStyle80"/>
          <w:rFonts w:ascii="Times New Roman" w:hAnsi="Times New Roman"/>
        </w:rPr>
        <w:t xml:space="preserve">nu poate produce decât un prejudiciu celui căruia i se adresează, cu atât mai mult cu cât prin intermediul său sunt impuse </w:t>
      </w:r>
      <w:r>
        <w:rPr>
          <w:rStyle w:val="FontStyle80"/>
          <w:rFonts w:ascii="Times New Roman" w:hAnsi="Times New Roman"/>
        </w:rPr>
        <w:t>sancţiuni</w:t>
      </w:r>
      <w:r>
        <w:rPr>
          <w:rStyle w:val="FontStyle80"/>
          <w:rFonts w:ascii="Times New Roman" w:hAnsi="Times New Roman"/>
        </w:rPr>
        <w:t xml:space="preserve">, precum în </w:t>
      </w:r>
      <w:r>
        <w:rPr>
          <w:rStyle w:val="FontStyle80"/>
          <w:rFonts w:ascii="Times New Roman" w:hAnsi="Times New Roman"/>
        </w:rPr>
        <w:t>situaţia</w:t>
      </w:r>
      <w:r>
        <w:rPr>
          <w:rStyle w:val="FontStyle80"/>
          <w:rFonts w:ascii="Times New Roman" w:hAnsi="Times New Roman"/>
        </w:rPr>
        <w:t xml:space="preserve"> de </w:t>
      </w:r>
      <w:r>
        <w:rPr>
          <w:rStyle w:val="FontStyle80"/>
          <w:rFonts w:ascii="Times New Roman" w:hAnsi="Times New Roman"/>
        </w:rPr>
        <w:t>faţă</w:t>
      </w:r>
      <w:r>
        <w:rPr>
          <w:rStyle w:val="FontStyle80"/>
          <w:rFonts w:ascii="Times New Roman" w:hAnsi="Times New Roman"/>
        </w:rPr>
        <w:t xml:space="preserve">. </w:t>
      </w:r>
    </w:p>
    <w:p w:rsidR="00565124" w:rsidP="00565124" w14:paraId="04469EAD" w14:textId="77777777">
      <w:pPr>
        <w:pStyle w:val="Style27"/>
        <w:widowControl/>
        <w:tabs>
          <w:tab w:val="left" w:pos="826"/>
        </w:tabs>
        <w:spacing w:line="240" w:lineRule="auto"/>
        <w:ind w:firstLine="993"/>
        <w:rPr>
          <w:rStyle w:val="FontStyle80"/>
          <w:rFonts w:ascii="Times New Roman" w:hAnsi="Times New Roman"/>
          <w:b/>
        </w:rPr>
      </w:pPr>
      <w:r>
        <w:rPr>
          <w:rStyle w:val="FontStyle80"/>
          <w:rFonts w:ascii="Times New Roman" w:hAnsi="Times New Roman"/>
        </w:rPr>
        <w:t xml:space="preserve">Analiza de ansamblu privind </w:t>
      </w:r>
      <w:r>
        <w:rPr>
          <w:rStyle w:val="FontStyle80"/>
          <w:rFonts w:ascii="Times New Roman" w:hAnsi="Times New Roman"/>
        </w:rPr>
        <w:t>situaţia</w:t>
      </w:r>
      <w:r>
        <w:rPr>
          <w:rStyle w:val="FontStyle80"/>
          <w:rFonts w:ascii="Times New Roman" w:hAnsi="Times New Roman"/>
        </w:rPr>
        <w:t xml:space="preserve"> economică </w:t>
      </w:r>
      <w:r>
        <w:rPr>
          <w:rStyle w:val="FontStyle80"/>
          <w:rFonts w:ascii="Times New Roman" w:hAnsi="Times New Roman"/>
        </w:rPr>
        <w:t>şi</w:t>
      </w:r>
      <w:r>
        <w:rPr>
          <w:rStyle w:val="FontStyle80"/>
          <w:rFonts w:ascii="Times New Roman" w:hAnsi="Times New Roman"/>
        </w:rPr>
        <w:t xml:space="preserve"> financiară a X  SRL denotă că societatea înregistrează pe ultimul an financiar încheiat venituri în valoare totală de 57.577.655 lei </w:t>
      </w:r>
      <w:r>
        <w:rPr>
          <w:rStyle w:val="FontStyle80"/>
          <w:rFonts w:ascii="Times New Roman" w:hAnsi="Times New Roman"/>
        </w:rPr>
        <w:t>şi</w:t>
      </w:r>
      <w:r>
        <w:rPr>
          <w:rStyle w:val="FontStyle80"/>
          <w:rFonts w:ascii="Times New Roman" w:hAnsi="Times New Roman"/>
        </w:rPr>
        <w:t xml:space="preserve"> cheltuieli în valoare de 56.473.569 lei, </w:t>
      </w:r>
      <w:r>
        <w:rPr>
          <w:rStyle w:val="FontStyle80"/>
          <w:rFonts w:ascii="Times New Roman" w:hAnsi="Times New Roman"/>
        </w:rPr>
        <w:t>obţinând</w:t>
      </w:r>
      <w:r>
        <w:rPr>
          <w:rStyle w:val="FontStyle80"/>
          <w:rFonts w:ascii="Times New Roman" w:hAnsi="Times New Roman"/>
        </w:rPr>
        <w:t xml:space="preserve"> un </w:t>
      </w:r>
      <w:r>
        <w:rPr>
          <w:rStyle w:val="FontStyle78"/>
          <w:rFonts w:ascii="Times New Roman" w:hAnsi="Times New Roman"/>
        </w:rPr>
        <w:t>profit net în anul 2022 în valoare de 957.426 lei.</w:t>
      </w:r>
    </w:p>
    <w:p w:rsidR="00565124" w:rsidP="00565124" w14:paraId="2442031A" w14:textId="77777777">
      <w:pPr>
        <w:ind w:firstLine="993"/>
        <w:jc w:val="both"/>
        <w:rPr>
          <w:rStyle w:val="FontStyle85"/>
          <w:b w:val="0"/>
        </w:rPr>
      </w:pPr>
      <w:r>
        <w:rPr>
          <w:rStyle w:val="FontStyle80"/>
        </w:rPr>
        <w:t xml:space="preserve">Solvabilitatea reprezintă capacitatea unei </w:t>
      </w:r>
      <w:r>
        <w:rPr>
          <w:rStyle w:val="FontStyle80"/>
        </w:rPr>
        <w:t>entităţi</w:t>
      </w:r>
      <w:r>
        <w:rPr>
          <w:rStyle w:val="FontStyle80"/>
        </w:rPr>
        <w:t xml:space="preserve"> economice de a face </w:t>
      </w:r>
      <w:r>
        <w:rPr>
          <w:rStyle w:val="FontStyle80"/>
        </w:rPr>
        <w:t>faţă</w:t>
      </w:r>
      <w:r>
        <w:rPr>
          <w:rStyle w:val="FontStyle80"/>
        </w:rPr>
        <w:t xml:space="preserve"> </w:t>
      </w:r>
      <w:r>
        <w:rPr>
          <w:rStyle w:val="FontStyle80"/>
        </w:rPr>
        <w:t>obligaţiilor</w:t>
      </w:r>
      <w:r>
        <w:rPr>
          <w:rStyle w:val="FontStyle80"/>
        </w:rPr>
        <w:t xml:space="preserve"> </w:t>
      </w:r>
      <w:r>
        <w:rPr>
          <w:rStyle w:val="FontStyle80"/>
        </w:rPr>
        <w:t>băneşti</w:t>
      </w:r>
      <w:r>
        <w:rPr>
          <w:rStyle w:val="FontStyle80"/>
        </w:rPr>
        <w:t>, respectiv de a-</w:t>
      </w:r>
      <w:r>
        <w:rPr>
          <w:rStyle w:val="FontStyle80"/>
        </w:rPr>
        <w:t>şi</w:t>
      </w:r>
      <w:r>
        <w:rPr>
          <w:rStyle w:val="FontStyle80"/>
        </w:rPr>
        <w:t xml:space="preserve"> onora </w:t>
      </w:r>
      <w:r>
        <w:rPr>
          <w:rStyle w:val="FontStyle80"/>
        </w:rPr>
        <w:t>plăţile</w:t>
      </w:r>
      <w:r>
        <w:rPr>
          <w:rStyle w:val="FontStyle80"/>
        </w:rPr>
        <w:t xml:space="preserve"> la termenele scadente, fiind în </w:t>
      </w:r>
      <w:r>
        <w:rPr>
          <w:rStyle w:val="FontStyle80"/>
        </w:rPr>
        <w:t>relaţie</w:t>
      </w:r>
      <w:r>
        <w:rPr>
          <w:rStyle w:val="FontStyle80"/>
        </w:rPr>
        <w:t xml:space="preserve"> directă cu gradul de îndatorare a acesteia. O </w:t>
      </w:r>
      <w:r>
        <w:rPr>
          <w:rStyle w:val="FontStyle80"/>
        </w:rPr>
        <w:t>definiţie</w:t>
      </w:r>
      <w:r>
        <w:rPr>
          <w:rStyle w:val="FontStyle80"/>
        </w:rPr>
        <w:t xml:space="preserve"> evidentă este: capacitatea companiei de a-</w:t>
      </w:r>
      <w:r>
        <w:rPr>
          <w:rStyle w:val="FontStyle80"/>
        </w:rPr>
        <w:t>şi</w:t>
      </w:r>
      <w:r>
        <w:rPr>
          <w:rStyle w:val="FontStyle80"/>
        </w:rPr>
        <w:t xml:space="preserve"> onora datoriile totale pe seama activelor totale. </w:t>
      </w:r>
    </w:p>
    <w:p w:rsidR="00565124" w:rsidP="00565124" w14:paraId="137DD563" w14:textId="77777777">
      <w:pPr>
        <w:pStyle w:val="Style33"/>
        <w:widowControl/>
        <w:spacing w:line="240" w:lineRule="auto"/>
        <w:ind w:firstLine="993"/>
        <w:rPr>
          <w:rStyle w:val="FontStyle80"/>
          <w:rFonts w:ascii="Times New Roman" w:hAnsi="Times New Roman"/>
        </w:rPr>
      </w:pPr>
      <w:r>
        <w:rPr>
          <w:rStyle w:val="FontStyle80"/>
          <w:rFonts w:ascii="Times New Roman" w:hAnsi="Times New Roman"/>
        </w:rPr>
        <w:t xml:space="preserve">Din punctul de vedere al </w:t>
      </w:r>
      <w:r>
        <w:rPr>
          <w:rStyle w:val="FontStyle80"/>
          <w:rFonts w:ascii="Times New Roman" w:hAnsi="Times New Roman"/>
        </w:rPr>
        <w:t>solvabilităţii</w:t>
      </w:r>
      <w:r>
        <w:rPr>
          <w:rStyle w:val="FontStyle80"/>
          <w:rFonts w:ascii="Times New Roman" w:hAnsi="Times New Roman"/>
        </w:rPr>
        <w:t xml:space="preserve"> generale, analizate prin prisma </w:t>
      </w:r>
      <w:r>
        <w:rPr>
          <w:rStyle w:val="FontStyle80"/>
          <w:rFonts w:ascii="Times New Roman" w:hAnsi="Times New Roman"/>
        </w:rPr>
        <w:t>situaţiilor</w:t>
      </w:r>
      <w:r>
        <w:rPr>
          <w:rStyle w:val="FontStyle80"/>
          <w:rFonts w:ascii="Times New Roman" w:hAnsi="Times New Roman"/>
        </w:rPr>
        <w:t xml:space="preserve"> financiare anuale, societatea X  înregistrează o valoare de 125%.</w:t>
      </w:r>
    </w:p>
    <w:p w:rsidR="00565124" w:rsidP="00565124" w14:paraId="5D7001BE" w14:textId="77777777">
      <w:pPr>
        <w:pStyle w:val="Style27"/>
        <w:widowControl/>
        <w:tabs>
          <w:tab w:val="left" w:pos="797"/>
        </w:tabs>
        <w:spacing w:line="240" w:lineRule="auto"/>
        <w:ind w:firstLine="993"/>
        <w:rPr>
          <w:rStyle w:val="FontStyle80"/>
          <w:rFonts w:ascii="Times New Roman" w:hAnsi="Times New Roman"/>
        </w:rPr>
      </w:pPr>
      <w:r>
        <w:rPr>
          <w:rStyle w:val="FontStyle80"/>
          <w:rFonts w:ascii="Times New Roman" w:hAnsi="Times New Roman"/>
        </w:rPr>
        <w:t>Deşi</w:t>
      </w:r>
      <w:r>
        <w:rPr>
          <w:rStyle w:val="FontStyle80"/>
          <w:rFonts w:ascii="Times New Roman" w:hAnsi="Times New Roman"/>
        </w:rPr>
        <w:t xml:space="preserve"> nu este la nivelul minim, se poate prefigura un risc moderat de </w:t>
      </w:r>
      <w:r>
        <w:rPr>
          <w:rStyle w:val="FontStyle80"/>
          <w:rFonts w:ascii="Times New Roman" w:hAnsi="Times New Roman"/>
        </w:rPr>
        <w:t>insolvenţă</w:t>
      </w:r>
      <w:r>
        <w:rPr>
          <w:rStyle w:val="FontStyle80"/>
          <w:rFonts w:ascii="Times New Roman" w:hAnsi="Times New Roman"/>
        </w:rPr>
        <w:t xml:space="preserve"> a </w:t>
      </w:r>
      <w:r>
        <w:rPr>
          <w:rStyle w:val="FontStyle80"/>
          <w:rFonts w:ascii="Times New Roman" w:hAnsi="Times New Roman"/>
        </w:rPr>
        <w:t>societăţii</w:t>
      </w:r>
      <w:r>
        <w:rPr>
          <w:rStyle w:val="FontStyle80"/>
          <w:rFonts w:ascii="Times New Roman" w:hAnsi="Times New Roman"/>
        </w:rPr>
        <w:t xml:space="preserve">, iar aceasta în </w:t>
      </w:r>
      <w:r>
        <w:rPr>
          <w:rStyle w:val="FontStyle80"/>
          <w:rFonts w:ascii="Times New Roman" w:hAnsi="Times New Roman"/>
        </w:rPr>
        <w:t>condiţiile</w:t>
      </w:r>
      <w:r>
        <w:rPr>
          <w:rStyle w:val="FontStyle80"/>
          <w:rFonts w:ascii="Times New Roman" w:hAnsi="Times New Roman"/>
        </w:rPr>
        <w:t xml:space="preserve"> în care </w:t>
      </w:r>
      <w:r>
        <w:rPr>
          <w:rStyle w:val="FontStyle80"/>
          <w:rFonts w:ascii="Times New Roman" w:hAnsi="Times New Roman"/>
        </w:rPr>
        <w:t>situaţiile</w:t>
      </w:r>
      <w:r>
        <w:rPr>
          <w:rStyle w:val="FontStyle80"/>
          <w:rFonts w:ascii="Times New Roman" w:hAnsi="Times New Roman"/>
        </w:rPr>
        <w:t xml:space="preserve"> financiare analizate sunt încheiate, deci fără luarea în considerare a impactului amenzii date de autoritatea de </w:t>
      </w:r>
      <w:r>
        <w:rPr>
          <w:rStyle w:val="FontStyle80"/>
          <w:rFonts w:ascii="Times New Roman" w:hAnsi="Times New Roman"/>
        </w:rPr>
        <w:t>concurenţă</w:t>
      </w:r>
      <w:r>
        <w:rPr>
          <w:rStyle w:val="FontStyle80"/>
          <w:rFonts w:ascii="Times New Roman" w:hAnsi="Times New Roman"/>
        </w:rPr>
        <w:t xml:space="preserve">. în urma </w:t>
      </w:r>
      <w:r>
        <w:rPr>
          <w:rStyle w:val="FontStyle80"/>
          <w:rFonts w:ascii="Times New Roman" w:hAnsi="Times New Roman"/>
        </w:rPr>
        <w:t>plăţii</w:t>
      </w:r>
      <w:r>
        <w:rPr>
          <w:rStyle w:val="FontStyle80"/>
          <w:rFonts w:ascii="Times New Roman" w:hAnsi="Times New Roman"/>
        </w:rPr>
        <w:t xml:space="preserve"> amenzii, valoarea va fi </w:t>
      </w:r>
      <w:r>
        <w:rPr>
          <w:rStyle w:val="FontStyle80"/>
          <w:rFonts w:ascii="Times New Roman" w:hAnsi="Times New Roman"/>
        </w:rPr>
        <w:t>şi</w:t>
      </w:r>
      <w:r>
        <w:rPr>
          <w:rStyle w:val="FontStyle80"/>
          <w:rFonts w:ascii="Times New Roman" w:hAnsi="Times New Roman"/>
        </w:rPr>
        <w:t xml:space="preserve"> mai scăzută, prefigurându-se încadrarea la nivelul minim (risc de </w:t>
      </w:r>
      <w:r>
        <w:rPr>
          <w:rStyle w:val="FontStyle80"/>
          <w:rFonts w:ascii="Times New Roman" w:hAnsi="Times New Roman"/>
        </w:rPr>
        <w:t>insolvenţă</w:t>
      </w:r>
      <w:r>
        <w:rPr>
          <w:rStyle w:val="FontStyle80"/>
          <w:rFonts w:ascii="Times New Roman" w:hAnsi="Times New Roman"/>
        </w:rPr>
        <w:t xml:space="preserve"> iminent).</w:t>
      </w:r>
    </w:p>
    <w:p w:rsidR="00565124" w:rsidP="00565124" w14:paraId="2CFFBA81" w14:textId="77777777">
      <w:pPr>
        <w:pStyle w:val="Style33"/>
        <w:widowControl/>
        <w:spacing w:before="10" w:line="240" w:lineRule="auto"/>
        <w:ind w:firstLine="993"/>
        <w:rPr>
          <w:rStyle w:val="FontStyle80"/>
          <w:rFonts w:ascii="Times New Roman" w:hAnsi="Times New Roman"/>
        </w:rPr>
      </w:pPr>
      <w:r>
        <w:rPr>
          <w:rStyle w:val="FontStyle80"/>
          <w:rFonts w:ascii="Times New Roman" w:hAnsi="Times New Roman"/>
        </w:rPr>
        <w:t xml:space="preserve">În cazul X  solvabilitatea patrimonială se află sub valoarea minimă acceptată, fiind afectată în mod evident capacitatea întreprinderii de a solicita credite bancare. Se impune </w:t>
      </w:r>
      <w:r>
        <w:rPr>
          <w:rStyle w:val="FontStyle80"/>
          <w:rFonts w:ascii="Times New Roman" w:hAnsi="Times New Roman"/>
        </w:rPr>
        <w:t>aceeaşi</w:t>
      </w:r>
      <w:r>
        <w:rPr>
          <w:rStyle w:val="FontStyle80"/>
          <w:rFonts w:ascii="Times New Roman" w:hAnsi="Times New Roman"/>
        </w:rPr>
        <w:t xml:space="preserve"> </w:t>
      </w:r>
      <w:r>
        <w:rPr>
          <w:rStyle w:val="FontStyle80"/>
          <w:rFonts w:ascii="Times New Roman" w:hAnsi="Times New Roman"/>
        </w:rPr>
        <w:t>observaţie</w:t>
      </w:r>
      <w:r>
        <w:rPr>
          <w:rStyle w:val="FontStyle80"/>
          <w:rFonts w:ascii="Times New Roman" w:hAnsi="Times New Roman"/>
        </w:rPr>
        <w:t xml:space="preserve"> referitoare la faptul că aceste valori sunt calculate prin raportare la </w:t>
      </w:r>
      <w:r>
        <w:rPr>
          <w:rStyle w:val="FontStyle80"/>
          <w:rFonts w:ascii="Times New Roman" w:hAnsi="Times New Roman"/>
        </w:rPr>
        <w:t>situaţiile</w:t>
      </w:r>
      <w:r>
        <w:rPr>
          <w:rStyle w:val="FontStyle80"/>
          <w:rFonts w:ascii="Times New Roman" w:hAnsi="Times New Roman"/>
        </w:rPr>
        <w:t xml:space="preserve"> anuale, </w:t>
      </w:r>
      <w:r>
        <w:rPr>
          <w:rStyle w:val="FontStyle80"/>
          <w:rFonts w:ascii="Times New Roman" w:hAnsi="Times New Roman"/>
        </w:rPr>
        <w:t>situaţii</w:t>
      </w:r>
      <w:r>
        <w:rPr>
          <w:rStyle w:val="FontStyle80"/>
          <w:rFonts w:ascii="Times New Roman" w:hAnsi="Times New Roman"/>
        </w:rPr>
        <w:t xml:space="preserve"> care nu au luat în considerare </w:t>
      </w:r>
      <w:r>
        <w:rPr>
          <w:rStyle w:val="FontStyle80"/>
          <w:rFonts w:ascii="Times New Roman" w:hAnsi="Times New Roman"/>
        </w:rPr>
        <w:t>scadenţa</w:t>
      </w:r>
      <w:r>
        <w:rPr>
          <w:rStyle w:val="FontStyle80"/>
          <w:rFonts w:ascii="Times New Roman" w:hAnsi="Times New Roman"/>
        </w:rPr>
        <w:t xml:space="preserve"> amenzii aplicate de Consiliul </w:t>
      </w:r>
      <w:r>
        <w:rPr>
          <w:rStyle w:val="FontStyle80"/>
          <w:rFonts w:ascii="Times New Roman" w:hAnsi="Times New Roman"/>
        </w:rPr>
        <w:t>Concurenţei</w:t>
      </w:r>
      <w:r>
        <w:rPr>
          <w:rStyle w:val="FontStyle80"/>
          <w:rFonts w:ascii="Times New Roman" w:hAnsi="Times New Roman"/>
        </w:rPr>
        <w:t xml:space="preserve">, valorile analizate urmând să fie </w:t>
      </w:r>
      <w:r>
        <w:rPr>
          <w:rStyle w:val="FontStyle80"/>
          <w:rFonts w:ascii="Times New Roman" w:hAnsi="Times New Roman"/>
        </w:rPr>
        <w:t>şi</w:t>
      </w:r>
      <w:r>
        <w:rPr>
          <w:rStyle w:val="FontStyle80"/>
          <w:rFonts w:ascii="Times New Roman" w:hAnsi="Times New Roman"/>
        </w:rPr>
        <w:t xml:space="preserve"> mai scăzute în </w:t>
      </w:r>
      <w:r>
        <w:rPr>
          <w:rStyle w:val="FontStyle80"/>
          <w:rFonts w:ascii="Times New Roman" w:hAnsi="Times New Roman"/>
        </w:rPr>
        <w:t>situaţia</w:t>
      </w:r>
      <w:r>
        <w:rPr>
          <w:rStyle w:val="FontStyle80"/>
          <w:rFonts w:ascii="Times New Roman" w:hAnsi="Times New Roman"/>
        </w:rPr>
        <w:t xml:space="preserve"> în care se va plăti o amendă de peste un milion de RON.</w:t>
      </w:r>
    </w:p>
    <w:p w:rsidR="00565124" w:rsidP="00565124" w14:paraId="69A2B097" w14:textId="77777777">
      <w:pPr>
        <w:pStyle w:val="Style33"/>
        <w:widowControl/>
        <w:spacing w:before="24" w:line="240" w:lineRule="auto"/>
        <w:ind w:firstLine="993"/>
        <w:rPr>
          <w:rStyle w:val="FontStyle80"/>
          <w:rFonts w:ascii="Times New Roman" w:hAnsi="Times New Roman"/>
        </w:rPr>
      </w:pPr>
      <w:r>
        <w:rPr>
          <w:rStyle w:val="FontStyle80"/>
          <w:rFonts w:ascii="Times New Roman" w:hAnsi="Times New Roman"/>
        </w:rPr>
        <w:t xml:space="preserve">În urma </w:t>
      </w:r>
      <w:r>
        <w:rPr>
          <w:rStyle w:val="FontStyle78"/>
          <w:rFonts w:ascii="Times New Roman" w:hAnsi="Times New Roman"/>
        </w:rPr>
        <w:t xml:space="preserve">analizării fluxului de numerar </w:t>
      </w:r>
      <w:r>
        <w:rPr>
          <w:rStyle w:val="FontStyle80"/>
          <w:rFonts w:ascii="Times New Roman" w:hAnsi="Times New Roman"/>
        </w:rPr>
        <w:t xml:space="preserve">(Anexa 6), se poate observa cu certitudine că activitatea curentă </w:t>
      </w:r>
      <w:r>
        <w:rPr>
          <w:rStyle w:val="FontStyle80"/>
          <w:rFonts w:ascii="Times New Roman" w:hAnsi="Times New Roman"/>
        </w:rPr>
        <w:t>susţine</w:t>
      </w:r>
      <w:r>
        <w:rPr>
          <w:rStyle w:val="FontStyle80"/>
          <w:rFonts w:ascii="Times New Roman" w:hAnsi="Times New Roman"/>
        </w:rPr>
        <w:t xml:space="preserve"> programul de </w:t>
      </w:r>
      <w:r>
        <w:rPr>
          <w:rStyle w:val="FontStyle80"/>
          <w:rFonts w:ascii="Times New Roman" w:hAnsi="Times New Roman"/>
        </w:rPr>
        <w:t>plăţi</w:t>
      </w:r>
      <w:r>
        <w:rPr>
          <w:rStyle w:val="FontStyle80"/>
          <w:rFonts w:ascii="Times New Roman" w:hAnsi="Times New Roman"/>
        </w:rPr>
        <w:t xml:space="preserve"> scadente previzionat, însă plata unei valori mari, sub formă de amendă, la nivelul următoarelor luni, ar dezechilibra fluxul de încasări </w:t>
      </w:r>
      <w:r>
        <w:rPr>
          <w:rStyle w:val="FontStyle80"/>
          <w:rFonts w:ascii="Times New Roman" w:hAnsi="Times New Roman"/>
        </w:rPr>
        <w:t>şi</w:t>
      </w:r>
      <w:r>
        <w:rPr>
          <w:rStyle w:val="FontStyle80"/>
          <w:rFonts w:ascii="Times New Roman" w:hAnsi="Times New Roman"/>
        </w:rPr>
        <w:t xml:space="preserve"> </w:t>
      </w:r>
      <w:r>
        <w:rPr>
          <w:rStyle w:val="FontStyle80"/>
          <w:rFonts w:ascii="Times New Roman" w:hAnsi="Times New Roman"/>
        </w:rPr>
        <w:t>plăţi</w:t>
      </w:r>
      <w:r>
        <w:rPr>
          <w:rStyle w:val="FontStyle80"/>
          <w:rFonts w:ascii="Times New Roman" w:hAnsi="Times New Roman"/>
        </w:rPr>
        <w:t xml:space="preserve">, ducând la un deficit </w:t>
      </w:r>
      <w:r>
        <w:rPr>
          <w:rStyle w:val="FontStyle80"/>
          <w:rFonts w:ascii="Times New Roman" w:hAnsi="Times New Roman"/>
        </w:rPr>
        <w:t>şi</w:t>
      </w:r>
      <w:r>
        <w:rPr>
          <w:rStyle w:val="FontStyle80"/>
          <w:rFonts w:ascii="Times New Roman" w:hAnsi="Times New Roman"/>
        </w:rPr>
        <w:t xml:space="preserve"> un blocaj al </w:t>
      </w:r>
      <w:r>
        <w:rPr>
          <w:rStyle w:val="FontStyle80"/>
          <w:rFonts w:ascii="Times New Roman" w:hAnsi="Times New Roman"/>
        </w:rPr>
        <w:t>plăţilor</w:t>
      </w:r>
      <w:r>
        <w:rPr>
          <w:rStyle w:val="FontStyle80"/>
          <w:rFonts w:ascii="Times New Roman" w:hAnsi="Times New Roman"/>
        </w:rPr>
        <w:t xml:space="preserve">. Astfel cum rezultă din previziunea pentru anul 2023, odată cu plata amenzii în integralitate fluxul de încasări </w:t>
      </w:r>
      <w:r>
        <w:rPr>
          <w:rStyle w:val="FontStyle80"/>
          <w:rFonts w:ascii="Times New Roman" w:hAnsi="Times New Roman"/>
        </w:rPr>
        <w:t>şi</w:t>
      </w:r>
      <w:r>
        <w:rPr>
          <w:rStyle w:val="FontStyle80"/>
          <w:rFonts w:ascii="Times New Roman" w:hAnsi="Times New Roman"/>
        </w:rPr>
        <w:t xml:space="preserve"> </w:t>
      </w:r>
      <w:r>
        <w:rPr>
          <w:rStyle w:val="FontStyle80"/>
          <w:rFonts w:ascii="Times New Roman" w:hAnsi="Times New Roman"/>
        </w:rPr>
        <w:t>plăţi</w:t>
      </w:r>
      <w:r>
        <w:rPr>
          <w:rStyle w:val="FontStyle80"/>
          <w:rFonts w:ascii="Times New Roman" w:hAnsi="Times New Roman"/>
        </w:rPr>
        <w:t xml:space="preserve"> rămâne negativ pentru tot restul anului. De asemenea, trebuie avute în vedere datoriile lunare ale </w:t>
      </w:r>
      <w:r>
        <w:rPr>
          <w:rStyle w:val="FontStyle80"/>
          <w:rFonts w:ascii="Times New Roman" w:hAnsi="Times New Roman"/>
        </w:rPr>
        <w:t>societăţii</w:t>
      </w:r>
      <w:r>
        <w:rPr>
          <w:rStyle w:val="FontStyle80"/>
          <w:rFonts w:ascii="Times New Roman" w:hAnsi="Times New Roman"/>
        </w:rPr>
        <w:t xml:space="preserve"> (astfel cum rezultă din </w:t>
      </w:r>
      <w:r>
        <w:rPr>
          <w:rStyle w:val="FontStyle80"/>
          <w:rFonts w:ascii="Times New Roman" w:hAnsi="Times New Roman"/>
        </w:rPr>
        <w:t>fişele</w:t>
      </w:r>
      <w:r>
        <w:rPr>
          <w:rStyle w:val="FontStyle80"/>
          <w:rFonts w:ascii="Times New Roman" w:hAnsi="Times New Roman"/>
        </w:rPr>
        <w:t xml:space="preserve"> de cont </w:t>
      </w:r>
      <w:r>
        <w:rPr>
          <w:rStyle w:val="FontStyle80"/>
          <w:rFonts w:ascii="Times New Roman" w:hAnsi="Times New Roman"/>
        </w:rPr>
        <w:t>ataşate</w:t>
      </w:r>
      <w:r>
        <w:rPr>
          <w:rStyle w:val="FontStyle80"/>
          <w:rFonts w:ascii="Times New Roman" w:hAnsi="Times New Roman"/>
        </w:rPr>
        <w:t xml:space="preserve">) din care rezultă că în luna ianuarie 2023 datoriile </w:t>
      </w:r>
      <w:r>
        <w:rPr>
          <w:rStyle w:val="FontStyle80"/>
          <w:rFonts w:ascii="Times New Roman" w:hAnsi="Times New Roman"/>
        </w:rPr>
        <w:t>societăţii</w:t>
      </w:r>
      <w:r>
        <w:rPr>
          <w:rStyle w:val="FontStyle80"/>
          <w:rFonts w:ascii="Times New Roman" w:hAnsi="Times New Roman"/>
        </w:rPr>
        <w:t xml:space="preserve"> erau de 6.079.293,55 lei, iar în februarie 2023 erau de 4.424.544,89 lei, sporirea acestora cu o sumă de peste 1 milion de lei având </w:t>
      </w:r>
      <w:r>
        <w:rPr>
          <w:rStyle w:val="FontStyle80"/>
          <w:rFonts w:ascii="Times New Roman" w:hAnsi="Times New Roman"/>
        </w:rPr>
        <w:t>consecinţe</w:t>
      </w:r>
      <w:r>
        <w:rPr>
          <w:rStyle w:val="FontStyle80"/>
          <w:rFonts w:ascii="Times New Roman" w:hAnsi="Times New Roman"/>
        </w:rPr>
        <w:t xml:space="preserve"> grave asupra </w:t>
      </w:r>
      <w:r>
        <w:rPr>
          <w:rStyle w:val="FontStyle80"/>
          <w:rFonts w:ascii="Times New Roman" w:hAnsi="Times New Roman"/>
        </w:rPr>
        <w:t>societăţii</w:t>
      </w:r>
      <w:r>
        <w:rPr>
          <w:rStyle w:val="FontStyle80"/>
          <w:rFonts w:ascii="Times New Roman" w:hAnsi="Times New Roman"/>
        </w:rPr>
        <w:t>, întrucât aceasta nu poate achita respectiva sumă fără a-i fi pusă în pericol viabilitatea.</w:t>
      </w:r>
    </w:p>
    <w:p w:rsidR="00565124" w:rsidP="00565124" w14:paraId="215D86DF" w14:textId="77777777">
      <w:pPr>
        <w:pStyle w:val="Style33"/>
        <w:widowControl/>
        <w:spacing w:before="29" w:line="240" w:lineRule="auto"/>
        <w:ind w:firstLine="993"/>
        <w:rPr>
          <w:rStyle w:val="FontStyle80"/>
          <w:rFonts w:ascii="Times New Roman" w:hAnsi="Times New Roman"/>
        </w:rPr>
      </w:pPr>
      <w:r>
        <w:rPr>
          <w:rStyle w:val="FontStyle80"/>
          <w:rFonts w:ascii="Times New Roman" w:hAnsi="Times New Roman"/>
        </w:rPr>
        <w:t xml:space="preserve">Instituirea unei asemenea </w:t>
      </w:r>
      <w:r>
        <w:rPr>
          <w:rStyle w:val="FontStyle80"/>
          <w:rFonts w:ascii="Times New Roman" w:hAnsi="Times New Roman"/>
        </w:rPr>
        <w:t>plăţi</w:t>
      </w:r>
      <w:r>
        <w:rPr>
          <w:rStyle w:val="FontStyle80"/>
          <w:rFonts w:ascii="Times New Roman" w:hAnsi="Times New Roman"/>
        </w:rPr>
        <w:t xml:space="preserve"> neprogramate, sub formă de amendă, va dezechilibra financiar societatea, rezultând o solvabilitate </w:t>
      </w:r>
      <w:r>
        <w:rPr>
          <w:rStyle w:val="FontStyle80"/>
          <w:rFonts w:ascii="Times New Roman" w:hAnsi="Times New Roman"/>
        </w:rPr>
        <w:t>şi</w:t>
      </w:r>
      <w:r>
        <w:rPr>
          <w:rStyle w:val="FontStyle80"/>
          <w:rFonts w:ascii="Times New Roman" w:hAnsi="Times New Roman"/>
        </w:rPr>
        <w:t xml:space="preserve"> o lichiditate scăzută, sub limita acceptată de </w:t>
      </w:r>
      <w:r>
        <w:rPr>
          <w:rStyle w:val="FontStyle80"/>
          <w:rFonts w:ascii="Times New Roman" w:hAnsi="Times New Roman"/>
        </w:rPr>
        <w:t>instituţiile</w:t>
      </w:r>
      <w:r>
        <w:rPr>
          <w:rStyle w:val="FontStyle80"/>
          <w:rFonts w:ascii="Times New Roman" w:hAnsi="Times New Roman"/>
        </w:rPr>
        <w:t xml:space="preserve"> de creditare.</w:t>
      </w:r>
    </w:p>
    <w:p w:rsidR="00565124" w:rsidP="00565124" w14:paraId="1C0BCFB6" w14:textId="77777777">
      <w:pPr>
        <w:pStyle w:val="Style33"/>
        <w:widowControl/>
        <w:spacing w:before="29" w:line="240" w:lineRule="auto"/>
        <w:ind w:firstLine="993"/>
        <w:rPr>
          <w:rStyle w:val="FontStyle80"/>
          <w:rFonts w:ascii="Times New Roman" w:hAnsi="Times New Roman"/>
        </w:rPr>
      </w:pPr>
      <w:r>
        <w:rPr>
          <w:rStyle w:val="FontStyle80"/>
          <w:rFonts w:ascii="Times New Roman" w:hAnsi="Times New Roman"/>
        </w:rPr>
        <w:t xml:space="preserve">În </w:t>
      </w:r>
      <w:r>
        <w:rPr>
          <w:rStyle w:val="FontStyle80"/>
          <w:rFonts w:ascii="Times New Roman" w:hAnsi="Times New Roman"/>
        </w:rPr>
        <w:t>condiţiile</w:t>
      </w:r>
      <w:r>
        <w:rPr>
          <w:rStyle w:val="FontStyle80"/>
          <w:rFonts w:ascii="Times New Roman" w:hAnsi="Times New Roman"/>
        </w:rPr>
        <w:t xml:space="preserve"> unei </w:t>
      </w:r>
      <w:r>
        <w:rPr>
          <w:rStyle w:val="FontStyle80"/>
          <w:rFonts w:ascii="Times New Roman" w:hAnsi="Times New Roman"/>
        </w:rPr>
        <w:t>imposibilităţi</w:t>
      </w:r>
      <w:r>
        <w:rPr>
          <w:rStyle w:val="FontStyle80"/>
          <w:rFonts w:ascii="Times New Roman" w:hAnsi="Times New Roman"/>
        </w:rPr>
        <w:t xml:space="preserve"> de creditare </w:t>
      </w:r>
      <w:r>
        <w:rPr>
          <w:rStyle w:val="FontStyle80"/>
          <w:rFonts w:ascii="Times New Roman" w:hAnsi="Times New Roman"/>
        </w:rPr>
        <w:t>şi</w:t>
      </w:r>
      <w:r>
        <w:rPr>
          <w:rStyle w:val="FontStyle80"/>
          <w:rFonts w:ascii="Times New Roman" w:hAnsi="Times New Roman"/>
        </w:rPr>
        <w:t xml:space="preserve"> a impunerii unei </w:t>
      </w:r>
      <w:r>
        <w:rPr>
          <w:rStyle w:val="FontStyle80"/>
          <w:rFonts w:ascii="Times New Roman" w:hAnsi="Times New Roman"/>
        </w:rPr>
        <w:t>plăţi</w:t>
      </w:r>
      <w:r>
        <w:rPr>
          <w:rStyle w:val="FontStyle80"/>
          <w:rFonts w:ascii="Times New Roman" w:hAnsi="Times New Roman"/>
        </w:rPr>
        <w:t xml:space="preserve"> suplimentare în valoare de 1.052.758 lei, sub formă de amendă, se va produce o imposibilitate de plată atât a sumelor scadente către furnizori, cât </w:t>
      </w:r>
      <w:r>
        <w:rPr>
          <w:rStyle w:val="FontStyle80"/>
          <w:rFonts w:ascii="Times New Roman" w:hAnsi="Times New Roman"/>
        </w:rPr>
        <w:t>şi</w:t>
      </w:r>
      <w:r>
        <w:rPr>
          <w:rStyle w:val="FontStyle80"/>
          <w:rFonts w:ascii="Times New Roman" w:hAnsi="Times New Roman"/>
        </w:rPr>
        <w:t xml:space="preserve"> a celor sub formă de venituri salariale ale </w:t>
      </w:r>
      <w:r>
        <w:rPr>
          <w:rStyle w:val="FontStyle80"/>
          <w:rFonts w:ascii="Times New Roman" w:hAnsi="Times New Roman"/>
        </w:rPr>
        <w:t>angajaţilor</w:t>
      </w:r>
      <w:r>
        <w:rPr>
          <w:rStyle w:val="FontStyle80"/>
          <w:rFonts w:ascii="Times New Roman" w:hAnsi="Times New Roman"/>
        </w:rPr>
        <w:t xml:space="preserve"> sau a </w:t>
      </w:r>
      <w:r>
        <w:rPr>
          <w:rStyle w:val="FontStyle80"/>
          <w:rFonts w:ascii="Times New Roman" w:hAnsi="Times New Roman"/>
        </w:rPr>
        <w:t>obligaţiilor</w:t>
      </w:r>
      <w:r>
        <w:rPr>
          <w:rStyle w:val="FontStyle80"/>
          <w:rFonts w:ascii="Times New Roman" w:hAnsi="Times New Roman"/>
        </w:rPr>
        <w:t xml:space="preserve"> fiscale curente rezultate în urma </w:t>
      </w:r>
      <w:r>
        <w:rPr>
          <w:rStyle w:val="FontStyle80"/>
          <w:rFonts w:ascii="Times New Roman" w:hAnsi="Times New Roman"/>
        </w:rPr>
        <w:t>activităţii</w:t>
      </w:r>
      <w:r>
        <w:rPr>
          <w:rStyle w:val="FontStyle80"/>
          <w:rFonts w:ascii="Times New Roman" w:hAnsi="Times New Roman"/>
        </w:rPr>
        <w:t xml:space="preserve"> curente. O nouă </w:t>
      </w:r>
      <w:r>
        <w:rPr>
          <w:rStyle w:val="FontStyle80"/>
          <w:rFonts w:ascii="Times New Roman" w:hAnsi="Times New Roman"/>
        </w:rPr>
        <w:t>refinanţare</w:t>
      </w:r>
      <w:r>
        <w:rPr>
          <w:rStyle w:val="FontStyle80"/>
          <w:rFonts w:ascii="Times New Roman" w:hAnsi="Times New Roman"/>
        </w:rPr>
        <w:t xml:space="preserve"> nu ar fi posibilă, </w:t>
      </w:r>
      <w:r>
        <w:rPr>
          <w:rStyle w:val="FontStyle80"/>
          <w:rFonts w:ascii="Times New Roman" w:hAnsi="Times New Roman"/>
        </w:rPr>
        <w:t>instituţiile</w:t>
      </w:r>
      <w:r>
        <w:rPr>
          <w:rStyle w:val="FontStyle80"/>
          <w:rFonts w:ascii="Times New Roman" w:hAnsi="Times New Roman"/>
        </w:rPr>
        <w:t xml:space="preserve"> de creditare, impunând un anumit nivel al indicatorilor financiari </w:t>
      </w:r>
      <w:r>
        <w:rPr>
          <w:rStyle w:val="FontStyle80"/>
          <w:rFonts w:ascii="Times New Roman" w:hAnsi="Times New Roman"/>
        </w:rPr>
        <w:t>amintiţi</w:t>
      </w:r>
      <w:r>
        <w:rPr>
          <w:rStyle w:val="FontStyle80"/>
          <w:rFonts w:ascii="Times New Roman" w:hAnsi="Times New Roman"/>
        </w:rPr>
        <w:t xml:space="preserve"> mai sus.</w:t>
      </w:r>
    </w:p>
    <w:p w:rsidR="00565124" w:rsidP="00565124" w14:paraId="0C2C4386" w14:textId="77777777">
      <w:pPr>
        <w:pStyle w:val="Style33"/>
        <w:widowControl/>
        <w:spacing w:before="43" w:line="240" w:lineRule="auto"/>
        <w:ind w:firstLine="993"/>
        <w:rPr>
          <w:rStyle w:val="FontStyle78"/>
          <w:rFonts w:ascii="Times New Roman" w:hAnsi="Times New Roman"/>
          <w:b w:val="0"/>
        </w:rPr>
      </w:pPr>
      <w:r>
        <w:rPr>
          <w:rStyle w:val="FontStyle80"/>
          <w:rFonts w:ascii="Times New Roman" w:hAnsi="Times New Roman"/>
        </w:rPr>
        <w:t xml:space="preserve">Totodată, blocarea </w:t>
      </w:r>
      <w:r>
        <w:rPr>
          <w:rStyle w:val="FontStyle80"/>
          <w:rFonts w:ascii="Times New Roman" w:hAnsi="Times New Roman"/>
        </w:rPr>
        <w:t>plaţilor</w:t>
      </w:r>
      <w:r>
        <w:rPr>
          <w:rStyle w:val="FontStyle80"/>
          <w:rFonts w:ascii="Times New Roman" w:hAnsi="Times New Roman"/>
        </w:rPr>
        <w:t xml:space="preserve"> către furnizori va duce la sistarea furnizării mărfurilor necesare </w:t>
      </w:r>
      <w:r>
        <w:rPr>
          <w:rStyle w:val="FontStyle80"/>
          <w:rFonts w:ascii="Times New Roman" w:hAnsi="Times New Roman"/>
        </w:rPr>
        <w:t>susţinerii</w:t>
      </w:r>
      <w:r>
        <w:rPr>
          <w:rStyle w:val="FontStyle80"/>
          <w:rFonts w:ascii="Times New Roman" w:hAnsi="Times New Roman"/>
        </w:rPr>
        <w:t xml:space="preserve"> livrărilor conform contractelor către </w:t>
      </w:r>
      <w:r>
        <w:rPr>
          <w:rStyle w:val="FontStyle80"/>
          <w:rFonts w:ascii="Times New Roman" w:hAnsi="Times New Roman"/>
        </w:rPr>
        <w:t>clienţi</w:t>
      </w:r>
      <w:r>
        <w:rPr>
          <w:rStyle w:val="FontStyle80"/>
          <w:rFonts w:ascii="Times New Roman" w:hAnsi="Times New Roman"/>
        </w:rPr>
        <w:t xml:space="preserve">, aflate în derulare. </w:t>
      </w:r>
      <w:r>
        <w:rPr>
          <w:rStyle w:val="FontStyle78"/>
          <w:rFonts w:ascii="Times New Roman" w:hAnsi="Times New Roman"/>
        </w:rPr>
        <w:t xml:space="preserve">Blocajul fluxului de încasări </w:t>
      </w:r>
      <w:r>
        <w:rPr>
          <w:rStyle w:val="FontStyle78"/>
          <w:rFonts w:ascii="Times New Roman" w:hAnsi="Times New Roman"/>
        </w:rPr>
        <w:t>şi</w:t>
      </w:r>
      <w:r>
        <w:rPr>
          <w:rStyle w:val="FontStyle78"/>
          <w:rFonts w:ascii="Times New Roman" w:hAnsi="Times New Roman"/>
        </w:rPr>
        <w:t xml:space="preserve"> </w:t>
      </w:r>
      <w:r>
        <w:rPr>
          <w:rStyle w:val="FontStyle78"/>
          <w:rFonts w:ascii="Times New Roman" w:hAnsi="Times New Roman"/>
        </w:rPr>
        <w:t>plăţi</w:t>
      </w:r>
      <w:r>
        <w:rPr>
          <w:rStyle w:val="FontStyle78"/>
          <w:rFonts w:ascii="Times New Roman" w:hAnsi="Times New Roman"/>
        </w:rPr>
        <w:t xml:space="preserve"> va avea ca repercusiuni blocarea </w:t>
      </w:r>
      <w:r>
        <w:rPr>
          <w:rStyle w:val="FontStyle78"/>
          <w:rFonts w:ascii="Times New Roman" w:hAnsi="Times New Roman"/>
        </w:rPr>
        <w:t>obligaţiilor</w:t>
      </w:r>
      <w:r>
        <w:rPr>
          <w:rStyle w:val="FontStyle78"/>
          <w:rFonts w:ascii="Times New Roman" w:hAnsi="Times New Roman"/>
        </w:rPr>
        <w:t xml:space="preserve"> salariale.</w:t>
      </w:r>
    </w:p>
    <w:p w:rsidR="00565124" w:rsidP="00565124" w14:paraId="19272D52" w14:textId="77777777">
      <w:pPr>
        <w:pStyle w:val="Style33"/>
        <w:widowControl/>
        <w:spacing w:before="34" w:line="240" w:lineRule="auto"/>
        <w:ind w:firstLine="993"/>
        <w:rPr>
          <w:rStyle w:val="FontStyle80"/>
          <w:rFonts w:ascii="Times New Roman" w:hAnsi="Times New Roman"/>
        </w:rPr>
      </w:pPr>
      <w:r>
        <w:rPr>
          <w:rStyle w:val="FontStyle80"/>
          <w:rFonts w:ascii="Times New Roman" w:hAnsi="Times New Roman"/>
        </w:rPr>
        <w:t xml:space="preserve">Trebuie subliniat faptul că societatea X  a avut un fond brut de salarii anual plătit de: 4.766.782 lei în anul 2022, 4.032.245 lei în anul 2021, 3.567.279 lei în anul 2020, 3.692.919 lei în anul 2019, în timp ce amenda </w:t>
      </w:r>
      <w:r>
        <w:rPr>
          <w:rStyle w:val="FontStyle80"/>
          <w:rFonts w:ascii="Times New Roman" w:hAnsi="Times New Roman"/>
        </w:rPr>
        <w:t>autorităţii</w:t>
      </w:r>
      <w:r>
        <w:rPr>
          <w:rStyle w:val="FontStyle80"/>
          <w:rFonts w:ascii="Times New Roman" w:hAnsi="Times New Roman"/>
        </w:rPr>
        <w:t xml:space="preserve"> reprezintă aproximativ un sfert din sumele anuale plătite, previzionându-se </w:t>
      </w:r>
      <w:r>
        <w:rPr>
          <w:rStyle w:val="FontStyle80"/>
          <w:rFonts w:ascii="Times New Roman" w:hAnsi="Times New Roman"/>
        </w:rPr>
        <w:t>dificultăţi</w:t>
      </w:r>
      <w:r>
        <w:rPr>
          <w:rStyle w:val="FontStyle80"/>
          <w:rFonts w:ascii="Times New Roman" w:hAnsi="Times New Roman"/>
        </w:rPr>
        <w:t xml:space="preserve"> din perspectiva acoperirii acestor cheltuieli în integralitate.</w:t>
      </w:r>
    </w:p>
    <w:p w:rsidR="00565124" w:rsidP="00565124" w14:paraId="0F025AC4" w14:textId="77777777">
      <w:pPr>
        <w:pStyle w:val="Style33"/>
        <w:widowControl/>
        <w:spacing w:before="29" w:line="240" w:lineRule="auto"/>
        <w:ind w:firstLine="993"/>
        <w:rPr>
          <w:rStyle w:val="FontStyle80"/>
          <w:rFonts w:ascii="Times New Roman" w:hAnsi="Times New Roman"/>
        </w:rPr>
      </w:pPr>
      <w:r>
        <w:rPr>
          <w:rStyle w:val="FontStyle80"/>
          <w:rFonts w:ascii="Times New Roman" w:hAnsi="Times New Roman"/>
        </w:rPr>
        <w:t>De asemenea, societatea are de achitat contracte de creditare în derulare de peste 15 milioane lei, plata amenzii diminuând posibilitatea întreprinderii de a acoperi datoriile creditate.</w:t>
      </w:r>
    </w:p>
    <w:p w:rsidR="00565124" w:rsidP="00565124" w14:paraId="6860B89D" w14:textId="77777777">
      <w:pPr>
        <w:pStyle w:val="Style33"/>
        <w:widowControl/>
        <w:spacing w:line="240" w:lineRule="auto"/>
        <w:ind w:firstLine="993"/>
        <w:rPr>
          <w:rStyle w:val="FontStyle80"/>
          <w:rFonts w:ascii="Times New Roman" w:hAnsi="Times New Roman"/>
        </w:rPr>
      </w:pPr>
      <w:r>
        <w:rPr>
          <w:rStyle w:val="FontStyle80"/>
          <w:rFonts w:ascii="Times New Roman" w:hAnsi="Times New Roman"/>
        </w:rPr>
        <w:t xml:space="preserve">Din considerentele anterioare rezultă că instituirea </w:t>
      </w:r>
      <w:r>
        <w:rPr>
          <w:rStyle w:val="FontStyle80"/>
          <w:rFonts w:ascii="Times New Roman" w:hAnsi="Times New Roman"/>
        </w:rPr>
        <w:t>plăţii</w:t>
      </w:r>
      <w:r>
        <w:rPr>
          <w:rStyle w:val="FontStyle80"/>
          <w:rFonts w:ascii="Times New Roman" w:hAnsi="Times New Roman"/>
        </w:rPr>
        <w:t xml:space="preserve"> unei amenzi în valoare de peste 1 milion lei va dezechilibra financiar semnificativ societatea, rezultând un blocaj financiar, imposibilitatea acoperirii cheltuielilor </w:t>
      </w:r>
      <w:r>
        <w:rPr>
          <w:rStyle w:val="FontStyle80"/>
          <w:rFonts w:ascii="Times New Roman" w:hAnsi="Times New Roman"/>
        </w:rPr>
        <w:t>şi</w:t>
      </w:r>
      <w:r>
        <w:rPr>
          <w:rStyle w:val="FontStyle80"/>
          <w:rFonts w:ascii="Times New Roman" w:hAnsi="Times New Roman"/>
        </w:rPr>
        <w:t xml:space="preserve"> a datorilor existente, valoare ce </w:t>
      </w:r>
      <w:r>
        <w:rPr>
          <w:rStyle w:val="FontStyle80"/>
          <w:rFonts w:ascii="Times New Roman" w:hAnsi="Times New Roman"/>
        </w:rPr>
        <w:t>depăşeşte</w:t>
      </w:r>
      <w:r>
        <w:rPr>
          <w:rStyle w:val="FontStyle80"/>
          <w:rFonts w:ascii="Times New Roman" w:hAnsi="Times New Roman"/>
        </w:rPr>
        <w:t xml:space="preserve"> profitul net al </w:t>
      </w:r>
      <w:r>
        <w:rPr>
          <w:rStyle w:val="FontStyle80"/>
          <w:rFonts w:ascii="Times New Roman" w:hAnsi="Times New Roman"/>
        </w:rPr>
        <w:t>societăţii</w:t>
      </w:r>
      <w:r>
        <w:rPr>
          <w:rStyle w:val="FontStyle80"/>
          <w:rFonts w:ascii="Times New Roman" w:hAnsi="Times New Roman"/>
        </w:rPr>
        <w:t xml:space="preserve"> la nivel de an financiar, duce cu </w:t>
      </w:r>
      <w:r>
        <w:rPr>
          <w:rStyle w:val="FontStyle80"/>
          <w:rFonts w:ascii="Times New Roman" w:hAnsi="Times New Roman"/>
        </w:rPr>
        <w:t>siguranţă</w:t>
      </w:r>
      <w:r>
        <w:rPr>
          <w:rStyle w:val="FontStyle80"/>
          <w:rFonts w:ascii="Times New Roman" w:hAnsi="Times New Roman"/>
        </w:rPr>
        <w:t xml:space="preserve"> la blocajul financiar al </w:t>
      </w:r>
      <w:r>
        <w:rPr>
          <w:rStyle w:val="FontStyle80"/>
          <w:rFonts w:ascii="Times New Roman" w:hAnsi="Times New Roman"/>
        </w:rPr>
        <w:t>societăţii</w:t>
      </w:r>
      <w:r>
        <w:rPr>
          <w:rStyle w:val="FontStyle80"/>
          <w:rFonts w:ascii="Times New Roman" w:hAnsi="Times New Roman"/>
        </w:rPr>
        <w:t xml:space="preserve"> X SRL.</w:t>
      </w:r>
    </w:p>
    <w:p w:rsidR="00565124" w:rsidP="00565124" w14:paraId="61974DB4" w14:textId="77777777">
      <w:pPr>
        <w:pStyle w:val="Style33"/>
        <w:widowControl/>
        <w:spacing w:line="240" w:lineRule="auto"/>
        <w:ind w:firstLine="993"/>
        <w:rPr>
          <w:rStyle w:val="FontStyle80"/>
          <w:rFonts w:ascii="Times New Roman" w:hAnsi="Times New Roman"/>
          <w:b/>
          <w:i/>
        </w:rPr>
      </w:pPr>
      <w:r>
        <w:rPr>
          <w:rStyle w:val="FontStyle80"/>
          <w:rFonts w:ascii="Times New Roman" w:hAnsi="Times New Roman"/>
          <w:b/>
          <w:i/>
        </w:rPr>
        <w:t>2. Întâmpinarea pârâtului</w:t>
      </w:r>
    </w:p>
    <w:p w:rsidR="00565124" w:rsidP="00565124" w14:paraId="048CD719" w14:textId="77777777">
      <w:pPr>
        <w:pStyle w:val="Style33"/>
        <w:widowControl/>
        <w:spacing w:line="240" w:lineRule="auto"/>
        <w:ind w:firstLine="993"/>
        <w:rPr>
          <w:rStyle w:val="FontStyle80"/>
          <w:rFonts w:ascii="Times New Roman" w:hAnsi="Times New Roman"/>
        </w:rPr>
      </w:pPr>
      <w:r>
        <w:rPr>
          <w:rStyle w:val="FontStyle80"/>
          <w:rFonts w:ascii="Times New Roman" w:hAnsi="Times New Roman"/>
        </w:rPr>
        <w:t xml:space="preserve">Prin întâmpinare, pârâtul a solicitat respingerea cererii de suspendare ca neîntemeiată, pentru următoarele considerente: </w:t>
      </w:r>
    </w:p>
    <w:p w:rsidR="00565124" w:rsidP="00565124" w14:paraId="2A24925B" w14:textId="77777777">
      <w:pPr>
        <w:pStyle w:val="Style10"/>
        <w:widowControl/>
        <w:spacing w:line="240" w:lineRule="auto"/>
        <w:ind w:firstLine="993"/>
        <w:rPr>
          <w:rStyle w:val="FontStyle37"/>
        </w:rPr>
      </w:pPr>
      <w:r>
        <w:rPr>
          <w:rStyle w:val="FontStyle37"/>
        </w:rPr>
        <w:t xml:space="preserve">Netemeinicia </w:t>
      </w:r>
      <w:r>
        <w:rPr>
          <w:rStyle w:val="FontStyle37"/>
        </w:rPr>
        <w:t>susţinerilor</w:t>
      </w:r>
      <w:r>
        <w:rPr>
          <w:rStyle w:val="FontStyle37"/>
        </w:rPr>
        <w:t xml:space="preserve"> X  privind îndeplinirea </w:t>
      </w:r>
      <w:r>
        <w:rPr>
          <w:rStyle w:val="FontStyle37"/>
        </w:rPr>
        <w:t>condiţiei</w:t>
      </w:r>
      <w:r>
        <w:rPr>
          <w:rStyle w:val="FontStyle37"/>
        </w:rPr>
        <w:t xml:space="preserve"> cazului bine justificat:</w:t>
      </w:r>
    </w:p>
    <w:p w:rsidR="00565124" w:rsidP="00565124" w14:paraId="580F7058" w14:textId="77777777">
      <w:pPr>
        <w:pStyle w:val="Style10"/>
        <w:widowControl/>
        <w:spacing w:line="240" w:lineRule="auto"/>
        <w:ind w:firstLine="993"/>
        <w:rPr>
          <w:rStyle w:val="FontStyle37"/>
        </w:rPr>
      </w:pPr>
      <w:r>
        <w:rPr>
          <w:rStyle w:val="FontStyle37"/>
        </w:rPr>
        <w:t xml:space="preserve">Pentru probarea cazului bine justificat, nu este suficientă doar invocarea </w:t>
      </w:r>
      <w:r>
        <w:rPr>
          <w:rStyle w:val="FontStyle37"/>
        </w:rPr>
        <w:t>nelegalităţii</w:t>
      </w:r>
      <w:r>
        <w:rPr>
          <w:rStyle w:val="FontStyle37"/>
        </w:rPr>
        <w:t xml:space="preserve"> unui act administrativ, ci este necesar să se dovedească </w:t>
      </w:r>
      <w:r>
        <w:rPr>
          <w:rStyle w:val="FontStyle37"/>
        </w:rPr>
        <w:t>existenţa</w:t>
      </w:r>
      <w:r>
        <w:rPr>
          <w:rStyle w:val="FontStyle37"/>
        </w:rPr>
        <w:t xml:space="preserve"> </w:t>
      </w:r>
      <w:r>
        <w:rPr>
          <w:rStyle w:val="FontStyle37"/>
        </w:rPr>
        <w:t>aparenţei</w:t>
      </w:r>
      <w:r>
        <w:rPr>
          <w:rStyle w:val="FontStyle37"/>
        </w:rPr>
        <w:t xml:space="preserve"> de nelegalitate sau a unor aspecte de caracter abuziv al actului a cărui suspendare se solicită.</w:t>
      </w:r>
    </w:p>
    <w:p w:rsidR="00565124" w:rsidP="00565124" w14:paraId="6355BE27" w14:textId="77777777">
      <w:pPr>
        <w:pStyle w:val="Style10"/>
        <w:widowControl/>
        <w:spacing w:line="240" w:lineRule="auto"/>
        <w:ind w:firstLine="993"/>
        <w:rPr>
          <w:rStyle w:val="FontStyle37"/>
        </w:rPr>
      </w:pPr>
      <w:r>
        <w:rPr>
          <w:rStyle w:val="FontStyle37"/>
        </w:rPr>
        <w:t xml:space="preserve">Cu titlu general, consideră că argumentele nefondate ale reclamantei în </w:t>
      </w:r>
      <w:r>
        <w:rPr>
          <w:rStyle w:val="FontStyle37"/>
        </w:rPr>
        <w:t>susţinerea</w:t>
      </w:r>
      <w:r>
        <w:rPr>
          <w:rStyle w:val="FontStyle37"/>
        </w:rPr>
        <w:t xml:space="preserve"> cazului bine justificat antamează fondul cauzei, ce constituie obiect al unui dosar distinct. </w:t>
      </w:r>
    </w:p>
    <w:p w:rsidR="00565124" w:rsidP="00565124" w14:paraId="6B6CC45E" w14:textId="77777777">
      <w:pPr>
        <w:pStyle w:val="Style10"/>
        <w:widowControl/>
        <w:spacing w:line="240" w:lineRule="auto"/>
        <w:ind w:firstLine="993"/>
        <w:rPr>
          <w:rStyle w:val="FontStyle37"/>
        </w:rPr>
      </w:pPr>
      <w:r>
        <w:rPr>
          <w:rStyle w:val="FontStyle37"/>
        </w:rPr>
        <w:t xml:space="preserve">Analizarea apărărilor reclamantei în dovedirea cazului bine justificat antamează fondul cauzei, confundându-se practic cu acesta, ceea ce nu este permis în procedura de judecată sumară a unei cereri de suspendare a executării, întrucât cazul bine justificat nu se referă la critici de nelegalitate specifice </w:t>
      </w:r>
      <w:r>
        <w:rPr>
          <w:rStyle w:val="FontStyle37"/>
        </w:rPr>
        <w:t>acţiunii</w:t>
      </w:r>
      <w:r>
        <w:rPr>
          <w:rStyle w:val="FontStyle37"/>
        </w:rPr>
        <w:t xml:space="preserve"> în anulare, ci la împrejurări legate de starea de fapt </w:t>
      </w:r>
      <w:r>
        <w:rPr>
          <w:rStyle w:val="FontStyle37"/>
        </w:rPr>
        <w:t>şi</w:t>
      </w:r>
      <w:r>
        <w:rPr>
          <w:rStyle w:val="FontStyle37"/>
        </w:rPr>
        <w:t xml:space="preserve"> de drept care sunt de natură să creeze o îndoială serioasă în </w:t>
      </w:r>
      <w:r>
        <w:rPr>
          <w:rStyle w:val="FontStyle37"/>
        </w:rPr>
        <w:t>privinţa</w:t>
      </w:r>
      <w:r>
        <w:rPr>
          <w:rStyle w:val="FontStyle37"/>
        </w:rPr>
        <w:t xml:space="preserve"> </w:t>
      </w:r>
      <w:r>
        <w:rPr>
          <w:rStyle w:val="FontStyle37"/>
        </w:rPr>
        <w:t>legalităţii</w:t>
      </w:r>
      <w:r>
        <w:rPr>
          <w:rStyle w:val="FontStyle37"/>
        </w:rPr>
        <w:t xml:space="preserve"> actului administrativ, astfel cum reiese din </w:t>
      </w:r>
      <w:r>
        <w:rPr>
          <w:rStyle w:val="FontStyle37"/>
        </w:rPr>
        <w:t>definiţia</w:t>
      </w:r>
      <w:r>
        <w:rPr>
          <w:rStyle w:val="FontStyle37"/>
        </w:rPr>
        <w:t xml:space="preserve"> prevăzută la art.2 alin.(l) lit.t) din Legea nr.554/2004.</w:t>
      </w:r>
    </w:p>
    <w:p w:rsidR="00565124" w:rsidP="00565124" w14:paraId="46B6410F" w14:textId="594FA269">
      <w:pPr>
        <w:pStyle w:val="Style10"/>
        <w:widowControl/>
        <w:spacing w:line="240" w:lineRule="auto"/>
        <w:ind w:firstLine="993"/>
        <w:rPr>
          <w:rStyle w:val="FontStyle37"/>
        </w:rPr>
      </w:pPr>
      <w:r>
        <w:rPr>
          <w:rStyle w:val="FontStyle37"/>
        </w:rPr>
        <w:t>Cercetând „</w:t>
      </w:r>
      <w:r>
        <w:rPr>
          <w:rStyle w:val="FontStyle37"/>
        </w:rPr>
        <w:t>aparenţa</w:t>
      </w:r>
      <w:r>
        <w:rPr>
          <w:rStyle w:val="FontStyle37"/>
        </w:rPr>
        <w:t xml:space="preserve"> de legalitate" a actului administrativ ce formează obiectul litigiului, fără a intra în analiza fondului, întrucât ar </w:t>
      </w:r>
      <w:r>
        <w:rPr>
          <w:rStyle w:val="FontStyle37"/>
        </w:rPr>
        <w:t>excede</w:t>
      </w:r>
      <w:r>
        <w:rPr>
          <w:rStyle w:val="FontStyle37"/>
        </w:rPr>
        <w:t xml:space="preserve"> obiectului prezentei cereri, se constată că nu există un caz bine justificat dovedit de reclamantă, întrucât toate argumentele prezentate de X  sunt, în fapt, veritabile critici de nelegalitate ale actului administrativ sau ale actelor ce au stat la baza emiterii Deciziei nr.....</w:t>
      </w:r>
      <w:r>
        <w:rPr>
          <w:rStyle w:val="FontStyle37"/>
        </w:rPr>
        <w:t>D1/2022</w:t>
      </w:r>
      <w:r>
        <w:rPr>
          <w:rStyle w:val="FontStyle37"/>
        </w:rPr>
        <w:t xml:space="preserve"> (cum sunt în concret </w:t>
      </w:r>
      <w:r>
        <w:rPr>
          <w:rStyle w:val="FontStyle37"/>
        </w:rPr>
        <w:t>susţinerile</w:t>
      </w:r>
      <w:r>
        <w:rPr>
          <w:rStyle w:val="FontStyle37"/>
        </w:rPr>
        <w:t xml:space="preserve"> referitoare la pretinsa </w:t>
      </w:r>
      <w:r>
        <w:rPr>
          <w:rStyle w:val="FontStyle37"/>
        </w:rPr>
        <w:t>aparenţă</w:t>
      </w:r>
      <w:r>
        <w:rPr>
          <w:rStyle w:val="FontStyle37"/>
        </w:rPr>
        <w:t xml:space="preserve"> de nelegalitate a ordinului de extindere a </w:t>
      </w:r>
      <w:r>
        <w:rPr>
          <w:rStyle w:val="FontStyle37"/>
        </w:rPr>
        <w:t>investigaţiei</w:t>
      </w:r>
      <w:r>
        <w:rPr>
          <w:rStyle w:val="FontStyle37"/>
        </w:rPr>
        <w:t xml:space="preserve">), aspecte care nu pot fi examinate în cadrul acestei proceduri sumare, fără administrarea de probe </w:t>
      </w:r>
      <w:r>
        <w:rPr>
          <w:rStyle w:val="FontStyle37"/>
        </w:rPr>
        <w:t>şi</w:t>
      </w:r>
      <w:r>
        <w:rPr>
          <w:rStyle w:val="FontStyle37"/>
        </w:rPr>
        <w:t xml:space="preserve"> fără </w:t>
      </w:r>
      <w:r>
        <w:rPr>
          <w:rStyle w:val="FontStyle37"/>
        </w:rPr>
        <w:t>pronunţarea</w:t>
      </w:r>
      <w:r>
        <w:rPr>
          <w:rStyle w:val="FontStyle37"/>
        </w:rPr>
        <w:t xml:space="preserve"> asupra fondului.</w:t>
      </w:r>
    </w:p>
    <w:p w:rsidR="00565124" w:rsidP="00565124" w14:paraId="58EAC07A" w14:textId="77777777">
      <w:pPr>
        <w:pStyle w:val="Style10"/>
        <w:widowControl/>
        <w:spacing w:line="240" w:lineRule="auto"/>
        <w:ind w:firstLine="993"/>
        <w:rPr>
          <w:rStyle w:val="FontStyle37"/>
        </w:rPr>
      </w:pPr>
      <w:r>
        <w:rPr>
          <w:rStyle w:val="FontStyle37"/>
        </w:rPr>
        <w:t xml:space="preserve">O astfel de abordare se impune </w:t>
      </w:r>
      <w:r>
        <w:rPr>
          <w:rStyle w:val="FontStyle37"/>
        </w:rPr>
        <w:t>şi</w:t>
      </w:r>
      <w:r>
        <w:rPr>
          <w:rStyle w:val="FontStyle37"/>
        </w:rPr>
        <w:t xml:space="preserve"> prin raportare la </w:t>
      </w:r>
      <w:r>
        <w:rPr>
          <w:rStyle w:val="FontStyle37"/>
        </w:rPr>
        <w:t>jurisprudenţa</w:t>
      </w:r>
      <w:r>
        <w:rPr>
          <w:rStyle w:val="FontStyle37"/>
        </w:rPr>
        <w:t xml:space="preserve"> Înaltei </w:t>
      </w:r>
      <w:r>
        <w:rPr>
          <w:rStyle w:val="FontStyle37"/>
        </w:rPr>
        <w:t>Curţi</w:t>
      </w:r>
      <w:r>
        <w:rPr>
          <w:rStyle w:val="FontStyle37"/>
        </w:rPr>
        <w:t xml:space="preserve"> de </w:t>
      </w:r>
      <w:r>
        <w:rPr>
          <w:rStyle w:val="FontStyle37"/>
        </w:rPr>
        <w:t>Casaţie</w:t>
      </w:r>
      <w:r>
        <w:rPr>
          <w:rStyle w:val="FontStyle37"/>
        </w:rPr>
        <w:t xml:space="preserve"> </w:t>
      </w:r>
      <w:r>
        <w:rPr>
          <w:rStyle w:val="FontStyle37"/>
        </w:rPr>
        <w:t>şi</w:t>
      </w:r>
      <w:r>
        <w:rPr>
          <w:rStyle w:val="FontStyle37"/>
        </w:rPr>
        <w:t xml:space="preserve"> </w:t>
      </w:r>
      <w:r>
        <w:rPr>
          <w:rStyle w:val="FontStyle37"/>
        </w:rPr>
        <w:t>Justiţie</w:t>
      </w:r>
      <w:r>
        <w:rPr>
          <w:rStyle w:val="FontStyle37"/>
        </w:rPr>
        <w:t>.</w:t>
      </w:r>
    </w:p>
    <w:p w:rsidR="00565124" w:rsidP="00565124" w14:paraId="40E6F4F7" w14:textId="7DAFE73D">
      <w:pPr>
        <w:pStyle w:val="Style10"/>
        <w:widowControl/>
        <w:spacing w:line="240" w:lineRule="auto"/>
        <w:ind w:firstLine="993"/>
        <w:jc w:val="left"/>
        <w:rPr>
          <w:rStyle w:val="FontStyle37"/>
        </w:rPr>
      </w:pPr>
      <w:r>
        <w:rPr>
          <w:rStyle w:val="FontStyle37"/>
        </w:rPr>
        <w:t>Precizări prealabile privind constatările din Decizia nr.......</w:t>
      </w:r>
      <w:r>
        <w:rPr>
          <w:rStyle w:val="FontStyle37"/>
        </w:rPr>
        <w:t>D1/2022</w:t>
      </w:r>
      <w:r>
        <w:rPr>
          <w:rStyle w:val="FontStyle37"/>
        </w:rPr>
        <w:t>:</w:t>
      </w:r>
    </w:p>
    <w:p w:rsidR="00565124" w:rsidP="00565124" w14:paraId="7750901A" w14:textId="77777777">
      <w:pPr>
        <w:pStyle w:val="Style10"/>
        <w:widowControl/>
        <w:spacing w:line="240" w:lineRule="auto"/>
        <w:ind w:firstLine="993"/>
        <w:rPr>
          <w:rStyle w:val="FontStyle37"/>
        </w:rPr>
      </w:pPr>
      <w:r>
        <w:rPr>
          <w:rStyle w:val="FontStyle37"/>
        </w:rPr>
        <w:t xml:space="preserve">Contrar </w:t>
      </w:r>
      <w:r>
        <w:rPr>
          <w:rStyle w:val="FontStyle37"/>
        </w:rPr>
        <w:t>susţinerilor</w:t>
      </w:r>
      <w:r>
        <w:rPr>
          <w:rStyle w:val="FontStyle37"/>
        </w:rPr>
        <w:t xml:space="preserve"> nedovedite ale reclamantei, actul administrativ contestat în cauză </w:t>
      </w:r>
      <w:r>
        <w:rPr>
          <w:rStyle w:val="FontStyle37"/>
        </w:rPr>
        <w:t>conţine</w:t>
      </w:r>
      <w:r>
        <w:rPr>
          <w:rStyle w:val="FontStyle37"/>
        </w:rPr>
        <w:t xml:space="preserve"> toate elementele </w:t>
      </w:r>
      <w:r>
        <w:rPr>
          <w:rStyle w:val="FontStyle37"/>
        </w:rPr>
        <w:t>esenţiale</w:t>
      </w:r>
      <w:r>
        <w:rPr>
          <w:rStyle w:val="FontStyle37"/>
        </w:rPr>
        <w:t xml:space="preserve"> care contribuie la stabilirea neechivocă, conform standardului de probă impus, a faptei </w:t>
      </w:r>
      <w:r>
        <w:rPr>
          <w:rStyle w:val="FontStyle37"/>
        </w:rPr>
        <w:t>anticoncurenţiale</w:t>
      </w:r>
      <w:r>
        <w:rPr>
          <w:rStyle w:val="FontStyle37"/>
        </w:rPr>
        <w:t xml:space="preserve"> pentru care reclamanta a fost </w:t>
      </w:r>
      <w:r>
        <w:rPr>
          <w:rStyle w:val="FontStyle37"/>
        </w:rPr>
        <w:t>sancţionată</w:t>
      </w:r>
      <w:r>
        <w:rPr>
          <w:rStyle w:val="FontStyle37"/>
        </w:rPr>
        <w:t xml:space="preserve">, prin identificarea tuturor aspectelor care au determinat </w:t>
      </w:r>
      <w:r>
        <w:rPr>
          <w:rStyle w:val="FontStyle37"/>
        </w:rPr>
        <w:t>incidenţa</w:t>
      </w:r>
      <w:r>
        <w:rPr>
          <w:rStyle w:val="FontStyle37"/>
        </w:rPr>
        <w:t xml:space="preserve"> </w:t>
      </w:r>
      <w:r>
        <w:rPr>
          <w:rStyle w:val="FontStyle37"/>
        </w:rPr>
        <w:t>dispoziţiilor</w:t>
      </w:r>
      <w:r>
        <w:rPr>
          <w:rStyle w:val="FontStyle37"/>
        </w:rPr>
        <w:t xml:space="preserve"> art. 5 alin. 1 din Legea </w:t>
      </w:r>
      <w:r>
        <w:rPr>
          <w:rStyle w:val="FontStyle37"/>
        </w:rPr>
        <w:t>concurenţei</w:t>
      </w:r>
      <w:r>
        <w:rPr>
          <w:rStyle w:val="FontStyle37"/>
        </w:rPr>
        <w:t xml:space="preserve"> </w:t>
      </w:r>
      <w:r>
        <w:rPr>
          <w:rStyle w:val="FontStyle37"/>
        </w:rPr>
        <w:t>şi</w:t>
      </w:r>
      <w:r>
        <w:rPr>
          <w:rStyle w:val="FontStyle37"/>
        </w:rPr>
        <w:t xml:space="preserve"> a art. 101 din Tratat, respectiv:</w:t>
      </w:r>
    </w:p>
    <w:p w:rsidR="00565124" w:rsidP="00565124" w14:paraId="68B5369F" w14:textId="77777777">
      <w:pPr>
        <w:pStyle w:val="Style10"/>
        <w:widowControl/>
        <w:tabs>
          <w:tab w:val="left" w:leader="underscore" w:pos="216"/>
          <w:tab w:val="left" w:pos="567"/>
        </w:tabs>
        <w:spacing w:line="240" w:lineRule="auto"/>
        <w:ind w:firstLine="993"/>
        <w:rPr>
          <w:rStyle w:val="FontStyle37"/>
        </w:rPr>
      </w:pPr>
      <w:r>
        <w:rPr>
          <w:rStyle w:val="FontStyle37"/>
        </w:rPr>
        <w:t xml:space="preserve">- existenta unei </w:t>
      </w:r>
      <w:r>
        <w:rPr>
          <w:rStyle w:val="FontStyle37"/>
        </w:rPr>
        <w:t>înţelegeri</w:t>
      </w:r>
      <w:r>
        <w:rPr>
          <w:rStyle w:val="FontStyle37"/>
        </w:rPr>
        <w:t xml:space="preserve"> </w:t>
      </w:r>
      <w:r>
        <w:rPr>
          <w:rStyle w:val="FontStyle37"/>
        </w:rPr>
        <w:t>şi</w:t>
      </w:r>
      <w:r>
        <w:rPr>
          <w:rStyle w:val="FontStyle37"/>
        </w:rPr>
        <w:t xml:space="preserve">/sau practici concertate între reclamanta X  </w:t>
      </w:r>
      <w:r>
        <w:rPr>
          <w:rStyle w:val="FontStyle37"/>
        </w:rPr>
        <w:t>şi</w:t>
      </w:r>
      <w:r>
        <w:rPr>
          <w:rStyle w:val="FontStyle37"/>
        </w:rPr>
        <w:t xml:space="preserve"> Z ;</w:t>
      </w:r>
    </w:p>
    <w:p w:rsidR="00565124" w:rsidP="00565124" w14:paraId="0AFD514D" w14:textId="77777777">
      <w:pPr>
        <w:pStyle w:val="Style23"/>
        <w:widowControl/>
        <w:tabs>
          <w:tab w:val="left" w:pos="0"/>
          <w:tab w:val="left" w:pos="567"/>
        </w:tabs>
        <w:spacing w:line="240" w:lineRule="auto"/>
        <w:ind w:firstLine="993"/>
        <w:rPr>
          <w:rStyle w:val="FontStyle37"/>
        </w:rPr>
      </w:pPr>
      <w:r>
        <w:rPr>
          <w:rStyle w:val="FontStyle37"/>
        </w:rPr>
        <w:t xml:space="preserve">- natura </w:t>
      </w:r>
      <w:r>
        <w:rPr>
          <w:rStyle w:val="FontStyle37"/>
        </w:rPr>
        <w:t>anticoncurenţială</w:t>
      </w:r>
      <w:r>
        <w:rPr>
          <w:rStyle w:val="FontStyle37"/>
        </w:rPr>
        <w:t xml:space="preserve"> a obiectului acestei </w:t>
      </w:r>
      <w:r>
        <w:rPr>
          <w:rStyle w:val="FontStyle37"/>
        </w:rPr>
        <w:t>înţelegeri</w:t>
      </w:r>
      <w:r>
        <w:rPr>
          <w:rStyle w:val="FontStyle37"/>
        </w:rPr>
        <w:t xml:space="preserve"> </w:t>
      </w:r>
      <w:r>
        <w:rPr>
          <w:rStyle w:val="FontStyle37"/>
        </w:rPr>
        <w:t>şi</w:t>
      </w:r>
      <w:r>
        <w:rPr>
          <w:rStyle w:val="FontStyle37"/>
        </w:rPr>
        <w:t xml:space="preserve">/sau practici concertate, cu indicarea probelor pe care s-a fundamentat </w:t>
      </w:r>
      <w:r>
        <w:rPr>
          <w:rStyle w:val="FontStyle37"/>
        </w:rPr>
        <w:t>raţionamentul</w:t>
      </w:r>
      <w:r>
        <w:rPr>
          <w:rStyle w:val="FontStyle37"/>
        </w:rPr>
        <w:t xml:space="preserve"> Consiliului </w:t>
      </w:r>
      <w:r>
        <w:rPr>
          <w:rStyle w:val="FontStyle37"/>
        </w:rPr>
        <w:t>Concurenţei</w:t>
      </w:r>
      <w:r>
        <w:rPr>
          <w:rStyle w:val="FontStyle37"/>
        </w:rPr>
        <w:t xml:space="preserve">, precum </w:t>
      </w:r>
      <w:r>
        <w:rPr>
          <w:rStyle w:val="FontStyle37"/>
        </w:rPr>
        <w:t>şi</w:t>
      </w:r>
      <w:r>
        <w:rPr>
          <w:rStyle w:val="FontStyle37"/>
        </w:rPr>
        <w:t xml:space="preserve"> prezentarea modului în care acestea au fost analizate </w:t>
      </w:r>
      <w:r>
        <w:rPr>
          <w:rStyle w:val="FontStyle37"/>
        </w:rPr>
        <w:t>şi</w:t>
      </w:r>
      <w:r>
        <w:rPr>
          <w:rStyle w:val="FontStyle37"/>
        </w:rPr>
        <w:t xml:space="preserve"> interpretate, aspecte care conduc la concluzia că decizia atacată este un act administrativ motivat;</w:t>
      </w:r>
    </w:p>
    <w:p w:rsidR="00565124" w:rsidP="00565124" w14:paraId="33249ACA" w14:textId="77777777">
      <w:pPr>
        <w:pStyle w:val="Style23"/>
        <w:widowControl/>
        <w:tabs>
          <w:tab w:val="left" w:pos="0"/>
          <w:tab w:val="left" w:pos="567"/>
        </w:tabs>
        <w:spacing w:line="240" w:lineRule="auto"/>
        <w:ind w:firstLine="993"/>
        <w:rPr>
          <w:rStyle w:val="FontStyle37"/>
        </w:rPr>
      </w:pPr>
      <w:r>
        <w:rPr>
          <w:rStyle w:val="FontStyle37"/>
        </w:rPr>
        <w:t xml:space="preserve">- precizarea </w:t>
      </w:r>
      <w:r>
        <w:rPr>
          <w:rStyle w:val="FontStyle37"/>
        </w:rPr>
        <w:t>inexistenţei</w:t>
      </w:r>
      <w:r>
        <w:rPr>
          <w:rStyle w:val="FontStyle37"/>
        </w:rPr>
        <w:t xml:space="preserve"> unei cauze care să determine </w:t>
      </w:r>
      <w:r>
        <w:rPr>
          <w:rStyle w:val="FontStyle37"/>
        </w:rPr>
        <w:t>neincidenţa</w:t>
      </w:r>
      <w:r>
        <w:rPr>
          <w:rStyle w:val="FontStyle37"/>
        </w:rPr>
        <w:t xml:space="preserve"> </w:t>
      </w:r>
      <w:r>
        <w:rPr>
          <w:rStyle w:val="FontStyle37"/>
        </w:rPr>
        <w:t>dispoziţiilor</w:t>
      </w:r>
      <w:r>
        <w:rPr>
          <w:rStyle w:val="FontStyle37"/>
        </w:rPr>
        <w:t xml:space="preserve"> art. 5 alin. 1 din lege si a art.101 alin.(l) (respectiv a faptului ca nu se întrunesc cumulativ </w:t>
      </w:r>
      <w:r>
        <w:rPr>
          <w:rStyle w:val="FontStyle37"/>
        </w:rPr>
        <w:t>condiţiile</w:t>
      </w:r>
      <w:r>
        <w:rPr>
          <w:rStyle w:val="FontStyle37"/>
        </w:rPr>
        <w:t xml:space="preserve"> prevăzute la art. 5 alin. (2) din lege </w:t>
      </w:r>
      <w:r>
        <w:rPr>
          <w:rStyle w:val="FontStyle37"/>
        </w:rPr>
        <w:t>şi</w:t>
      </w:r>
      <w:r>
        <w:rPr>
          <w:rStyle w:val="FontStyle37"/>
        </w:rPr>
        <w:t xml:space="preserve"> art. 101 alin.(3) din Tratat);</w:t>
      </w:r>
    </w:p>
    <w:p w:rsidR="00565124" w:rsidP="00565124" w14:paraId="1E530A7B" w14:textId="77777777">
      <w:pPr>
        <w:pStyle w:val="Style23"/>
        <w:widowControl/>
        <w:tabs>
          <w:tab w:val="left" w:pos="0"/>
          <w:tab w:val="left" w:pos="567"/>
        </w:tabs>
        <w:spacing w:line="240" w:lineRule="auto"/>
        <w:ind w:firstLine="993"/>
        <w:rPr>
          <w:rStyle w:val="FontStyle37"/>
        </w:rPr>
      </w:pPr>
      <w:r>
        <w:rPr>
          <w:rStyle w:val="FontStyle37"/>
        </w:rPr>
        <w:t xml:space="preserve">- motivarea afectării </w:t>
      </w:r>
      <w:r>
        <w:rPr>
          <w:rStyle w:val="FontStyle37"/>
        </w:rPr>
        <w:t>comerţului</w:t>
      </w:r>
      <w:r>
        <w:rPr>
          <w:rStyle w:val="FontStyle37"/>
        </w:rPr>
        <w:t xml:space="preserve"> dintre Statele Membre, ceea ce atrage </w:t>
      </w:r>
      <w:r>
        <w:rPr>
          <w:rStyle w:val="FontStyle37"/>
        </w:rPr>
        <w:t>incidenţa</w:t>
      </w:r>
      <w:r>
        <w:rPr>
          <w:rStyle w:val="FontStyle37"/>
        </w:rPr>
        <w:t xml:space="preserve"> art.101 alin.(l) TFUE;</w:t>
      </w:r>
    </w:p>
    <w:p w:rsidR="00565124" w:rsidP="00565124" w14:paraId="72C5D504" w14:textId="77777777">
      <w:pPr>
        <w:pStyle w:val="Style23"/>
        <w:widowControl/>
        <w:tabs>
          <w:tab w:val="left" w:pos="0"/>
          <w:tab w:val="left" w:pos="567"/>
        </w:tabs>
        <w:spacing w:line="240" w:lineRule="auto"/>
        <w:ind w:firstLine="993"/>
        <w:rPr>
          <w:rStyle w:val="FontStyle37"/>
        </w:rPr>
      </w:pPr>
      <w:r>
        <w:rPr>
          <w:rStyle w:val="FontStyle37"/>
        </w:rPr>
        <w:t xml:space="preserve">- precizarea </w:t>
      </w:r>
      <w:r>
        <w:rPr>
          <w:rStyle w:val="FontStyle37"/>
        </w:rPr>
        <w:t>poziţiei</w:t>
      </w:r>
      <w:r>
        <w:rPr>
          <w:rStyle w:val="FontStyle37"/>
        </w:rPr>
        <w:t xml:space="preserve"> Consiliului Concurentei în </w:t>
      </w:r>
      <w:r>
        <w:rPr>
          <w:rStyle w:val="FontStyle37"/>
        </w:rPr>
        <w:t>privinţa</w:t>
      </w:r>
      <w:r>
        <w:rPr>
          <w:rStyle w:val="FontStyle37"/>
        </w:rPr>
        <w:t xml:space="preserve"> </w:t>
      </w:r>
      <w:r>
        <w:rPr>
          <w:rStyle w:val="FontStyle37"/>
        </w:rPr>
        <w:t>observaţiilor</w:t>
      </w:r>
      <w:r>
        <w:rPr>
          <w:rStyle w:val="FontStyle37"/>
        </w:rPr>
        <w:t xml:space="preserve"> formulate de reclamantă, </w:t>
      </w:r>
      <w:r>
        <w:rPr>
          <w:rStyle w:val="FontStyle37"/>
        </w:rPr>
        <w:t>faţă</w:t>
      </w:r>
      <w:r>
        <w:rPr>
          <w:rStyle w:val="FontStyle37"/>
        </w:rPr>
        <w:t xml:space="preserve"> de concluziile Raportului de </w:t>
      </w:r>
      <w:r>
        <w:rPr>
          <w:rStyle w:val="FontStyle37"/>
        </w:rPr>
        <w:t>investigaţie</w:t>
      </w:r>
      <w:r>
        <w:rPr>
          <w:rStyle w:val="FontStyle37"/>
        </w:rPr>
        <w:t xml:space="preserve">, cu indicarea motivelor pentru care respectivele </w:t>
      </w:r>
      <w:r>
        <w:rPr>
          <w:rStyle w:val="FontStyle37"/>
        </w:rPr>
        <w:t>susţineri</w:t>
      </w:r>
      <w:r>
        <w:rPr>
          <w:rStyle w:val="FontStyle37"/>
        </w:rPr>
        <w:t xml:space="preserve"> nu au fost de natură a înlătura </w:t>
      </w:r>
      <w:r>
        <w:rPr>
          <w:rStyle w:val="FontStyle37"/>
        </w:rPr>
        <w:t>vinovăţia</w:t>
      </w:r>
      <w:r>
        <w:rPr>
          <w:rStyle w:val="FontStyle37"/>
        </w:rPr>
        <w:t xml:space="preserve"> întreprinderilor;</w:t>
      </w:r>
    </w:p>
    <w:p w:rsidR="00565124" w:rsidP="00565124" w14:paraId="2A89ED78" w14:textId="77777777">
      <w:pPr>
        <w:pStyle w:val="Style23"/>
        <w:widowControl/>
        <w:tabs>
          <w:tab w:val="left" w:pos="0"/>
          <w:tab w:val="left" w:pos="567"/>
        </w:tabs>
        <w:spacing w:line="240" w:lineRule="auto"/>
        <w:ind w:firstLine="993"/>
        <w:rPr>
          <w:rStyle w:val="FontStyle37"/>
        </w:rPr>
      </w:pPr>
      <w:r>
        <w:rPr>
          <w:rStyle w:val="FontStyle37"/>
        </w:rPr>
        <w:t xml:space="preserve">- prezentarea procesului de individualizare a </w:t>
      </w:r>
      <w:r>
        <w:rPr>
          <w:rStyle w:val="FontStyle37"/>
        </w:rPr>
        <w:t>sancţiunii</w:t>
      </w:r>
      <w:r>
        <w:rPr>
          <w:rStyle w:val="FontStyle37"/>
        </w:rPr>
        <w:t>.</w:t>
      </w:r>
    </w:p>
    <w:p w:rsidR="00565124" w:rsidP="00565124" w14:paraId="0867E78B" w14:textId="77777777">
      <w:pPr>
        <w:pStyle w:val="Style11"/>
        <w:widowControl/>
        <w:tabs>
          <w:tab w:val="left" w:pos="696"/>
        </w:tabs>
        <w:spacing w:line="240" w:lineRule="auto"/>
        <w:ind w:firstLine="993"/>
        <w:rPr>
          <w:rStyle w:val="FontStyle37"/>
        </w:rPr>
      </w:pPr>
      <w:r>
        <w:rPr>
          <w:rStyle w:val="FontStyle37"/>
        </w:rPr>
        <w:t>Susţinerile</w:t>
      </w:r>
      <w:r>
        <w:rPr>
          <w:rStyle w:val="FontStyle37"/>
        </w:rPr>
        <w:t xml:space="preserve"> X  potrivit cărora ordinul de extindere a </w:t>
      </w:r>
      <w:r>
        <w:rPr>
          <w:rStyle w:val="FontStyle37"/>
        </w:rPr>
        <w:t>investigaţiei</w:t>
      </w:r>
      <w:r>
        <w:rPr>
          <w:rStyle w:val="FontStyle37"/>
        </w:rPr>
        <w:br/>
        <w:t xml:space="preserve">nr............./27.10.2020, prin care a fost inclusă în </w:t>
      </w:r>
      <w:r>
        <w:rPr>
          <w:rStyle w:val="FontStyle37"/>
        </w:rPr>
        <w:t>investigaţie</w:t>
      </w:r>
      <w:r>
        <w:rPr>
          <w:rStyle w:val="FontStyle37"/>
        </w:rPr>
        <w:t xml:space="preserve"> societatea X , a fost emis fără ca </w:t>
      </w:r>
      <w:r>
        <w:rPr>
          <w:rStyle w:val="FontStyle37"/>
        </w:rPr>
        <w:t>preşedintele</w:t>
      </w:r>
      <w:r>
        <w:rPr>
          <w:rStyle w:val="FontStyle37"/>
        </w:rPr>
        <w:t xml:space="preserve"> CC să aibă mandat valabil:</w:t>
      </w:r>
    </w:p>
    <w:p w:rsidR="00565124" w:rsidP="00565124" w14:paraId="152A75E6" w14:textId="534AD563">
      <w:pPr>
        <w:pStyle w:val="Style10"/>
        <w:widowControl/>
        <w:spacing w:line="240" w:lineRule="auto"/>
        <w:ind w:firstLine="993"/>
        <w:rPr>
          <w:rStyle w:val="FontStyle37"/>
        </w:rPr>
      </w:pPr>
      <w:r>
        <w:rPr>
          <w:rStyle w:val="FontStyle37"/>
        </w:rPr>
        <w:t xml:space="preserve">În contextul acestor </w:t>
      </w:r>
      <w:r>
        <w:rPr>
          <w:rStyle w:val="FontStyle37"/>
        </w:rPr>
        <w:t>susţineri</w:t>
      </w:r>
      <w:r>
        <w:rPr>
          <w:rStyle w:val="FontStyle37"/>
        </w:rPr>
        <w:t xml:space="preserve">, reclamanta X  afirmă la pct. 15 că </w:t>
      </w:r>
      <w:r>
        <w:rPr>
          <w:rStyle w:val="FontStyle37"/>
        </w:rPr>
        <w:t>deşi</w:t>
      </w:r>
      <w:r>
        <w:rPr>
          <w:rStyle w:val="FontStyle37"/>
        </w:rPr>
        <w:t xml:space="preserve"> ordinul de extindere a </w:t>
      </w:r>
      <w:r>
        <w:rPr>
          <w:rStyle w:val="FontStyle37"/>
        </w:rPr>
        <w:t>investigaţiei</w:t>
      </w:r>
      <w:r>
        <w:rPr>
          <w:rStyle w:val="FontStyle37"/>
        </w:rPr>
        <w:t xml:space="preserve"> nu reprezintă actul a cărui suspendare este solicitată, acesta a fost actul administrativ în temeiul căruia societatea X  a fost introdusă în </w:t>
      </w:r>
      <w:r>
        <w:rPr>
          <w:rStyle w:val="FontStyle37"/>
        </w:rPr>
        <w:t>investigaţie</w:t>
      </w:r>
      <w:r>
        <w:rPr>
          <w:rStyle w:val="FontStyle37"/>
        </w:rPr>
        <w:t xml:space="preserve"> </w:t>
      </w:r>
      <w:r>
        <w:rPr>
          <w:rStyle w:val="FontStyle37"/>
        </w:rPr>
        <w:t>şi</w:t>
      </w:r>
      <w:r>
        <w:rPr>
          <w:rStyle w:val="FontStyle37"/>
        </w:rPr>
        <w:t xml:space="preserve"> "suferă de vicii de legalitate evidente", prezentând la pct.17 din cererea de suspendare argumentele în baza cărora apreciază că ordinul nr. </w:t>
      </w:r>
      <w:r>
        <w:rPr>
          <w:rStyle w:val="FontStyle37"/>
        </w:rPr>
        <w:t>O1</w:t>
      </w:r>
      <w:r>
        <w:rPr>
          <w:rStyle w:val="FontStyle37"/>
        </w:rPr>
        <w:t>/2020 este vădit nelegal, în principal că la momentul emiterii Ordinului nr.</w:t>
      </w:r>
      <w:r>
        <w:rPr>
          <w:rStyle w:val="FontStyle37"/>
        </w:rPr>
        <w:t>O1</w:t>
      </w:r>
      <w:r>
        <w:rPr>
          <w:rStyle w:val="FontStyle37"/>
        </w:rPr>
        <w:t xml:space="preserve">, </w:t>
      </w:r>
      <w:r>
        <w:rPr>
          <w:rStyle w:val="FontStyle37"/>
        </w:rPr>
        <w:t>preşedintele</w:t>
      </w:r>
      <w:r>
        <w:rPr>
          <w:rStyle w:val="FontStyle37"/>
        </w:rPr>
        <w:t xml:space="preserve"> CC se afla în prelungire (nelegală </w:t>
      </w:r>
      <w:r>
        <w:rPr>
          <w:rStyle w:val="FontStyle37"/>
        </w:rPr>
        <w:t>şi</w:t>
      </w:r>
      <w:r>
        <w:rPr>
          <w:rStyle w:val="FontStyle37"/>
        </w:rPr>
        <w:t xml:space="preserve"> </w:t>
      </w:r>
      <w:r>
        <w:rPr>
          <w:rStyle w:val="FontStyle37"/>
        </w:rPr>
        <w:t>neconstituţională</w:t>
      </w:r>
      <w:r>
        <w:rPr>
          <w:rStyle w:val="FontStyle37"/>
        </w:rPr>
        <w:t>) de mandat.</w:t>
      </w:r>
    </w:p>
    <w:p w:rsidR="00565124" w:rsidP="00565124" w14:paraId="18F9A716" w14:textId="77777777">
      <w:pPr>
        <w:pStyle w:val="Style11"/>
        <w:widowControl/>
        <w:tabs>
          <w:tab w:val="left" w:pos="586"/>
        </w:tabs>
        <w:spacing w:line="240" w:lineRule="auto"/>
        <w:ind w:firstLine="993"/>
        <w:rPr>
          <w:rStyle w:val="FontStyle37"/>
        </w:rPr>
      </w:pPr>
      <w:r>
        <w:rPr>
          <w:rStyle w:val="FontStyle37"/>
        </w:rPr>
        <w:t xml:space="preserve">Cu titlu prealabil, a arătat că la momentul emiterii ordinului de extindere a </w:t>
      </w:r>
      <w:r>
        <w:rPr>
          <w:rStyle w:val="FontStyle37"/>
        </w:rPr>
        <w:t>investigaţiei</w:t>
      </w:r>
      <w:r>
        <w:rPr>
          <w:rStyle w:val="FontStyle37"/>
        </w:rPr>
        <w:t xml:space="preserve"> (27.10.2020), art. 18 alin. (3) din Legea </w:t>
      </w:r>
      <w:r>
        <w:rPr>
          <w:rStyle w:val="FontStyle37"/>
        </w:rPr>
        <w:t>concurenţei</w:t>
      </w:r>
      <w:r>
        <w:rPr>
          <w:rStyle w:val="FontStyle37"/>
        </w:rPr>
        <w:t xml:space="preserve"> era în vigoare, Decizia CCR nr. 58/2021 fiind obligatorie </w:t>
      </w:r>
      <w:r>
        <w:rPr>
          <w:rStyle w:val="FontStyle37"/>
        </w:rPr>
        <w:t>şi</w:t>
      </w:r>
      <w:r>
        <w:rPr>
          <w:rStyle w:val="FontStyle37"/>
        </w:rPr>
        <w:t xml:space="preserve"> producând efecte pentru viitor de la momentul publicării acesteia </w:t>
      </w:r>
      <w:r>
        <w:rPr>
          <w:rStyle w:val="FontStyle37"/>
        </w:rPr>
        <w:t>înMonitorul</w:t>
      </w:r>
      <w:r>
        <w:rPr>
          <w:rStyle w:val="FontStyle37"/>
        </w:rPr>
        <w:t xml:space="preserve"> Oficial al României (04.05.2021), deci ulterior extinderii </w:t>
      </w:r>
      <w:r>
        <w:rPr>
          <w:rStyle w:val="FontStyle37"/>
        </w:rPr>
        <w:t>investigaţiei</w:t>
      </w:r>
      <w:r>
        <w:rPr>
          <w:rStyle w:val="FontStyle37"/>
        </w:rPr>
        <w:t>.</w:t>
      </w:r>
    </w:p>
    <w:p w:rsidR="00565124" w:rsidP="00565124" w14:paraId="3C8BC91D" w14:textId="77777777">
      <w:pPr>
        <w:pStyle w:val="Style10"/>
        <w:widowControl/>
        <w:spacing w:line="240" w:lineRule="auto"/>
        <w:ind w:firstLine="993"/>
        <w:rPr>
          <w:rStyle w:val="FontStyle37"/>
        </w:rPr>
      </w:pPr>
      <w:r>
        <w:rPr>
          <w:rStyle w:val="FontStyle37"/>
        </w:rPr>
        <w:t xml:space="preserve">Astfel, prin raportare la prevederile art. 18 alin. (3) din Legea </w:t>
      </w:r>
      <w:r>
        <w:rPr>
          <w:rStyle w:val="FontStyle37"/>
        </w:rPr>
        <w:t>concurenţei</w:t>
      </w:r>
      <w:r>
        <w:rPr>
          <w:rStyle w:val="FontStyle37"/>
        </w:rPr>
        <w:t xml:space="preserve"> </w:t>
      </w:r>
      <w:r>
        <w:rPr>
          <w:rStyle w:val="FontStyle37"/>
        </w:rPr>
        <w:t>şi</w:t>
      </w:r>
      <w:r>
        <w:rPr>
          <w:rStyle w:val="FontStyle37"/>
        </w:rPr>
        <w:t xml:space="preserve"> dat fiind </w:t>
      </w:r>
      <w:r>
        <w:rPr>
          <w:rStyle w:val="FontStyle37"/>
        </w:rPr>
        <w:t>obligaţia</w:t>
      </w:r>
      <w:r>
        <w:rPr>
          <w:rStyle w:val="FontStyle37"/>
        </w:rPr>
        <w:t xml:space="preserve"> ce revenea </w:t>
      </w:r>
      <w:r>
        <w:rPr>
          <w:rStyle w:val="FontStyle37"/>
        </w:rPr>
        <w:t>autorităţii</w:t>
      </w:r>
      <w:r>
        <w:rPr>
          <w:rStyle w:val="FontStyle37"/>
        </w:rPr>
        <w:t xml:space="preserve"> de </w:t>
      </w:r>
      <w:r>
        <w:rPr>
          <w:rStyle w:val="FontStyle37"/>
        </w:rPr>
        <w:t>concurenţă</w:t>
      </w:r>
      <w:r>
        <w:rPr>
          <w:rStyle w:val="FontStyle37"/>
        </w:rPr>
        <w:t xml:space="preserve"> de a aplica prevederile legale aflate în vigoare:</w:t>
      </w:r>
    </w:p>
    <w:p w:rsidR="00565124" w:rsidP="00565124" w14:paraId="59AF3A5F" w14:textId="77777777">
      <w:pPr>
        <w:pStyle w:val="Style10"/>
        <w:widowControl/>
        <w:spacing w:line="240" w:lineRule="auto"/>
        <w:ind w:firstLine="993"/>
        <w:rPr>
          <w:rStyle w:val="FontStyle37"/>
        </w:rPr>
      </w:pPr>
      <w:r>
        <w:rPr>
          <w:rStyle w:val="FontStyle37"/>
        </w:rPr>
        <w:t xml:space="preserve">- la data de 27.10.2020 (extinderea </w:t>
      </w:r>
      <w:r>
        <w:rPr>
          <w:rStyle w:val="FontStyle37"/>
        </w:rPr>
        <w:t>investigaţiei</w:t>
      </w:r>
      <w:r>
        <w:rPr>
          <w:rStyle w:val="FontStyle37"/>
        </w:rPr>
        <w:t xml:space="preserve">), dl. Q era abilitat să exercite calitatea de </w:t>
      </w:r>
      <w:r>
        <w:rPr>
          <w:rStyle w:val="FontStyle37"/>
        </w:rPr>
        <w:t>preşedinte</w:t>
      </w:r>
      <w:r>
        <w:rPr>
          <w:rStyle w:val="FontStyle37"/>
        </w:rPr>
        <w:t xml:space="preserve"> al CC </w:t>
      </w:r>
      <w:r>
        <w:rPr>
          <w:rStyle w:val="FontStyle37"/>
        </w:rPr>
        <w:t>şi</w:t>
      </w:r>
      <w:r>
        <w:rPr>
          <w:rStyle w:val="FontStyle37"/>
        </w:rPr>
        <w:t xml:space="preserve"> de membru al Plenului CC,</w:t>
      </w:r>
    </w:p>
    <w:p w:rsidR="00565124" w:rsidP="00565124" w14:paraId="325F2A60" w14:textId="77777777">
      <w:pPr>
        <w:pStyle w:val="Style10"/>
        <w:widowControl/>
        <w:spacing w:line="240" w:lineRule="auto"/>
        <w:ind w:firstLine="993"/>
        <w:rPr>
          <w:rStyle w:val="FontStyle37"/>
        </w:rPr>
      </w:pPr>
      <w:r>
        <w:rPr>
          <w:rStyle w:val="FontStyle37"/>
        </w:rPr>
        <w:t xml:space="preserve">- dl. Q avea </w:t>
      </w:r>
      <w:r>
        <w:rPr>
          <w:rStyle w:val="FontStyle37"/>
        </w:rPr>
        <w:t>obligaţia</w:t>
      </w:r>
      <w:r>
        <w:rPr>
          <w:rStyle w:val="FontStyle37"/>
        </w:rPr>
        <w:t xml:space="preserve"> legală de a-</w:t>
      </w:r>
      <w:r>
        <w:rPr>
          <w:rStyle w:val="FontStyle37"/>
        </w:rPr>
        <w:t>şi</w:t>
      </w:r>
      <w:r>
        <w:rPr>
          <w:rStyle w:val="FontStyle37"/>
        </w:rPr>
        <w:t xml:space="preserve"> continua activitatea până la momentul depunerii jurământului de către persoanele desemnate pentru mandatul următor.</w:t>
      </w:r>
    </w:p>
    <w:p w:rsidR="00565124" w:rsidP="00565124" w14:paraId="07E972E1" w14:textId="77777777">
      <w:pPr>
        <w:pStyle w:val="Style10"/>
        <w:widowControl/>
        <w:spacing w:line="240" w:lineRule="auto"/>
        <w:ind w:firstLine="993"/>
        <w:rPr>
          <w:rStyle w:val="FontStyle37"/>
        </w:rPr>
      </w:pPr>
      <w:r>
        <w:rPr>
          <w:rStyle w:val="FontStyle37"/>
        </w:rPr>
        <w:t>Deşi</w:t>
      </w:r>
      <w:r>
        <w:rPr>
          <w:rStyle w:val="FontStyle37"/>
        </w:rPr>
        <w:t xml:space="preserve"> prevederile indicate au fost calificate, la un moment ulterior, ca </w:t>
      </w:r>
      <w:r>
        <w:rPr>
          <w:rStyle w:val="FontStyle37"/>
        </w:rPr>
        <w:t>neconstituţionale</w:t>
      </w:r>
      <w:r>
        <w:rPr>
          <w:rStyle w:val="FontStyle37"/>
        </w:rPr>
        <w:t xml:space="preserve">, la data extinderii </w:t>
      </w:r>
      <w:r>
        <w:rPr>
          <w:rStyle w:val="FontStyle37"/>
        </w:rPr>
        <w:t>investigaţiei</w:t>
      </w:r>
      <w:r>
        <w:rPr>
          <w:rStyle w:val="FontStyle37"/>
        </w:rPr>
        <w:t xml:space="preserve">, acestea erau în vigoare, bucurându-se de </w:t>
      </w:r>
      <w:r>
        <w:rPr>
          <w:rStyle w:val="FontStyle37"/>
        </w:rPr>
        <w:t>prezumţia</w:t>
      </w:r>
      <w:r>
        <w:rPr>
          <w:rStyle w:val="FontStyle37"/>
        </w:rPr>
        <w:t xml:space="preserve"> de </w:t>
      </w:r>
      <w:r>
        <w:rPr>
          <w:rStyle w:val="FontStyle37"/>
        </w:rPr>
        <w:t>constituţionalitate</w:t>
      </w:r>
      <w:r>
        <w:rPr>
          <w:rStyle w:val="FontStyle37"/>
        </w:rPr>
        <w:t xml:space="preserve">, aveau caracter imperativ </w:t>
      </w:r>
      <w:r>
        <w:rPr>
          <w:rStyle w:val="FontStyle37"/>
        </w:rPr>
        <w:t>şi</w:t>
      </w:r>
      <w:r>
        <w:rPr>
          <w:rStyle w:val="FontStyle37"/>
        </w:rPr>
        <w:t xml:space="preserve"> erau obligatorii </w:t>
      </w:r>
      <w:r>
        <w:rPr>
          <w:rStyle w:val="FontStyle37"/>
        </w:rPr>
        <w:t>erga</w:t>
      </w:r>
      <w:r>
        <w:rPr>
          <w:rStyle w:val="FontStyle37"/>
        </w:rPr>
        <w:t xml:space="preserve"> </w:t>
      </w:r>
      <w:r>
        <w:rPr>
          <w:rStyle w:val="FontStyle37"/>
        </w:rPr>
        <w:t>omnes</w:t>
      </w:r>
      <w:r>
        <w:rPr>
          <w:rStyle w:val="FontStyle37"/>
        </w:rPr>
        <w:t xml:space="preserve"> - context în care autoritatea de </w:t>
      </w:r>
      <w:r>
        <w:rPr>
          <w:rStyle w:val="FontStyle37"/>
        </w:rPr>
        <w:t>concurenţă</w:t>
      </w:r>
      <w:r>
        <w:rPr>
          <w:rStyle w:val="FontStyle37"/>
        </w:rPr>
        <w:t xml:space="preserve"> a procedat în mod corect aplicând aceste prevederi, o conduită contrară legii fiind tocmai aceea în care nu s-ar fi recunoscut efectele produse de </w:t>
      </w:r>
      <w:r>
        <w:rPr>
          <w:rStyle w:val="FontStyle37"/>
        </w:rPr>
        <w:t>dispoziţiile</w:t>
      </w:r>
      <w:r>
        <w:rPr>
          <w:rStyle w:val="FontStyle37"/>
        </w:rPr>
        <w:t xml:space="preserve"> în </w:t>
      </w:r>
      <w:r>
        <w:rPr>
          <w:rStyle w:val="FontStyle37"/>
        </w:rPr>
        <w:t>discuţie</w:t>
      </w:r>
      <w:r>
        <w:rPr>
          <w:rStyle w:val="FontStyle37"/>
        </w:rPr>
        <w:t>.</w:t>
      </w:r>
    </w:p>
    <w:p w:rsidR="00565124" w:rsidP="00565124" w14:paraId="21E8D897" w14:textId="77777777">
      <w:pPr>
        <w:pStyle w:val="Style10"/>
        <w:widowControl/>
        <w:spacing w:line="240" w:lineRule="auto"/>
        <w:ind w:firstLine="993"/>
        <w:rPr>
          <w:rStyle w:val="FontStyle37"/>
        </w:rPr>
      </w:pPr>
      <w:r>
        <w:rPr>
          <w:rStyle w:val="FontStyle37"/>
        </w:rPr>
        <w:t xml:space="preserve">Legiuitorul a optat pentru încetarea efectelor unei norme declarate </w:t>
      </w:r>
      <w:r>
        <w:rPr>
          <w:rStyle w:val="FontStyle37"/>
        </w:rPr>
        <w:t>neconstituţionale</w:t>
      </w:r>
      <w:r>
        <w:rPr>
          <w:rStyle w:val="FontStyle37"/>
        </w:rPr>
        <w:t xml:space="preserve"> doar pentru viitor, tocmai pentru a nu bulversa ordinea juridică </w:t>
      </w:r>
      <w:r>
        <w:rPr>
          <w:rStyle w:val="FontStyle37"/>
        </w:rPr>
        <w:t>şi</w:t>
      </w:r>
      <w:r>
        <w:rPr>
          <w:rStyle w:val="FontStyle37"/>
        </w:rPr>
        <w:t xml:space="preserve"> a nu </w:t>
      </w:r>
      <w:r>
        <w:rPr>
          <w:rStyle w:val="FontStyle37"/>
        </w:rPr>
        <w:t>sancţiona</w:t>
      </w:r>
      <w:r>
        <w:rPr>
          <w:rStyle w:val="FontStyle37"/>
        </w:rPr>
        <w:t xml:space="preserve"> pe cei care s-au încrezut în cadrul normativ existent, în contextul în care respectiva normă beneficia de </w:t>
      </w:r>
      <w:r>
        <w:rPr>
          <w:rStyle w:val="FontStyle37"/>
        </w:rPr>
        <w:t>prezumţia</w:t>
      </w:r>
      <w:r>
        <w:rPr>
          <w:rStyle w:val="FontStyle37"/>
        </w:rPr>
        <w:t xml:space="preserve"> de </w:t>
      </w:r>
      <w:r>
        <w:rPr>
          <w:rStyle w:val="FontStyle37"/>
        </w:rPr>
        <w:t>constituţionalitate</w:t>
      </w:r>
      <w:r>
        <w:rPr>
          <w:rStyle w:val="FontStyle37"/>
        </w:rPr>
        <w:t xml:space="preserve"> </w:t>
      </w:r>
      <w:r>
        <w:rPr>
          <w:rStyle w:val="FontStyle37"/>
        </w:rPr>
        <w:t>şi</w:t>
      </w:r>
      <w:r>
        <w:rPr>
          <w:rStyle w:val="FontStyle37"/>
        </w:rPr>
        <w:t xml:space="preserve"> legalitate. în </w:t>
      </w:r>
      <w:r>
        <w:rPr>
          <w:rStyle w:val="FontStyle37"/>
        </w:rPr>
        <w:t>jurisprudenţa</w:t>
      </w:r>
      <w:r>
        <w:rPr>
          <w:rStyle w:val="FontStyle37"/>
        </w:rPr>
        <w:t xml:space="preserve"> sa, Curtea </w:t>
      </w:r>
      <w:r>
        <w:rPr>
          <w:rStyle w:val="FontStyle37"/>
        </w:rPr>
        <w:t>Constituţională</w:t>
      </w:r>
      <w:r>
        <w:rPr>
          <w:rStyle w:val="FontStyle37"/>
        </w:rPr>
        <w:t xml:space="preserve"> arată că „din motive de securitate </w:t>
      </w:r>
      <w:r>
        <w:rPr>
          <w:rStyle w:val="FontStyle37"/>
        </w:rPr>
        <w:t>şi</w:t>
      </w:r>
      <w:r>
        <w:rPr>
          <w:rStyle w:val="FontStyle37"/>
        </w:rPr>
        <w:t xml:space="preserve"> de stabilitate a circuitului juridic, </w:t>
      </w:r>
      <w:r>
        <w:rPr>
          <w:rStyle w:val="FontStyle37"/>
        </w:rPr>
        <w:t>Constituţia</w:t>
      </w:r>
      <w:r>
        <w:rPr>
          <w:rStyle w:val="FontStyle37"/>
        </w:rPr>
        <w:t xml:space="preserve"> României prevede că efectele declarării </w:t>
      </w:r>
      <w:r>
        <w:rPr>
          <w:rStyle w:val="FontStyle37"/>
        </w:rPr>
        <w:t>neconstituţionalităţii</w:t>
      </w:r>
      <w:r>
        <w:rPr>
          <w:rStyle w:val="FontStyle37"/>
        </w:rPr>
        <w:t xml:space="preserve"> a actului (legi, </w:t>
      </w:r>
      <w:r>
        <w:rPr>
          <w:rStyle w:val="FontStyle37"/>
        </w:rPr>
        <w:t>ordonanţe</w:t>
      </w:r>
      <w:r>
        <w:rPr>
          <w:rStyle w:val="FontStyle37"/>
        </w:rPr>
        <w:t xml:space="preserve">, regulamente) se produc ex </w:t>
      </w:r>
      <w:r>
        <w:rPr>
          <w:rStyle w:val="FontStyle37"/>
        </w:rPr>
        <w:t>nunc</w:t>
      </w:r>
      <w:r>
        <w:rPr>
          <w:rStyle w:val="FontStyle37"/>
        </w:rPr>
        <w:t>".</w:t>
      </w:r>
    </w:p>
    <w:p w:rsidR="00565124" w:rsidP="00565124" w14:paraId="7CC9CAD4" w14:textId="77777777">
      <w:pPr>
        <w:pStyle w:val="Style10"/>
        <w:widowControl/>
        <w:spacing w:line="240" w:lineRule="auto"/>
        <w:ind w:firstLine="993"/>
        <w:rPr>
          <w:rStyle w:val="FontStyle37"/>
        </w:rPr>
      </w:pPr>
      <w:r>
        <w:rPr>
          <w:rStyle w:val="FontStyle37"/>
        </w:rPr>
        <w:t>Aşadar</w:t>
      </w:r>
      <w:r>
        <w:rPr>
          <w:rStyle w:val="FontStyle37"/>
        </w:rPr>
        <w:t xml:space="preserve">, </w:t>
      </w:r>
      <w:r>
        <w:rPr>
          <w:rStyle w:val="FontStyle37"/>
        </w:rPr>
        <w:t>prezumţia</w:t>
      </w:r>
      <w:r>
        <w:rPr>
          <w:rStyle w:val="FontStyle37"/>
        </w:rPr>
        <w:t xml:space="preserve"> de validitate </w:t>
      </w:r>
      <w:r>
        <w:rPr>
          <w:rStyle w:val="FontStyle37"/>
        </w:rPr>
        <w:t>şi</w:t>
      </w:r>
      <w:r>
        <w:rPr>
          <w:rStyle w:val="FontStyle37"/>
        </w:rPr>
        <w:t xml:space="preserve"> de </w:t>
      </w:r>
      <w:r>
        <w:rPr>
          <w:rStyle w:val="FontStyle37"/>
        </w:rPr>
        <w:t>constituţionalitate</w:t>
      </w:r>
      <w:r>
        <w:rPr>
          <w:rStyle w:val="FontStyle37"/>
        </w:rPr>
        <w:t xml:space="preserve"> care </w:t>
      </w:r>
      <w:r>
        <w:rPr>
          <w:rStyle w:val="FontStyle37"/>
        </w:rPr>
        <w:t>însoţeşte</w:t>
      </w:r>
      <w:r>
        <w:rPr>
          <w:rStyle w:val="FontStyle37"/>
        </w:rPr>
        <w:t xml:space="preserve"> o normă legală încetează de la data publicării deciziei </w:t>
      </w:r>
      <w:r>
        <w:rPr>
          <w:rStyle w:val="FontStyle37"/>
        </w:rPr>
        <w:t>instanţei</w:t>
      </w:r>
      <w:r>
        <w:rPr>
          <w:rStyle w:val="FontStyle37"/>
        </w:rPr>
        <w:t xml:space="preserve"> de contencios </w:t>
      </w:r>
      <w:r>
        <w:rPr>
          <w:rStyle w:val="FontStyle37"/>
        </w:rPr>
        <w:t>constituţional</w:t>
      </w:r>
      <w:r>
        <w:rPr>
          <w:rStyle w:val="FontStyle37"/>
        </w:rPr>
        <w:t xml:space="preserve"> care statuează în sens contrar </w:t>
      </w:r>
      <w:r>
        <w:rPr>
          <w:rStyle w:val="FontStyle37"/>
        </w:rPr>
        <w:t>şi</w:t>
      </w:r>
      <w:r>
        <w:rPr>
          <w:rStyle w:val="FontStyle37"/>
        </w:rPr>
        <w:t xml:space="preserve"> că respectiva normă nu mai poate face parte din ordinea juridică (mai întâi efectele ei fiind suspendate de drept pe o perioadă de 45 de zile, timp în care legiuitorul trebuie să pună de acord norma constatată ca fiind </w:t>
      </w:r>
      <w:r>
        <w:rPr>
          <w:rStyle w:val="FontStyle37"/>
        </w:rPr>
        <w:t>neconstituţională</w:t>
      </w:r>
      <w:r>
        <w:rPr>
          <w:rStyle w:val="FontStyle37"/>
        </w:rPr>
        <w:t xml:space="preserve"> cu statuările </w:t>
      </w:r>
      <w:r>
        <w:rPr>
          <w:rStyle w:val="FontStyle37"/>
        </w:rPr>
        <w:t>Curţii</w:t>
      </w:r>
      <w:r>
        <w:rPr>
          <w:rStyle w:val="FontStyle37"/>
        </w:rPr>
        <w:t xml:space="preserve"> </w:t>
      </w:r>
      <w:r>
        <w:rPr>
          <w:rStyle w:val="FontStyle37"/>
        </w:rPr>
        <w:t>Constituţionale</w:t>
      </w:r>
      <w:r>
        <w:rPr>
          <w:rStyle w:val="FontStyle37"/>
        </w:rPr>
        <w:t xml:space="preserve">, conform art. 147 alin. (1) din </w:t>
      </w:r>
      <w:r>
        <w:rPr>
          <w:rStyle w:val="FontStyle37"/>
        </w:rPr>
        <w:t>Constituţie</w:t>
      </w:r>
      <w:r>
        <w:rPr>
          <w:rStyle w:val="FontStyle37"/>
        </w:rPr>
        <w:t xml:space="preserve"> </w:t>
      </w:r>
      <w:r>
        <w:rPr>
          <w:rStyle w:val="FontStyle37"/>
        </w:rPr>
        <w:t>şi</w:t>
      </w:r>
      <w:r>
        <w:rPr>
          <w:rStyle w:val="FontStyle37"/>
        </w:rPr>
        <w:t xml:space="preserve"> art. 31 alin. (3) din Legea nr. 47/1992).</w:t>
      </w:r>
    </w:p>
    <w:p w:rsidR="00565124" w:rsidP="00565124" w14:paraId="64772D23" w14:textId="77777777">
      <w:pPr>
        <w:pStyle w:val="Style10"/>
        <w:widowControl/>
        <w:spacing w:line="240" w:lineRule="auto"/>
        <w:ind w:firstLine="993"/>
        <w:rPr>
          <w:rStyle w:val="FontStyle37"/>
        </w:rPr>
      </w:pPr>
      <w:r>
        <w:rPr>
          <w:rStyle w:val="FontStyle37"/>
        </w:rPr>
        <w:t xml:space="preserve">Declararea unei norme ca </w:t>
      </w:r>
      <w:r>
        <w:rPr>
          <w:rStyle w:val="FontStyle37"/>
        </w:rPr>
        <w:t>neconstituţională</w:t>
      </w:r>
      <w:r>
        <w:rPr>
          <w:rStyle w:val="FontStyle37"/>
        </w:rPr>
        <w:t xml:space="preserve"> este asemănătoare abrogării respectivei norme, care lasă </w:t>
      </w:r>
      <w:r>
        <w:rPr>
          <w:rStyle w:val="FontStyle37"/>
        </w:rPr>
        <w:t>situaţiile</w:t>
      </w:r>
      <w:r>
        <w:rPr>
          <w:rStyle w:val="FontStyle37"/>
        </w:rPr>
        <w:t xml:space="preserve"> trecute, încheiate în perioada ei de activitate, neatinse, </w:t>
      </w:r>
      <w:r>
        <w:rPr>
          <w:rStyle w:val="FontStyle37"/>
        </w:rPr>
        <w:t>consecinţele</w:t>
      </w:r>
      <w:r>
        <w:rPr>
          <w:rStyle w:val="FontStyle37"/>
        </w:rPr>
        <w:t xml:space="preserve"> înlăturării normei (prin declararea acesteia ca </w:t>
      </w:r>
      <w:r>
        <w:rPr>
          <w:rStyle w:val="FontStyle37"/>
        </w:rPr>
        <w:t>neconstituţională</w:t>
      </w:r>
      <w:r>
        <w:rPr>
          <w:rStyle w:val="FontStyle37"/>
        </w:rPr>
        <w:t>) fiind rezervate domeniului viitorului.</w:t>
      </w:r>
    </w:p>
    <w:p w:rsidR="00565124" w:rsidP="00565124" w14:paraId="4B0B76F3" w14:textId="77777777">
      <w:pPr>
        <w:pStyle w:val="Style10"/>
        <w:widowControl/>
        <w:spacing w:line="240" w:lineRule="auto"/>
        <w:ind w:firstLine="993"/>
        <w:rPr>
          <w:rStyle w:val="FontStyle37"/>
        </w:rPr>
      </w:pPr>
      <w:r>
        <w:rPr>
          <w:rStyle w:val="FontStyle37"/>
        </w:rPr>
        <w:t xml:space="preserve">În acest context, </w:t>
      </w:r>
      <w:r>
        <w:rPr>
          <w:rStyle w:val="FontStyle37"/>
        </w:rPr>
        <w:t>pronunţarea</w:t>
      </w:r>
      <w:r>
        <w:rPr>
          <w:rStyle w:val="FontStyle37"/>
        </w:rPr>
        <w:t xml:space="preserve"> Deciziei CCR nr. 58/2021 </w:t>
      </w:r>
      <w:r>
        <w:rPr>
          <w:rStyle w:val="FontStyle37"/>
        </w:rPr>
        <w:t>şi</w:t>
      </w:r>
      <w:r>
        <w:rPr>
          <w:rStyle w:val="FontStyle37"/>
        </w:rPr>
        <w:t xml:space="preserve"> publicarea acesteia în M. Of. la data de 04 mai 2021 nu sunt de natură a </w:t>
      </w:r>
      <w:r>
        <w:rPr>
          <w:rStyle w:val="FontStyle37"/>
        </w:rPr>
        <w:t>influenţa</w:t>
      </w:r>
      <w:r>
        <w:rPr>
          <w:rStyle w:val="FontStyle37"/>
        </w:rPr>
        <w:t xml:space="preserve"> </w:t>
      </w:r>
      <w:r>
        <w:rPr>
          <w:rStyle w:val="FontStyle37"/>
        </w:rPr>
        <w:t>situaţia</w:t>
      </w:r>
      <w:r>
        <w:rPr>
          <w:rStyle w:val="FontStyle37"/>
        </w:rPr>
        <w:t xml:space="preserve"> </w:t>
      </w:r>
      <w:r>
        <w:rPr>
          <w:rStyle w:val="FontStyle37"/>
        </w:rPr>
        <w:t>incidenţă</w:t>
      </w:r>
      <w:r>
        <w:rPr>
          <w:rStyle w:val="FontStyle37"/>
        </w:rPr>
        <w:t xml:space="preserve"> la data de 27.10.2020, prin prisma efectelor pentru viitor ale acestei decizii. Această concluzie este </w:t>
      </w:r>
      <w:r>
        <w:rPr>
          <w:rStyle w:val="FontStyle37"/>
        </w:rPr>
        <w:t>susţinută</w:t>
      </w:r>
      <w:r>
        <w:rPr>
          <w:rStyle w:val="FontStyle37"/>
        </w:rPr>
        <w:t xml:space="preserve"> de aspectul că toate demersurile realizate cât timp norma era prezumată validă, </w:t>
      </w:r>
      <w:r>
        <w:rPr>
          <w:rStyle w:val="FontStyle37"/>
        </w:rPr>
        <w:t>constituţională</w:t>
      </w:r>
      <w:r>
        <w:rPr>
          <w:rStyle w:val="FontStyle37"/>
        </w:rPr>
        <w:t xml:space="preserve">, cu respectarea </w:t>
      </w:r>
      <w:r>
        <w:rPr>
          <w:rStyle w:val="FontStyle37"/>
        </w:rPr>
        <w:t>prescripţiilor</w:t>
      </w:r>
      <w:r>
        <w:rPr>
          <w:rStyle w:val="FontStyle37"/>
        </w:rPr>
        <w:t xml:space="preserve"> acesteia, erau considerate ca integrându-se ordinii juridice.</w:t>
      </w:r>
    </w:p>
    <w:p w:rsidR="00565124" w:rsidP="00565124" w14:paraId="11DF1CF3" w14:textId="77777777">
      <w:pPr>
        <w:pStyle w:val="Style10"/>
        <w:widowControl/>
        <w:spacing w:line="240" w:lineRule="auto"/>
        <w:ind w:firstLine="993"/>
        <w:rPr>
          <w:rStyle w:val="FontStyle37"/>
        </w:rPr>
      </w:pPr>
      <w:r>
        <w:rPr>
          <w:rStyle w:val="FontStyle37"/>
        </w:rPr>
        <w:t xml:space="preserve">Momentul în raport cu care s-au stabilit coordonatele mandatului </w:t>
      </w:r>
      <w:r>
        <w:rPr>
          <w:rStyle w:val="FontStyle37"/>
        </w:rPr>
        <w:t>şi</w:t>
      </w:r>
      <w:r>
        <w:rPr>
          <w:rStyle w:val="FontStyle37"/>
        </w:rPr>
        <w:t xml:space="preserve"> posibilitatea de exercitare a </w:t>
      </w:r>
      <w:r>
        <w:rPr>
          <w:rStyle w:val="FontStyle37"/>
        </w:rPr>
        <w:t>atribuţiilor</w:t>
      </w:r>
      <w:r>
        <w:rPr>
          <w:rStyle w:val="FontStyle37"/>
        </w:rPr>
        <w:t xml:space="preserve"> ce derivă din acesta era </w:t>
      </w:r>
      <w:r>
        <w:rPr>
          <w:rStyle w:val="FontStyle37"/>
        </w:rPr>
        <w:t>depăşit</w:t>
      </w:r>
      <w:r>
        <w:rPr>
          <w:rStyle w:val="FontStyle37"/>
        </w:rPr>
        <w:t xml:space="preserve"> la data publicării Deciziei CCR, astfel încât aplicarea efectelor acestei decizii pentru o atare </w:t>
      </w:r>
      <w:r>
        <w:rPr>
          <w:rStyle w:val="FontStyle37"/>
        </w:rPr>
        <w:t>situaţie</w:t>
      </w:r>
      <w:r>
        <w:rPr>
          <w:rStyle w:val="FontStyle37"/>
        </w:rPr>
        <w:t xml:space="preserve"> ar însemna o întoarcere în timp cu </w:t>
      </w:r>
      <w:r>
        <w:rPr>
          <w:rStyle w:val="FontStyle37"/>
        </w:rPr>
        <w:t>consecinţa</w:t>
      </w:r>
      <w:r>
        <w:rPr>
          <w:rStyle w:val="FontStyle37"/>
        </w:rPr>
        <w:t xml:space="preserve"> directă a încălcării principiului </w:t>
      </w:r>
      <w:r>
        <w:rPr>
          <w:rStyle w:val="FontStyle37"/>
        </w:rPr>
        <w:t>neretroactivităţii</w:t>
      </w:r>
      <w:r>
        <w:rPr>
          <w:rStyle w:val="FontStyle37"/>
        </w:rPr>
        <w:t>.</w:t>
      </w:r>
    </w:p>
    <w:p w:rsidR="00565124" w:rsidP="00565124" w14:paraId="3766537F" w14:textId="77777777">
      <w:pPr>
        <w:pStyle w:val="Style10"/>
        <w:widowControl/>
        <w:spacing w:line="240" w:lineRule="auto"/>
        <w:ind w:firstLine="993"/>
        <w:rPr>
          <w:rStyle w:val="FontStyle37"/>
        </w:rPr>
      </w:pPr>
      <w:r>
        <w:rPr>
          <w:rStyle w:val="FontStyle37"/>
        </w:rPr>
        <w:t xml:space="preserve">Pornind de la aceste aspecte principiale, în care în </w:t>
      </w:r>
      <w:r>
        <w:rPr>
          <w:rStyle w:val="FontStyle37"/>
        </w:rPr>
        <w:t>speţă</w:t>
      </w:r>
      <w:r>
        <w:rPr>
          <w:rStyle w:val="FontStyle37"/>
        </w:rPr>
        <w:t xml:space="preserve"> erau îndeplinite </w:t>
      </w:r>
      <w:r>
        <w:rPr>
          <w:rStyle w:val="FontStyle37"/>
        </w:rPr>
        <w:t>condiţiile</w:t>
      </w:r>
      <w:r>
        <w:rPr>
          <w:rStyle w:val="FontStyle37"/>
        </w:rPr>
        <w:t xml:space="preserve"> prevăzute de lege pentru parcurgerea validă a procedurii specifice de extindere a </w:t>
      </w:r>
      <w:r>
        <w:rPr>
          <w:rStyle w:val="FontStyle37"/>
        </w:rPr>
        <w:t>investigaţiei</w:t>
      </w:r>
      <w:r>
        <w:rPr>
          <w:rStyle w:val="FontStyle37"/>
        </w:rPr>
        <w:t>.</w:t>
      </w:r>
    </w:p>
    <w:p w:rsidR="00565124" w:rsidP="00565124" w14:paraId="6B9DF1F8" w14:textId="77777777">
      <w:pPr>
        <w:pStyle w:val="Style10"/>
        <w:widowControl/>
        <w:spacing w:line="240" w:lineRule="auto"/>
        <w:ind w:firstLine="993"/>
        <w:rPr>
          <w:rStyle w:val="FontStyle37"/>
        </w:rPr>
      </w:pPr>
      <w:r>
        <w:rPr>
          <w:rStyle w:val="FontStyle37"/>
        </w:rPr>
        <w:t xml:space="preserve">La baza emiterii ordinului de extindere a </w:t>
      </w:r>
      <w:r>
        <w:rPr>
          <w:rStyle w:val="FontStyle37"/>
        </w:rPr>
        <w:t>investigaţiei</w:t>
      </w:r>
      <w:r>
        <w:rPr>
          <w:rStyle w:val="FontStyle37"/>
        </w:rPr>
        <w:t xml:space="preserve"> în ceea ce o </w:t>
      </w:r>
      <w:r>
        <w:rPr>
          <w:rStyle w:val="FontStyle37"/>
        </w:rPr>
        <w:t>priveşte</w:t>
      </w:r>
      <w:r>
        <w:rPr>
          <w:rStyle w:val="FontStyle37"/>
        </w:rPr>
        <w:t xml:space="preserve"> pe reclamantă stă hotărârea Plenului CC, aceasta întrunind </w:t>
      </w:r>
      <w:r>
        <w:rPr>
          <w:rStyle w:val="FontStyle37"/>
        </w:rPr>
        <w:t>condiţiile</w:t>
      </w:r>
      <w:r>
        <w:rPr>
          <w:rStyle w:val="FontStyle37"/>
        </w:rPr>
        <w:t xml:space="preserve"> de legalitate prevăzute de Legea </w:t>
      </w:r>
      <w:r>
        <w:rPr>
          <w:rStyle w:val="FontStyle37"/>
        </w:rPr>
        <w:t>concurenţei</w:t>
      </w:r>
      <w:r>
        <w:rPr>
          <w:rStyle w:val="FontStyle37"/>
        </w:rPr>
        <w:t xml:space="preserve"> cu privire la emiterea valabilă.</w:t>
      </w:r>
    </w:p>
    <w:p w:rsidR="00565124" w:rsidP="00565124" w14:paraId="2558B832" w14:textId="77777777">
      <w:pPr>
        <w:pStyle w:val="Style10"/>
        <w:widowControl/>
        <w:spacing w:line="240" w:lineRule="auto"/>
        <w:ind w:firstLine="993"/>
        <w:rPr>
          <w:rStyle w:val="FontStyle37"/>
        </w:rPr>
      </w:pPr>
      <w:r>
        <w:rPr>
          <w:rStyle w:val="FontStyle37"/>
        </w:rPr>
        <w:t xml:space="preserve">Astfel, potrivit art. 15 din Legea </w:t>
      </w:r>
      <w:r>
        <w:rPr>
          <w:rStyle w:val="FontStyle37"/>
        </w:rPr>
        <w:t>concurenţei</w:t>
      </w:r>
      <w:r>
        <w:rPr>
          <w:rStyle w:val="FontStyle37"/>
        </w:rPr>
        <w:t xml:space="preserve">, Plenul </w:t>
      </w:r>
      <w:r>
        <w:rPr>
          <w:rStyle w:val="FontStyle37"/>
        </w:rPr>
        <w:t>autorităţii</w:t>
      </w:r>
      <w:r>
        <w:rPr>
          <w:rStyle w:val="FontStyle37"/>
        </w:rPr>
        <w:t xml:space="preserve"> de </w:t>
      </w:r>
      <w:r>
        <w:rPr>
          <w:rStyle w:val="FontStyle37"/>
        </w:rPr>
        <w:t>concurenţă</w:t>
      </w:r>
      <w:r>
        <w:rPr>
          <w:rStyle w:val="FontStyle37"/>
        </w:rPr>
        <w:t xml:space="preserve"> - este un organ colegial format din 7 membri: un </w:t>
      </w:r>
      <w:r>
        <w:rPr>
          <w:rStyle w:val="FontStyle37"/>
        </w:rPr>
        <w:t>preşedinte</w:t>
      </w:r>
      <w:r>
        <w:rPr>
          <w:rStyle w:val="FontStyle37"/>
        </w:rPr>
        <w:t xml:space="preserve">, 2 </w:t>
      </w:r>
      <w:r>
        <w:rPr>
          <w:rStyle w:val="FontStyle37"/>
        </w:rPr>
        <w:t>vicepreşedinţi</w:t>
      </w:r>
      <w:r>
        <w:rPr>
          <w:rStyle w:val="FontStyle37"/>
        </w:rPr>
        <w:t xml:space="preserve"> si 4 consilieri de concurenta, în ceea ce </w:t>
      </w:r>
      <w:r>
        <w:rPr>
          <w:rStyle w:val="FontStyle37"/>
        </w:rPr>
        <w:t>priveşte</w:t>
      </w:r>
      <w:r>
        <w:rPr>
          <w:rStyle w:val="FontStyle37"/>
        </w:rPr>
        <w:t xml:space="preserve"> adoptarea unor hotărâri de către Plenul Consiliului Concurentei, art. 19 alin. (1) din Legea </w:t>
      </w:r>
      <w:r>
        <w:rPr>
          <w:rStyle w:val="FontStyle37"/>
        </w:rPr>
        <w:t>concurenţei</w:t>
      </w:r>
      <w:r>
        <w:rPr>
          <w:rStyle w:val="FontStyle37"/>
        </w:rPr>
        <w:t xml:space="preserve"> reglementează expres </w:t>
      </w:r>
      <w:r>
        <w:rPr>
          <w:rStyle w:val="FontStyle37"/>
        </w:rPr>
        <w:t>condiţiile</w:t>
      </w:r>
      <w:r>
        <w:rPr>
          <w:rStyle w:val="FontStyle37"/>
        </w:rPr>
        <w:t xml:space="preserve"> în care organul colegial se </w:t>
      </w:r>
      <w:r>
        <w:rPr>
          <w:rStyle w:val="FontStyle37"/>
        </w:rPr>
        <w:t>întruneşte</w:t>
      </w:r>
      <w:r>
        <w:rPr>
          <w:rStyle w:val="FontStyle37"/>
        </w:rPr>
        <w:t xml:space="preserve"> valabil, respectiv în </w:t>
      </w:r>
      <w:r>
        <w:rPr>
          <w:rStyle w:val="FontStyle37"/>
        </w:rPr>
        <w:t>prezenţa</w:t>
      </w:r>
      <w:r>
        <w:rPr>
          <w:rStyle w:val="FontStyle37"/>
        </w:rPr>
        <w:t xml:space="preserve"> </w:t>
      </w:r>
      <w:r>
        <w:rPr>
          <w:rStyle w:val="FontStyle37"/>
        </w:rPr>
        <w:t>majorităţii</w:t>
      </w:r>
      <w:r>
        <w:rPr>
          <w:rStyle w:val="FontStyle37"/>
        </w:rPr>
        <w:t xml:space="preserve"> membrilor în </w:t>
      </w:r>
      <w:r>
        <w:rPr>
          <w:rStyle w:val="FontStyle37"/>
        </w:rPr>
        <w:t>funcţie</w:t>
      </w:r>
      <w:r>
        <w:rPr>
          <w:rStyle w:val="FontStyle37"/>
        </w:rPr>
        <w:t xml:space="preserve">, dar nu mai </w:t>
      </w:r>
      <w:r>
        <w:rPr>
          <w:rStyle w:val="FontStyle37"/>
        </w:rPr>
        <w:t>puţin</w:t>
      </w:r>
      <w:r>
        <w:rPr>
          <w:rStyle w:val="FontStyle37"/>
        </w:rPr>
        <w:t xml:space="preserve"> de trei dintre </w:t>
      </w:r>
      <w:r>
        <w:rPr>
          <w:rStyle w:val="FontStyle37"/>
        </w:rPr>
        <w:t>aceştia</w:t>
      </w:r>
      <w:r>
        <w:rPr>
          <w:rStyle w:val="FontStyle37"/>
        </w:rPr>
        <w:t xml:space="preserve">. în </w:t>
      </w:r>
      <w:r>
        <w:rPr>
          <w:rStyle w:val="FontStyle37"/>
        </w:rPr>
        <w:t>acelaşi</w:t>
      </w:r>
      <w:r>
        <w:rPr>
          <w:rStyle w:val="FontStyle37"/>
        </w:rPr>
        <w:t xml:space="preserve"> timp, se prevede că adoptarea unei </w:t>
      </w:r>
      <w:r>
        <w:rPr>
          <w:rStyle w:val="FontStyle37"/>
        </w:rPr>
        <w:t>soluţii</w:t>
      </w:r>
      <w:r>
        <w:rPr>
          <w:rStyle w:val="FontStyle37"/>
        </w:rPr>
        <w:t xml:space="preserve"> se face cu votul </w:t>
      </w:r>
      <w:r>
        <w:rPr>
          <w:rStyle w:val="FontStyle37"/>
        </w:rPr>
        <w:t>majorităţii</w:t>
      </w:r>
      <w:r>
        <w:rPr>
          <w:rStyle w:val="FontStyle37"/>
        </w:rPr>
        <w:t xml:space="preserve"> membrilor </w:t>
      </w:r>
      <w:r>
        <w:rPr>
          <w:rStyle w:val="FontStyle37"/>
        </w:rPr>
        <w:t>prezenţi</w:t>
      </w:r>
      <w:r>
        <w:rPr>
          <w:rStyle w:val="FontStyle37"/>
        </w:rPr>
        <w:t>.</w:t>
      </w:r>
    </w:p>
    <w:p w:rsidR="00565124" w:rsidP="00565124" w14:paraId="579F2ECE" w14:textId="77777777">
      <w:pPr>
        <w:pStyle w:val="Style10"/>
        <w:widowControl/>
        <w:spacing w:line="240" w:lineRule="auto"/>
        <w:ind w:firstLine="993"/>
        <w:jc w:val="left"/>
        <w:rPr>
          <w:rStyle w:val="FontStyle37"/>
        </w:rPr>
      </w:pPr>
      <w:r>
        <w:rPr>
          <w:rStyle w:val="FontStyle37"/>
        </w:rPr>
        <w:t xml:space="preserve">Astfel, potrivit art. 19 alin. (1) din Legea </w:t>
      </w:r>
      <w:r>
        <w:rPr>
          <w:rStyle w:val="FontStyle37"/>
        </w:rPr>
        <w:t>concurenţei</w:t>
      </w:r>
      <w:r>
        <w:rPr>
          <w:rStyle w:val="FontStyle37"/>
        </w:rPr>
        <w:t>:</w:t>
      </w:r>
    </w:p>
    <w:p w:rsidR="00565124" w:rsidP="00565124" w14:paraId="10D36A1C" w14:textId="77777777">
      <w:pPr>
        <w:pStyle w:val="Style19"/>
        <w:widowControl/>
        <w:spacing w:line="240" w:lineRule="auto"/>
        <w:ind w:firstLine="993"/>
        <w:rPr>
          <w:i/>
        </w:rPr>
      </w:pPr>
      <w:r>
        <w:rPr>
          <w:rStyle w:val="FontStyle39"/>
        </w:rPr>
        <w:t>„</w:t>
      </w:r>
      <w:r>
        <w:rPr>
          <w:i/>
        </w:rPr>
        <w:t xml:space="preserve">Consiliul </w:t>
      </w:r>
      <w:r>
        <w:rPr>
          <w:i/>
        </w:rPr>
        <w:t>Concurenţei</w:t>
      </w:r>
      <w:r>
        <w:rPr>
          <w:i/>
        </w:rPr>
        <w:t xml:space="preserve"> </w:t>
      </w:r>
      <w:r>
        <w:rPr>
          <w:i/>
        </w:rPr>
        <w:t>îşi</w:t>
      </w:r>
      <w:r>
        <w:rPr>
          <w:i/>
        </w:rPr>
        <w:t xml:space="preserve"> </w:t>
      </w:r>
      <w:r>
        <w:rPr>
          <w:i/>
        </w:rPr>
        <w:t>desfăşoară</w:t>
      </w:r>
      <w:r>
        <w:rPr>
          <w:i/>
        </w:rPr>
        <w:t xml:space="preserve"> activitatea, deliberează </w:t>
      </w:r>
      <w:r>
        <w:rPr>
          <w:i/>
        </w:rPr>
        <w:t>şi</w:t>
      </w:r>
      <w:r>
        <w:rPr>
          <w:i/>
        </w:rPr>
        <w:t xml:space="preserve"> ia decizii în plen sau în comisii. Plenul Consiliului </w:t>
      </w:r>
      <w:r>
        <w:rPr>
          <w:i/>
        </w:rPr>
        <w:t>Concurenţei</w:t>
      </w:r>
      <w:r>
        <w:rPr>
          <w:i/>
        </w:rPr>
        <w:t xml:space="preserve"> se </w:t>
      </w:r>
      <w:r>
        <w:rPr>
          <w:i/>
        </w:rPr>
        <w:t>întruneşte</w:t>
      </w:r>
      <w:r>
        <w:rPr>
          <w:i/>
        </w:rPr>
        <w:t xml:space="preserve"> valabil în </w:t>
      </w:r>
      <w:r>
        <w:rPr>
          <w:i/>
        </w:rPr>
        <w:t>prezenţa</w:t>
      </w:r>
      <w:r>
        <w:rPr>
          <w:i/>
        </w:rPr>
        <w:t xml:space="preserve"> </w:t>
      </w:r>
      <w:r>
        <w:rPr>
          <w:i/>
        </w:rPr>
        <w:t>majorităţii</w:t>
      </w:r>
      <w:r>
        <w:rPr>
          <w:i/>
        </w:rPr>
        <w:t xml:space="preserve"> </w:t>
      </w:r>
      <w:r>
        <w:rPr>
          <w:i/>
        </w:rPr>
        <w:t xml:space="preserve">membrilor în </w:t>
      </w:r>
      <w:r>
        <w:rPr>
          <w:i/>
        </w:rPr>
        <w:t>funcţie</w:t>
      </w:r>
      <w:r>
        <w:rPr>
          <w:i/>
        </w:rPr>
        <w:t xml:space="preserve">, dar nu mai </w:t>
      </w:r>
      <w:r>
        <w:rPr>
          <w:i/>
        </w:rPr>
        <w:t>puţin</w:t>
      </w:r>
      <w:r>
        <w:rPr>
          <w:i/>
        </w:rPr>
        <w:t xml:space="preserve"> de 3 dintre </w:t>
      </w:r>
      <w:r>
        <w:rPr>
          <w:i/>
        </w:rPr>
        <w:t>aceştia</w:t>
      </w:r>
      <w:r>
        <w:rPr>
          <w:i/>
        </w:rPr>
        <w:t xml:space="preserve">, </w:t>
      </w:r>
      <w:r>
        <w:rPr>
          <w:i/>
        </w:rPr>
        <w:t>şi</w:t>
      </w:r>
      <w:r>
        <w:rPr>
          <w:i/>
        </w:rPr>
        <w:t xml:space="preserve"> adoptă hotărâri cu votul </w:t>
      </w:r>
      <w:r>
        <w:rPr>
          <w:i/>
        </w:rPr>
        <w:t>majorităţii</w:t>
      </w:r>
      <w:r>
        <w:rPr>
          <w:i/>
        </w:rPr>
        <w:t xml:space="preserve"> membrilor </w:t>
      </w:r>
      <w:r>
        <w:rPr>
          <w:i/>
        </w:rPr>
        <w:t>prezenţi</w:t>
      </w:r>
      <w:r>
        <w:rPr>
          <w:i/>
        </w:rPr>
        <w:t>",</w:t>
      </w:r>
    </w:p>
    <w:p w:rsidR="00565124" w:rsidP="00565124" w14:paraId="199A5C69" w14:textId="77777777">
      <w:pPr>
        <w:pStyle w:val="Style10"/>
        <w:widowControl/>
        <w:spacing w:line="240" w:lineRule="auto"/>
        <w:ind w:firstLine="993"/>
        <w:jc w:val="left"/>
        <w:rPr>
          <w:rStyle w:val="FontStyle37"/>
        </w:rPr>
      </w:pPr>
      <w:r>
        <w:rPr>
          <w:rStyle w:val="FontStyle37"/>
        </w:rPr>
        <w:t xml:space="preserve">iar potrivit alin. (4) al </w:t>
      </w:r>
      <w:r>
        <w:rPr>
          <w:rStyle w:val="FontStyle37"/>
        </w:rPr>
        <w:t>aceluiaşi</w:t>
      </w:r>
      <w:r>
        <w:rPr>
          <w:rStyle w:val="FontStyle37"/>
        </w:rPr>
        <w:t xml:space="preserve"> articol:</w:t>
      </w:r>
    </w:p>
    <w:p w:rsidR="00565124" w:rsidP="00565124" w14:paraId="51D7F060" w14:textId="77777777">
      <w:pPr>
        <w:pStyle w:val="Style19"/>
        <w:widowControl/>
        <w:spacing w:line="240" w:lineRule="auto"/>
        <w:ind w:firstLine="993"/>
        <w:rPr>
          <w:rStyle w:val="Emphasis"/>
        </w:rPr>
      </w:pPr>
      <w:r>
        <w:rPr>
          <w:rStyle w:val="Emphasis"/>
        </w:rPr>
        <w:t xml:space="preserve">„în aplicarea prezentei legi, Consiliul </w:t>
      </w:r>
      <w:r>
        <w:rPr>
          <w:rStyle w:val="Emphasis"/>
        </w:rPr>
        <w:t>Concurenţei</w:t>
      </w:r>
      <w:r>
        <w:rPr>
          <w:rStyle w:val="Emphasis"/>
        </w:rPr>
        <w:t xml:space="preserve"> examinează în plen: a) rapoartele de </w:t>
      </w:r>
      <w:r>
        <w:rPr>
          <w:rStyle w:val="Emphasis"/>
        </w:rPr>
        <w:t>investigaţie</w:t>
      </w:r>
      <w:r>
        <w:rPr>
          <w:rStyle w:val="Emphasis"/>
        </w:rPr>
        <w:t xml:space="preserve">, cu eventualele </w:t>
      </w:r>
      <w:r>
        <w:rPr>
          <w:rStyle w:val="Emphasis"/>
        </w:rPr>
        <w:t>obiecţii</w:t>
      </w:r>
      <w:r>
        <w:rPr>
          <w:rStyle w:val="Emphasis"/>
        </w:rPr>
        <w:t xml:space="preserve"> formulate la acestea, </w:t>
      </w:r>
      <w:r>
        <w:rPr>
          <w:rStyle w:val="Emphasis"/>
        </w:rPr>
        <w:t>şi</w:t>
      </w:r>
      <w:r>
        <w:rPr>
          <w:rStyle w:val="Emphasis"/>
        </w:rPr>
        <w:t xml:space="preserve"> decide asupra măsurilor de luat (...)".</w:t>
      </w:r>
    </w:p>
    <w:p w:rsidR="00565124" w:rsidP="00565124" w14:paraId="642D709C" w14:textId="77777777">
      <w:pPr>
        <w:pStyle w:val="Style10"/>
        <w:widowControl/>
        <w:spacing w:line="240" w:lineRule="auto"/>
        <w:ind w:firstLine="993"/>
        <w:rPr>
          <w:rStyle w:val="FontStyle37"/>
        </w:rPr>
      </w:pPr>
      <w:r>
        <w:rPr>
          <w:rStyle w:val="FontStyle37"/>
        </w:rPr>
        <w:t>Aşadar</w:t>
      </w:r>
      <w:r>
        <w:rPr>
          <w:rStyle w:val="FontStyle37"/>
        </w:rPr>
        <w:t xml:space="preserve">, Legea </w:t>
      </w:r>
      <w:r>
        <w:rPr>
          <w:rStyle w:val="FontStyle37"/>
        </w:rPr>
        <w:t>concurenţei</w:t>
      </w:r>
      <w:r>
        <w:rPr>
          <w:rStyle w:val="FontStyle37"/>
        </w:rPr>
        <w:t xml:space="preserve"> cuprinde </w:t>
      </w:r>
      <w:r>
        <w:rPr>
          <w:rStyle w:val="FontStyle37"/>
        </w:rPr>
        <w:t>dispoziţii</w:t>
      </w:r>
      <w:r>
        <w:rPr>
          <w:rStyle w:val="FontStyle37"/>
        </w:rPr>
        <w:t xml:space="preserve"> care stabilesc atât cvorumul necesar pentru ca deliberările organului colegial să fie valabile, cât </w:t>
      </w:r>
      <w:r>
        <w:rPr>
          <w:rStyle w:val="FontStyle37"/>
        </w:rPr>
        <w:t>şi</w:t>
      </w:r>
      <w:r>
        <w:rPr>
          <w:rStyle w:val="FontStyle37"/>
        </w:rPr>
        <w:t xml:space="preserve"> majoritatea ce trebuie întrunită pentru adoptarea deciziei. Astfel, </w:t>
      </w:r>
      <w:r>
        <w:rPr>
          <w:rStyle w:val="FontStyle37"/>
        </w:rPr>
        <w:t>legislaţia</w:t>
      </w:r>
      <w:r>
        <w:rPr>
          <w:rStyle w:val="FontStyle37"/>
        </w:rPr>
        <w:t xml:space="preserve"> prevede faptul că, pentru ca Plenul CC să poată delibera în mod valabil </w:t>
      </w:r>
      <w:r>
        <w:rPr>
          <w:rStyle w:val="FontStyle37"/>
        </w:rPr>
        <w:t>şi</w:t>
      </w:r>
      <w:r>
        <w:rPr>
          <w:rStyle w:val="FontStyle37"/>
        </w:rPr>
        <w:t xml:space="preserve"> adopta hotărârile corespunzătoare este necesară îndeplinirea celor două </w:t>
      </w:r>
      <w:r>
        <w:rPr>
          <w:rStyle w:val="FontStyle37"/>
        </w:rPr>
        <w:t>condiţii</w:t>
      </w:r>
      <w:r>
        <w:rPr>
          <w:rStyle w:val="FontStyle37"/>
        </w:rPr>
        <w:t>:</w:t>
      </w:r>
    </w:p>
    <w:p w:rsidR="00565124" w:rsidP="00565124" w14:paraId="3E45F36E" w14:textId="77777777">
      <w:pPr>
        <w:pStyle w:val="Style11"/>
        <w:widowControl/>
        <w:numPr>
          <w:ilvl w:val="0"/>
          <w:numId w:val="3"/>
        </w:numPr>
        <w:tabs>
          <w:tab w:val="left" w:pos="322"/>
        </w:tabs>
        <w:spacing w:line="240" w:lineRule="auto"/>
        <w:ind w:firstLine="993"/>
        <w:jc w:val="left"/>
        <w:rPr>
          <w:rStyle w:val="FontStyle37"/>
        </w:rPr>
      </w:pPr>
      <w:r>
        <w:rPr>
          <w:rStyle w:val="FontStyle37"/>
        </w:rPr>
        <w:t>privind cvorumul;</w:t>
      </w:r>
    </w:p>
    <w:p w:rsidR="00565124" w:rsidP="00565124" w14:paraId="1C9885E0" w14:textId="77777777">
      <w:pPr>
        <w:pStyle w:val="Style11"/>
        <w:widowControl/>
        <w:numPr>
          <w:ilvl w:val="0"/>
          <w:numId w:val="3"/>
        </w:numPr>
        <w:tabs>
          <w:tab w:val="left" w:pos="322"/>
        </w:tabs>
        <w:spacing w:line="240" w:lineRule="auto"/>
        <w:ind w:firstLine="993"/>
        <w:jc w:val="left"/>
        <w:rPr>
          <w:rStyle w:val="FontStyle37"/>
        </w:rPr>
      </w:pPr>
      <w:r>
        <w:rPr>
          <w:rStyle w:val="FontStyle37"/>
        </w:rPr>
        <w:t>privind majoritatea ce trebuie întrunită.</w:t>
      </w:r>
    </w:p>
    <w:p w:rsidR="00565124" w:rsidP="00565124" w14:paraId="22549DB8" w14:textId="77777777">
      <w:pPr>
        <w:pStyle w:val="Style10"/>
        <w:widowControl/>
        <w:spacing w:line="240" w:lineRule="auto"/>
        <w:ind w:firstLine="993"/>
        <w:rPr>
          <w:rStyle w:val="FontStyle37"/>
        </w:rPr>
      </w:pPr>
      <w:r>
        <w:rPr>
          <w:rStyle w:val="FontStyle37"/>
        </w:rPr>
        <w:t xml:space="preserve">În </w:t>
      </w:r>
      <w:r>
        <w:rPr>
          <w:rStyle w:val="FontStyle37"/>
        </w:rPr>
        <w:t>speţă</w:t>
      </w:r>
      <w:r>
        <w:rPr>
          <w:rStyle w:val="FontStyle37"/>
        </w:rPr>
        <w:t xml:space="preserve">, la data de 27.10.2020, Plenul CC s-a întrunit </w:t>
      </w:r>
      <w:r>
        <w:rPr>
          <w:rStyle w:val="FontStyle37"/>
        </w:rPr>
        <w:t>şi</w:t>
      </w:r>
      <w:r>
        <w:rPr>
          <w:rStyle w:val="FontStyle37"/>
        </w:rPr>
        <w:t xml:space="preserve"> a deliberat în conformitate cu </w:t>
      </w:r>
      <w:r>
        <w:rPr>
          <w:rStyle w:val="FontStyle37"/>
        </w:rPr>
        <w:t>dispoziţiile</w:t>
      </w:r>
      <w:r>
        <w:rPr>
          <w:rStyle w:val="FontStyle37"/>
        </w:rPr>
        <w:t xml:space="preserve"> legale incidente, fiind întrunite </w:t>
      </w:r>
      <w:r>
        <w:rPr>
          <w:rStyle w:val="FontStyle37"/>
        </w:rPr>
        <w:t>condiţiile</w:t>
      </w:r>
      <w:r>
        <w:rPr>
          <w:rStyle w:val="FontStyle37"/>
        </w:rPr>
        <w:t xml:space="preserve"> de cvorum </w:t>
      </w:r>
      <w:r>
        <w:rPr>
          <w:rStyle w:val="FontStyle37"/>
        </w:rPr>
        <w:t>şi</w:t>
      </w:r>
      <w:r>
        <w:rPr>
          <w:rStyle w:val="FontStyle37"/>
        </w:rPr>
        <w:t xml:space="preserve"> majoritate prevăzute de lege. Prin urmare, în cauză, hotărârea Plenului CC din data de 27.10.2020 ce a stat la baza emiterii ordinului de extindere a </w:t>
      </w:r>
      <w:r>
        <w:rPr>
          <w:rStyle w:val="FontStyle37"/>
        </w:rPr>
        <w:t>investigaţiei</w:t>
      </w:r>
      <w:r>
        <w:rPr>
          <w:rStyle w:val="FontStyle37"/>
        </w:rPr>
        <w:t xml:space="preserve"> îndeplinea ambele </w:t>
      </w:r>
      <w:r>
        <w:rPr>
          <w:rStyle w:val="FontStyle37"/>
        </w:rPr>
        <w:t>condiţii</w:t>
      </w:r>
      <w:r>
        <w:rPr>
          <w:rStyle w:val="FontStyle37"/>
        </w:rPr>
        <w:t xml:space="preserve">, atât pe cea de cvorum, cât </w:t>
      </w:r>
      <w:r>
        <w:rPr>
          <w:rStyle w:val="FontStyle37"/>
        </w:rPr>
        <w:t>şi</w:t>
      </w:r>
      <w:r>
        <w:rPr>
          <w:rStyle w:val="FontStyle37"/>
        </w:rPr>
        <w:t xml:space="preserve"> pe cea privind majoritatea necesară pentru luarea unei decizii. Aceste </w:t>
      </w:r>
      <w:r>
        <w:rPr>
          <w:rStyle w:val="FontStyle37"/>
        </w:rPr>
        <w:t>condiţii</w:t>
      </w:r>
      <w:r>
        <w:rPr>
          <w:rStyle w:val="FontStyle37"/>
        </w:rPr>
        <w:t xml:space="preserve"> ar fi fost îndeplinite chiar </w:t>
      </w:r>
      <w:r>
        <w:rPr>
          <w:rStyle w:val="FontStyle37"/>
        </w:rPr>
        <w:t>şi</w:t>
      </w:r>
      <w:r>
        <w:rPr>
          <w:rStyle w:val="FontStyle37"/>
        </w:rPr>
        <w:t xml:space="preserve"> în ipoteza ad absurdum în care unul dintre membrii Plenului ar fi votat fără a avea un mandat valid potrivit legii în vigoare. Prin urmare, ordinul de extindere a </w:t>
      </w:r>
      <w:r>
        <w:rPr>
          <w:rStyle w:val="FontStyle37"/>
        </w:rPr>
        <w:t>investigaţiei</w:t>
      </w:r>
      <w:r>
        <w:rPr>
          <w:rStyle w:val="FontStyle37"/>
        </w:rPr>
        <w:t xml:space="preserve">, cu privire la care reclamanta invocă nelegalitatea, a fost emis cu respectarea normelor legale, împrejurarea că </w:t>
      </w:r>
      <w:r>
        <w:rPr>
          <w:rStyle w:val="FontStyle37"/>
        </w:rPr>
        <w:t>preşedintele</w:t>
      </w:r>
      <w:r>
        <w:rPr>
          <w:rStyle w:val="FontStyle37"/>
        </w:rPr>
        <w:t xml:space="preserve"> CC </w:t>
      </w:r>
      <w:r>
        <w:rPr>
          <w:rStyle w:val="FontStyle37"/>
        </w:rPr>
        <w:t>îşi</w:t>
      </w:r>
      <w:r>
        <w:rPr>
          <w:rStyle w:val="FontStyle37"/>
        </w:rPr>
        <w:t xml:space="preserve"> exercita </w:t>
      </w:r>
      <w:r>
        <w:rPr>
          <w:rStyle w:val="FontStyle37"/>
        </w:rPr>
        <w:t>atribuţiile</w:t>
      </w:r>
      <w:r>
        <w:rPr>
          <w:rStyle w:val="FontStyle37"/>
        </w:rPr>
        <w:t xml:space="preserve"> în conformitate cu </w:t>
      </w:r>
      <w:r>
        <w:rPr>
          <w:rStyle w:val="FontStyle37"/>
        </w:rPr>
        <w:t>dispoziţiile</w:t>
      </w:r>
      <w:r>
        <w:rPr>
          <w:rStyle w:val="FontStyle37"/>
        </w:rPr>
        <w:t xml:space="preserve"> art. 18 alin. (3) din Legea </w:t>
      </w:r>
      <w:r>
        <w:rPr>
          <w:rStyle w:val="FontStyle37"/>
        </w:rPr>
        <w:t>concurenţei</w:t>
      </w:r>
      <w:r>
        <w:rPr>
          <w:rStyle w:val="FontStyle37"/>
        </w:rPr>
        <w:t xml:space="preserve"> în vigoare la acea dată neconstituind o cauză de nulitate a acestuia, </w:t>
      </w:r>
      <w:r>
        <w:rPr>
          <w:rStyle w:val="FontStyle37"/>
        </w:rPr>
        <w:t>aşa</w:t>
      </w:r>
      <w:r>
        <w:rPr>
          <w:rStyle w:val="FontStyle37"/>
        </w:rPr>
        <w:t xml:space="preserve"> cum în mod eronat </w:t>
      </w:r>
      <w:r>
        <w:rPr>
          <w:rStyle w:val="FontStyle37"/>
        </w:rPr>
        <w:t>susţine</w:t>
      </w:r>
      <w:r>
        <w:rPr>
          <w:rStyle w:val="FontStyle37"/>
        </w:rPr>
        <w:t xml:space="preserve"> X .</w:t>
      </w:r>
    </w:p>
    <w:p w:rsidR="00565124" w:rsidP="00565124" w14:paraId="2333704A" w14:textId="1ED22F3B">
      <w:pPr>
        <w:pStyle w:val="Style10"/>
        <w:widowControl/>
        <w:spacing w:line="240" w:lineRule="auto"/>
        <w:ind w:firstLine="993"/>
        <w:rPr>
          <w:rStyle w:val="FontStyle37"/>
        </w:rPr>
      </w:pPr>
      <w:r>
        <w:rPr>
          <w:rStyle w:val="FontStyle37"/>
        </w:rPr>
        <w:t>Operaţiunea</w:t>
      </w:r>
      <w:r>
        <w:rPr>
          <w:rStyle w:val="FontStyle37"/>
        </w:rPr>
        <w:t xml:space="preserve"> administrativă constând în extinderea </w:t>
      </w:r>
      <w:r>
        <w:rPr>
          <w:rStyle w:val="FontStyle37"/>
        </w:rPr>
        <w:t>investigaţiei</w:t>
      </w:r>
      <w:r>
        <w:rPr>
          <w:rStyle w:val="FontStyle37"/>
        </w:rPr>
        <w:t xml:space="preserve">, prin ordinul nr. </w:t>
      </w:r>
      <w:r>
        <w:rPr>
          <w:rStyle w:val="FontStyle37"/>
        </w:rPr>
        <w:t>O1</w:t>
      </w:r>
      <w:r>
        <w:rPr>
          <w:rStyle w:val="FontStyle37"/>
        </w:rPr>
        <w:t xml:space="preserve">/27.10.2020 emis de </w:t>
      </w:r>
      <w:r>
        <w:rPr>
          <w:rStyle w:val="FontStyle37"/>
        </w:rPr>
        <w:t>Preşedintele</w:t>
      </w:r>
      <w:r>
        <w:rPr>
          <w:rStyle w:val="FontStyle37"/>
        </w:rPr>
        <w:t xml:space="preserve"> CC, nu este de natură a atrage nulitatea absolută a actului administrativ reprezentat de Decizia CC nr. ....</w:t>
      </w:r>
      <w:r>
        <w:rPr>
          <w:rStyle w:val="FontStyle37"/>
        </w:rPr>
        <w:t>D1/2022</w:t>
      </w:r>
      <w:r>
        <w:rPr>
          <w:rStyle w:val="FontStyle37"/>
        </w:rPr>
        <w:t xml:space="preserve"> chiar dacă, </w:t>
      </w:r>
      <w:r>
        <w:rPr>
          <w:rStyle w:val="Emphasis"/>
        </w:rPr>
        <w:t>prin absurd</w:t>
      </w:r>
      <w:r>
        <w:rPr>
          <w:rStyle w:val="FontStyle39"/>
        </w:rPr>
        <w:t xml:space="preserve">, </w:t>
      </w:r>
      <w:r>
        <w:rPr>
          <w:rStyle w:val="FontStyle37"/>
        </w:rPr>
        <w:t xml:space="preserve">s-ar accepta </w:t>
      </w:r>
      <w:r>
        <w:rPr>
          <w:rStyle w:val="FontStyle37"/>
        </w:rPr>
        <w:t>susţinerile</w:t>
      </w:r>
      <w:r>
        <w:rPr>
          <w:rStyle w:val="FontStyle37"/>
        </w:rPr>
        <w:t xml:space="preserve"> reclamantei.</w:t>
      </w:r>
    </w:p>
    <w:p w:rsidR="00565124" w:rsidP="00565124" w14:paraId="07679590" w14:textId="09678A81">
      <w:pPr>
        <w:pStyle w:val="Style10"/>
        <w:widowControl/>
        <w:spacing w:line="240" w:lineRule="auto"/>
        <w:ind w:firstLine="993"/>
        <w:rPr>
          <w:rStyle w:val="FontStyle37"/>
        </w:rPr>
      </w:pPr>
      <w:r>
        <w:rPr>
          <w:rStyle w:val="FontStyle37"/>
        </w:rPr>
        <w:t xml:space="preserve">Astfel, prin ordinul </w:t>
      </w:r>
      <w:r>
        <w:rPr>
          <w:rStyle w:val="FontStyle37"/>
        </w:rPr>
        <w:t>Preşedintelui</w:t>
      </w:r>
      <w:r>
        <w:rPr>
          <w:rStyle w:val="FontStyle37"/>
        </w:rPr>
        <w:t xml:space="preserve"> CC nr. </w:t>
      </w:r>
      <w:r>
        <w:rPr>
          <w:rStyle w:val="FontStyle37"/>
        </w:rPr>
        <w:t>O1</w:t>
      </w:r>
      <w:r>
        <w:rPr>
          <w:rStyle w:val="FontStyle37"/>
        </w:rPr>
        <w:t xml:space="preserve">/27.10.2020 de extindere a </w:t>
      </w:r>
      <w:r>
        <w:rPr>
          <w:rStyle w:val="FontStyle37"/>
        </w:rPr>
        <w:t>investigaţiei</w:t>
      </w:r>
      <w:r>
        <w:rPr>
          <w:rStyle w:val="FontStyle37"/>
        </w:rPr>
        <w:t xml:space="preserve">, ordin ce are ca temei Hotărârea Plenului, din punct de vedere </w:t>
      </w:r>
      <w:r>
        <w:rPr>
          <w:rStyle w:val="Emphasis"/>
        </w:rPr>
        <w:t>administrativ</w:t>
      </w:r>
      <w:r>
        <w:rPr>
          <w:rStyle w:val="FontStyle39"/>
        </w:rPr>
        <w:t xml:space="preserve">, </w:t>
      </w:r>
      <w:r>
        <w:rPr>
          <w:rStyle w:val="FontStyle37"/>
        </w:rPr>
        <w:t xml:space="preserve">conducătorul </w:t>
      </w:r>
      <w:r>
        <w:rPr>
          <w:rStyle w:val="FontStyle37"/>
        </w:rPr>
        <w:t>instituţiei</w:t>
      </w:r>
      <w:r>
        <w:rPr>
          <w:rStyle w:val="FontStyle37"/>
        </w:rPr>
        <w:t xml:space="preserve"> comunică:</w:t>
      </w:r>
    </w:p>
    <w:p w:rsidR="00565124" w:rsidP="00565124" w14:paraId="2BE15E26" w14:textId="77777777">
      <w:pPr>
        <w:pStyle w:val="Style15"/>
        <w:widowControl/>
        <w:numPr>
          <w:ilvl w:val="0"/>
          <w:numId w:val="4"/>
        </w:numPr>
        <w:tabs>
          <w:tab w:val="left" w:pos="709"/>
        </w:tabs>
        <w:spacing w:line="240" w:lineRule="auto"/>
        <w:ind w:firstLine="993"/>
        <w:rPr>
          <w:rStyle w:val="FontStyle37"/>
        </w:rPr>
      </w:pPr>
      <w:r>
        <w:rPr>
          <w:rStyle w:val="FontStyle37"/>
        </w:rPr>
        <w:t xml:space="preserve">în primul rând, </w:t>
      </w:r>
      <w:r>
        <w:rPr>
          <w:rStyle w:val="Emphasis"/>
        </w:rPr>
        <w:t xml:space="preserve">pornirea </w:t>
      </w:r>
      <w:r>
        <w:rPr>
          <w:rStyle w:val="Emphasis"/>
        </w:rPr>
        <w:t>şi</w:t>
      </w:r>
      <w:r>
        <w:rPr>
          <w:rStyle w:val="Emphasis"/>
        </w:rPr>
        <w:t xml:space="preserve"> extinderea </w:t>
      </w:r>
      <w:r>
        <w:rPr>
          <w:rStyle w:val="Emphasis"/>
        </w:rPr>
        <w:t>investigaţiei</w:t>
      </w:r>
      <w:r>
        <w:rPr>
          <w:rStyle w:val="FontStyle39"/>
        </w:rPr>
        <w:t xml:space="preserve">, </w:t>
      </w:r>
      <w:r>
        <w:rPr>
          <w:rStyle w:val="FontStyle37"/>
        </w:rPr>
        <w:t xml:space="preserve">hotărâte de Plenul Consiliului </w:t>
      </w:r>
      <w:r>
        <w:rPr>
          <w:rStyle w:val="FontStyle37"/>
        </w:rPr>
        <w:t>Concurenţei</w:t>
      </w:r>
      <w:r>
        <w:rPr>
          <w:rStyle w:val="FontStyle37"/>
        </w:rPr>
        <w:t xml:space="preserve">, caz în care ordinul de </w:t>
      </w:r>
      <w:r>
        <w:rPr>
          <w:rStyle w:val="FontStyle37"/>
        </w:rPr>
        <w:t>declanşare</w:t>
      </w:r>
      <w:r>
        <w:rPr>
          <w:rStyle w:val="FontStyle37"/>
        </w:rPr>
        <w:t xml:space="preserve"> are rolul de a oferi </w:t>
      </w:r>
      <w:r>
        <w:rPr>
          <w:rStyle w:val="FontStyle37"/>
        </w:rPr>
        <w:t>părţilor</w:t>
      </w:r>
      <w:r>
        <w:rPr>
          <w:rStyle w:val="FontStyle37"/>
        </w:rPr>
        <w:t xml:space="preserve"> implicate </w:t>
      </w:r>
      <w:r>
        <w:rPr>
          <w:rStyle w:val="FontStyle37"/>
        </w:rPr>
        <w:t>garanţiile</w:t>
      </w:r>
      <w:r>
        <w:rPr>
          <w:rStyle w:val="FontStyle37"/>
        </w:rPr>
        <w:t xml:space="preserve"> procedurii administrative, conferind acestora certitudinea juridica asupra faptei în </w:t>
      </w:r>
      <w:r>
        <w:rPr>
          <w:rStyle w:val="FontStyle37"/>
        </w:rPr>
        <w:t>privinţa</w:t>
      </w:r>
      <w:r>
        <w:rPr>
          <w:rStyle w:val="FontStyle37"/>
        </w:rPr>
        <w:t xml:space="preserve"> căreia sunt investigate </w:t>
      </w:r>
      <w:r>
        <w:rPr>
          <w:rStyle w:val="FontStyle37"/>
        </w:rPr>
        <w:t>şi</w:t>
      </w:r>
      <w:r>
        <w:rPr>
          <w:rStyle w:val="FontStyle37"/>
        </w:rPr>
        <w:t xml:space="preserve"> asupra </w:t>
      </w:r>
      <w:r>
        <w:rPr>
          <w:rStyle w:val="FontStyle37"/>
        </w:rPr>
        <w:t>obligaţiei</w:t>
      </w:r>
      <w:r>
        <w:rPr>
          <w:rStyle w:val="FontStyle37"/>
        </w:rPr>
        <w:t xml:space="preserve"> de cooperare cu autoritatea ce le revine;</w:t>
      </w:r>
    </w:p>
    <w:p w:rsidR="00565124" w:rsidP="00565124" w14:paraId="7FE5B16A" w14:textId="77777777">
      <w:pPr>
        <w:pStyle w:val="Style15"/>
        <w:widowControl/>
        <w:numPr>
          <w:ilvl w:val="0"/>
          <w:numId w:val="4"/>
        </w:numPr>
        <w:tabs>
          <w:tab w:val="left" w:pos="709"/>
        </w:tabs>
        <w:spacing w:line="240" w:lineRule="auto"/>
        <w:ind w:firstLine="993"/>
        <w:rPr>
          <w:rStyle w:val="FontStyle37"/>
        </w:rPr>
      </w:pPr>
      <w:r>
        <w:rPr>
          <w:rStyle w:val="FontStyle37"/>
        </w:rPr>
        <w:t xml:space="preserve">în al doilea rând, </w:t>
      </w:r>
      <w:r>
        <w:rPr>
          <w:rStyle w:val="Emphasis"/>
        </w:rPr>
        <w:t>ordonarea</w:t>
      </w:r>
      <w:r>
        <w:rPr>
          <w:rStyle w:val="FontStyle39"/>
        </w:rPr>
        <w:t xml:space="preserve">, </w:t>
      </w:r>
      <w:r>
        <w:rPr>
          <w:rStyle w:val="FontStyle37"/>
        </w:rPr>
        <w:t xml:space="preserve">ordin de serviciu, privind efectuarea </w:t>
      </w:r>
      <w:r>
        <w:rPr>
          <w:rStyle w:val="FontStyle37"/>
        </w:rPr>
        <w:t>investigaţiei</w:t>
      </w:r>
      <w:r>
        <w:rPr>
          <w:rStyle w:val="FontStyle37"/>
        </w:rPr>
        <w:t xml:space="preserve"> adresat raportorului, precum </w:t>
      </w:r>
      <w:r>
        <w:rPr>
          <w:rStyle w:val="FontStyle37"/>
        </w:rPr>
        <w:t>şi</w:t>
      </w:r>
      <w:r>
        <w:rPr>
          <w:rStyle w:val="FontStyle37"/>
        </w:rPr>
        <w:t xml:space="preserve"> </w:t>
      </w:r>
      <w:r>
        <w:rPr>
          <w:rStyle w:val="FontStyle37"/>
        </w:rPr>
        <w:t>direcţiilor</w:t>
      </w:r>
      <w:r>
        <w:rPr>
          <w:rStyle w:val="FontStyle37"/>
        </w:rPr>
        <w:t xml:space="preserve"> </w:t>
      </w:r>
      <w:r>
        <w:rPr>
          <w:rStyle w:val="FontStyle37"/>
        </w:rPr>
        <w:t>şi</w:t>
      </w:r>
      <w:r>
        <w:rPr>
          <w:rStyle w:val="FontStyle37"/>
        </w:rPr>
        <w:t xml:space="preserve"> compartimentelor de specialitate din subordinea Secretarului General al CC în vederea asigurării </w:t>
      </w:r>
      <w:r>
        <w:rPr>
          <w:rStyle w:val="FontStyle37"/>
        </w:rPr>
        <w:t>faţă</w:t>
      </w:r>
      <w:r>
        <w:rPr>
          <w:rStyle w:val="FontStyle37"/>
        </w:rPr>
        <w:t xml:space="preserve"> de raportor  </w:t>
      </w:r>
      <w:r>
        <w:rPr>
          <w:rStyle w:val="FontStyle37"/>
        </w:rPr>
        <w:t>şi</w:t>
      </w:r>
      <w:r>
        <w:rPr>
          <w:rStyle w:val="FontStyle37"/>
        </w:rPr>
        <w:t xml:space="preserve"> </w:t>
      </w:r>
      <w:r>
        <w:rPr>
          <w:rStyle w:val="FontStyle37"/>
        </w:rPr>
        <w:t>faţă</w:t>
      </w:r>
      <w:r>
        <w:rPr>
          <w:rStyle w:val="FontStyle37"/>
        </w:rPr>
        <w:t xml:space="preserve"> de echipa de </w:t>
      </w:r>
      <w:r>
        <w:rPr>
          <w:rStyle w:val="FontStyle37"/>
        </w:rPr>
        <w:t>investigaţie</w:t>
      </w:r>
      <w:r>
        <w:rPr>
          <w:rStyle w:val="FontStyle37"/>
        </w:rPr>
        <w:t xml:space="preserve"> a sprijinului necesar îndeplinirii, în mod corespunzător, a </w:t>
      </w:r>
      <w:r>
        <w:rPr>
          <w:rStyle w:val="FontStyle37"/>
        </w:rPr>
        <w:t>atribuţiilor</w:t>
      </w:r>
      <w:r>
        <w:rPr>
          <w:rStyle w:val="FontStyle37"/>
        </w:rPr>
        <w:t xml:space="preserve"> acestora (art. 2, art. 3 </w:t>
      </w:r>
      <w:r>
        <w:rPr>
          <w:rStyle w:val="FontStyle37"/>
        </w:rPr>
        <w:t>şi</w:t>
      </w:r>
      <w:r>
        <w:rPr>
          <w:rStyle w:val="FontStyle37"/>
        </w:rPr>
        <w:t xml:space="preserve"> art. 3). </w:t>
      </w:r>
    </w:p>
    <w:p w:rsidR="00565124" w:rsidP="00565124" w14:paraId="29D43901" w14:textId="77777777">
      <w:pPr>
        <w:pStyle w:val="Style10"/>
        <w:widowControl/>
        <w:spacing w:before="53" w:line="240" w:lineRule="auto"/>
        <w:ind w:firstLine="993"/>
        <w:rPr>
          <w:rStyle w:val="FontStyle37"/>
        </w:rPr>
      </w:pPr>
      <w:r>
        <w:rPr>
          <w:rStyle w:val="FontStyle37"/>
        </w:rPr>
        <w:t xml:space="preserve">Prin prisma acestor aspecte, prin raportare la procedura extinderii </w:t>
      </w:r>
      <w:r>
        <w:rPr>
          <w:rStyle w:val="FontStyle37"/>
        </w:rPr>
        <w:t>investigaţiei</w:t>
      </w:r>
      <w:r>
        <w:rPr>
          <w:rStyle w:val="FontStyle37"/>
        </w:rPr>
        <w:t xml:space="preserve">, rezultă că </w:t>
      </w:r>
      <w:r>
        <w:rPr>
          <w:rStyle w:val="FontStyle37"/>
        </w:rPr>
        <w:t>operaţiunea</w:t>
      </w:r>
      <w:r>
        <w:rPr>
          <w:rStyle w:val="FontStyle37"/>
        </w:rPr>
        <w:t xml:space="preserve"> administrativă a emiterii ordinului </w:t>
      </w:r>
      <w:r>
        <w:rPr>
          <w:rStyle w:val="FontStyle37"/>
        </w:rPr>
        <w:t>preşedintelui</w:t>
      </w:r>
      <w:r>
        <w:rPr>
          <w:rStyle w:val="FontStyle37"/>
        </w:rPr>
        <w:t xml:space="preserve"> nu poate exista fără Hotărârea Plenului CC de extindere a </w:t>
      </w:r>
      <w:r>
        <w:rPr>
          <w:rStyle w:val="FontStyle37"/>
        </w:rPr>
        <w:t>investigaţiei</w:t>
      </w:r>
      <w:r>
        <w:rPr>
          <w:rStyle w:val="FontStyle37"/>
        </w:rPr>
        <w:t xml:space="preserve"> din data de 27.10.2020 - organul decizional colegial fiind cel care a examinat propunerea </w:t>
      </w:r>
      <w:r>
        <w:rPr>
          <w:rStyle w:val="FontStyle37"/>
        </w:rPr>
        <w:t>direcţiei</w:t>
      </w:r>
      <w:r>
        <w:rPr>
          <w:rStyle w:val="FontStyle37"/>
        </w:rPr>
        <w:t xml:space="preserve"> de resort privind extinderea </w:t>
      </w:r>
      <w:r>
        <w:rPr>
          <w:rStyle w:val="FontStyle37"/>
        </w:rPr>
        <w:t>investigaţiei</w:t>
      </w:r>
      <w:r>
        <w:rPr>
          <w:rStyle w:val="FontStyle37"/>
        </w:rPr>
        <w:t xml:space="preserve">, a analizat, pe fond, indiciile privind posibila implicare a reclamantei la </w:t>
      </w:r>
      <w:r>
        <w:rPr>
          <w:rStyle w:val="FontStyle37"/>
        </w:rPr>
        <w:t>săvârşirea</w:t>
      </w:r>
      <w:r>
        <w:rPr>
          <w:rStyle w:val="FontStyle37"/>
        </w:rPr>
        <w:t xml:space="preserve"> faptei </w:t>
      </w:r>
      <w:r>
        <w:rPr>
          <w:rStyle w:val="FontStyle37"/>
        </w:rPr>
        <w:t>anticoncurenţiale</w:t>
      </w:r>
      <w:r>
        <w:rPr>
          <w:rStyle w:val="FontStyle37"/>
        </w:rPr>
        <w:t xml:space="preserve"> suspectate </w:t>
      </w:r>
      <w:r>
        <w:rPr>
          <w:rStyle w:val="FontStyle37"/>
        </w:rPr>
        <w:t>şi</w:t>
      </w:r>
      <w:r>
        <w:rPr>
          <w:rStyle w:val="FontStyle37"/>
        </w:rPr>
        <w:t xml:space="preserve"> a decis, în unanimitate, extinderea </w:t>
      </w:r>
      <w:r>
        <w:rPr>
          <w:rStyle w:val="FontStyle37"/>
        </w:rPr>
        <w:t>investigaţiei</w:t>
      </w:r>
      <w:r>
        <w:rPr>
          <w:rStyle w:val="FontStyle37"/>
        </w:rPr>
        <w:t xml:space="preserve"> </w:t>
      </w:r>
      <w:r>
        <w:rPr>
          <w:rStyle w:val="FontStyle37"/>
        </w:rPr>
        <w:t>faţă</w:t>
      </w:r>
      <w:r>
        <w:rPr>
          <w:rStyle w:val="FontStyle37"/>
        </w:rPr>
        <w:t xml:space="preserve"> de societatea X .</w:t>
      </w:r>
    </w:p>
    <w:p w:rsidR="00565124" w:rsidP="00565124" w14:paraId="4D9B9AD4" w14:textId="77777777">
      <w:pPr>
        <w:pStyle w:val="Style12"/>
        <w:widowControl/>
        <w:tabs>
          <w:tab w:val="left" w:pos="0"/>
        </w:tabs>
        <w:spacing w:before="43" w:line="240" w:lineRule="auto"/>
        <w:ind w:firstLine="993"/>
        <w:jc w:val="both"/>
        <w:rPr>
          <w:rStyle w:val="Emphasis"/>
        </w:rPr>
      </w:pPr>
      <w:r>
        <w:rPr>
          <w:rStyle w:val="Emphasis"/>
        </w:rPr>
        <w:t xml:space="preserve">Ordinul de extindere a </w:t>
      </w:r>
      <w:r>
        <w:rPr>
          <w:rStyle w:val="Emphasis"/>
        </w:rPr>
        <w:t>investigaţiei</w:t>
      </w:r>
      <w:r>
        <w:rPr>
          <w:rStyle w:val="Emphasis"/>
        </w:rPr>
        <w:t xml:space="preserve"> reprezintă o </w:t>
      </w:r>
      <w:r>
        <w:rPr>
          <w:rStyle w:val="Emphasis"/>
        </w:rPr>
        <w:t>operaţiune</w:t>
      </w:r>
      <w:r>
        <w:rPr>
          <w:rStyle w:val="Emphasis"/>
        </w:rPr>
        <w:t xml:space="preserve"> administrativă prin care </w:t>
      </w:r>
      <w:r>
        <w:rPr>
          <w:rStyle w:val="Emphasis"/>
        </w:rPr>
        <w:t>Preşedintele</w:t>
      </w:r>
      <w:r>
        <w:rPr>
          <w:rStyle w:val="Emphasis"/>
        </w:rPr>
        <w:t xml:space="preserve"> CC, în calitate de conducător al </w:t>
      </w:r>
      <w:r>
        <w:rPr>
          <w:rStyle w:val="Emphasis"/>
        </w:rPr>
        <w:t>instituţiei</w:t>
      </w:r>
      <w:r>
        <w:rPr>
          <w:rStyle w:val="Emphasis"/>
        </w:rPr>
        <w:t xml:space="preserve"> ordonă, la nivel administrativ, efectuarea </w:t>
      </w:r>
      <w:r>
        <w:rPr>
          <w:rStyle w:val="Emphasis"/>
        </w:rPr>
        <w:t>investigaţiei</w:t>
      </w:r>
      <w:r>
        <w:rPr>
          <w:rStyle w:val="Emphasis"/>
        </w:rPr>
        <w:t xml:space="preserve"> astfel cum a fost extinsă prin hotărârea Plenului CC.</w:t>
      </w:r>
    </w:p>
    <w:p w:rsidR="00565124" w:rsidP="00565124" w14:paraId="658F8B15" w14:textId="77777777">
      <w:pPr>
        <w:pStyle w:val="Style10"/>
        <w:widowControl/>
        <w:spacing w:before="48" w:line="240" w:lineRule="auto"/>
        <w:ind w:firstLine="993"/>
        <w:rPr>
          <w:rStyle w:val="FontStyle37"/>
        </w:rPr>
      </w:pPr>
      <w:r>
        <w:rPr>
          <w:rStyle w:val="FontStyle37"/>
        </w:rPr>
        <w:t xml:space="preserve">În acest context, este evident faptul că </w:t>
      </w:r>
      <w:r>
        <w:rPr>
          <w:rStyle w:val="Emphasis"/>
        </w:rPr>
        <w:t xml:space="preserve">Hotărârea de extindere a </w:t>
      </w:r>
      <w:r>
        <w:rPr>
          <w:rStyle w:val="Emphasis"/>
        </w:rPr>
        <w:t>investigaţiei</w:t>
      </w:r>
      <w:r>
        <w:rPr>
          <w:rStyle w:val="FontStyle39"/>
        </w:rPr>
        <w:t xml:space="preserve">, </w:t>
      </w:r>
      <w:r>
        <w:rPr>
          <w:rStyle w:val="FontStyle37"/>
        </w:rPr>
        <w:t xml:space="preserve">adoptată de Plenul CC cu îndeplinirea </w:t>
      </w:r>
      <w:r>
        <w:rPr>
          <w:rStyle w:val="FontStyle37"/>
        </w:rPr>
        <w:t>condiţiilor</w:t>
      </w:r>
      <w:r>
        <w:rPr>
          <w:rStyle w:val="FontStyle37"/>
        </w:rPr>
        <w:t xml:space="preserve"> legale privind </w:t>
      </w:r>
      <w:r>
        <w:rPr>
          <w:rStyle w:val="FontStyle37"/>
        </w:rPr>
        <w:t>cerinţele</w:t>
      </w:r>
      <w:r>
        <w:rPr>
          <w:rStyle w:val="FontStyle37"/>
        </w:rPr>
        <w:t xml:space="preserve"> de </w:t>
      </w:r>
      <w:r>
        <w:rPr>
          <w:rStyle w:val="Emphasis"/>
        </w:rPr>
        <w:t xml:space="preserve">cvorum </w:t>
      </w:r>
      <w:r>
        <w:rPr>
          <w:rStyle w:val="Emphasis"/>
        </w:rPr>
        <w:t>şi</w:t>
      </w:r>
      <w:r>
        <w:rPr>
          <w:rStyle w:val="Emphasis"/>
        </w:rPr>
        <w:t xml:space="preserve"> majoritate</w:t>
      </w:r>
      <w:r>
        <w:rPr>
          <w:rStyle w:val="FontStyle39"/>
        </w:rPr>
        <w:t xml:space="preserve"> </w:t>
      </w:r>
      <w:r>
        <w:rPr>
          <w:rStyle w:val="FontStyle37"/>
        </w:rPr>
        <w:t xml:space="preserve">prevăzute pentru întrunirea </w:t>
      </w:r>
      <w:r>
        <w:rPr>
          <w:rStyle w:val="FontStyle37"/>
        </w:rPr>
        <w:t>şi</w:t>
      </w:r>
      <w:r>
        <w:rPr>
          <w:rStyle w:val="FontStyle37"/>
        </w:rPr>
        <w:t xml:space="preserve"> deliberarea validă a acestui </w:t>
      </w:r>
      <w:r>
        <w:rPr>
          <w:rStyle w:val="Emphasis"/>
        </w:rPr>
        <w:t>organ decizional colegial</w:t>
      </w:r>
      <w:r>
        <w:rPr>
          <w:rStyle w:val="FontStyle39"/>
        </w:rPr>
        <w:t xml:space="preserve">, </w:t>
      </w:r>
      <w:r>
        <w:rPr>
          <w:rStyle w:val="FontStyle37"/>
        </w:rPr>
        <w:t xml:space="preserve">nu poate fi viciată, (chiar dacă s-ar </w:t>
      </w:r>
      <w:r>
        <w:rPr>
          <w:rStyle w:val="FontStyle37"/>
        </w:rPr>
        <w:t>îmbrăţişa</w:t>
      </w:r>
      <w:r>
        <w:rPr>
          <w:rStyle w:val="FontStyle37"/>
        </w:rPr>
        <w:t xml:space="preserve"> abordarea reclamantei referitoare la o pretinsă nelegalitate a ordinului de extindere), de o </w:t>
      </w:r>
      <w:r>
        <w:rPr>
          <w:rStyle w:val="FontStyle37"/>
        </w:rPr>
        <w:t>operaţiune</w:t>
      </w:r>
      <w:r>
        <w:rPr>
          <w:rStyle w:val="FontStyle37"/>
        </w:rPr>
        <w:t xml:space="preserve"> administrativă ulterioară realizată de </w:t>
      </w:r>
      <w:r>
        <w:rPr>
          <w:rStyle w:val="Emphasis"/>
        </w:rPr>
        <w:t>un singur membru</w:t>
      </w:r>
      <w:r>
        <w:rPr>
          <w:rStyle w:val="FontStyle42"/>
        </w:rPr>
        <w:t xml:space="preserve"> </w:t>
      </w:r>
      <w:r>
        <w:rPr>
          <w:rStyle w:val="FontStyle37"/>
        </w:rPr>
        <w:t xml:space="preserve">al Plenului, aceasta din urmă neavând aptitudinea juridică de a afecta în mod absolut legalitatea actului administrativ final - decizia de constatare </w:t>
      </w:r>
      <w:r>
        <w:rPr>
          <w:rStyle w:val="FontStyle37"/>
        </w:rPr>
        <w:t>şi</w:t>
      </w:r>
      <w:r>
        <w:rPr>
          <w:rStyle w:val="FontStyle37"/>
        </w:rPr>
        <w:t xml:space="preserve"> </w:t>
      </w:r>
      <w:r>
        <w:rPr>
          <w:rStyle w:val="FontStyle37"/>
        </w:rPr>
        <w:t>sancţionare</w:t>
      </w:r>
      <w:r>
        <w:rPr>
          <w:rStyle w:val="FontStyle37"/>
        </w:rPr>
        <w:t xml:space="preserve"> a </w:t>
      </w:r>
      <w:r>
        <w:rPr>
          <w:rStyle w:val="FontStyle37"/>
        </w:rPr>
        <w:t>contravenţiei</w:t>
      </w:r>
      <w:r>
        <w:rPr>
          <w:rStyle w:val="FontStyle37"/>
        </w:rPr>
        <w:t xml:space="preserve">: partea care invocă nelegalitatea acestei </w:t>
      </w:r>
      <w:r>
        <w:rPr>
          <w:rStyle w:val="FontStyle37"/>
        </w:rPr>
        <w:t>operaţiuni</w:t>
      </w:r>
      <w:r>
        <w:rPr>
          <w:rStyle w:val="FontStyle37"/>
        </w:rPr>
        <w:t xml:space="preserve"> administrative trebuie să probeze vătămarea în scopul </w:t>
      </w:r>
      <w:r>
        <w:rPr>
          <w:rStyle w:val="FontStyle37"/>
        </w:rPr>
        <w:t>obţinerii</w:t>
      </w:r>
      <w:r>
        <w:rPr>
          <w:rStyle w:val="FontStyle37"/>
        </w:rPr>
        <w:t xml:space="preserve"> anulării întregii proceduri derulate de către autoritate, or, în cazul de </w:t>
      </w:r>
      <w:r>
        <w:rPr>
          <w:rStyle w:val="FontStyle37"/>
        </w:rPr>
        <w:t>faţă</w:t>
      </w:r>
      <w:r>
        <w:rPr>
          <w:rStyle w:val="FontStyle37"/>
        </w:rPr>
        <w:t xml:space="preserve">, societatea a beneficiat deplin de certitudinea juridică </w:t>
      </w:r>
      <w:r>
        <w:rPr>
          <w:rStyle w:val="FontStyle37"/>
        </w:rPr>
        <w:t>şi</w:t>
      </w:r>
      <w:r>
        <w:rPr>
          <w:rStyle w:val="FontStyle37"/>
        </w:rPr>
        <w:t xml:space="preserve"> si-a exercitat dreptul la apărare în fata </w:t>
      </w:r>
      <w:r>
        <w:rPr>
          <w:rStyle w:val="FontStyle37"/>
        </w:rPr>
        <w:t>autorităţii</w:t>
      </w:r>
      <w:r>
        <w:rPr>
          <w:rStyle w:val="FontStyle37"/>
        </w:rPr>
        <w:t xml:space="preserve"> de </w:t>
      </w:r>
      <w:r>
        <w:rPr>
          <w:rStyle w:val="FontStyle37"/>
        </w:rPr>
        <w:t>concurenţă</w:t>
      </w:r>
      <w:r>
        <w:rPr>
          <w:rStyle w:val="FontStyle37"/>
        </w:rPr>
        <w:t>, aspecte ce urmează a fi analizate pe fondul cauzei.</w:t>
      </w:r>
    </w:p>
    <w:p w:rsidR="00565124" w:rsidP="00565124" w14:paraId="4ED79D30" w14:textId="77777777">
      <w:pPr>
        <w:pStyle w:val="Style6"/>
        <w:widowControl/>
        <w:tabs>
          <w:tab w:val="left" w:pos="0"/>
        </w:tabs>
        <w:spacing w:line="240" w:lineRule="auto"/>
        <w:ind w:firstLine="993"/>
        <w:rPr>
          <w:rStyle w:val="FontStyle37"/>
        </w:rPr>
      </w:pPr>
      <w:r>
        <w:rPr>
          <w:rStyle w:val="FontStyle37"/>
        </w:rPr>
        <w:t xml:space="preserve">O eventuală invalidare a </w:t>
      </w:r>
      <w:r>
        <w:rPr>
          <w:rStyle w:val="FontStyle37"/>
        </w:rPr>
        <w:t>operaţiunii</w:t>
      </w:r>
      <w:r>
        <w:rPr>
          <w:rStyle w:val="FontStyle37"/>
        </w:rPr>
        <w:t xml:space="preserve"> administrative a emiterii ordinului </w:t>
      </w:r>
      <w:r>
        <w:rPr>
          <w:rStyle w:val="FontStyle37"/>
        </w:rPr>
        <w:t>preşedintelui</w:t>
      </w:r>
      <w:r>
        <w:rPr>
          <w:rStyle w:val="FontStyle37"/>
        </w:rPr>
        <w:t xml:space="preserve"> </w:t>
      </w:r>
      <w:r>
        <w:rPr>
          <w:rStyle w:val="FontStyle37"/>
        </w:rPr>
        <w:t>autorităţii</w:t>
      </w:r>
      <w:r>
        <w:rPr>
          <w:rStyle w:val="FontStyle37"/>
        </w:rPr>
        <w:t xml:space="preserve"> de extindere a </w:t>
      </w:r>
      <w:r>
        <w:rPr>
          <w:rStyle w:val="FontStyle37"/>
        </w:rPr>
        <w:t>investigaţiei</w:t>
      </w:r>
      <w:r>
        <w:rPr>
          <w:rStyle w:val="FontStyle37"/>
        </w:rPr>
        <w:t xml:space="preserve"> nu are aptitudinea de a vicia absolut întreaga </w:t>
      </w:r>
      <w:r>
        <w:rPr>
          <w:rStyle w:val="FontStyle37"/>
        </w:rPr>
        <w:t>investigaţie</w:t>
      </w:r>
      <w:r>
        <w:rPr>
          <w:rStyle w:val="FontStyle37"/>
        </w:rPr>
        <w:t xml:space="preserve"> (si, implicit, decizia finală), cât timp aceasta este consolidată de </w:t>
      </w:r>
      <w:r>
        <w:rPr>
          <w:rStyle w:val="FontStyle37"/>
        </w:rPr>
        <w:t>operaţiunea</w:t>
      </w:r>
      <w:r>
        <w:rPr>
          <w:rStyle w:val="FontStyle37"/>
        </w:rPr>
        <w:t xml:space="preserve"> administrativă a hotărârii organului colegial de deliberare pe fondul faptelor, adoptată conform </w:t>
      </w:r>
      <w:r>
        <w:rPr>
          <w:rStyle w:val="FontStyle37"/>
        </w:rPr>
        <w:t>cerinţelor</w:t>
      </w:r>
      <w:r>
        <w:rPr>
          <w:rStyle w:val="FontStyle37"/>
        </w:rPr>
        <w:t xml:space="preserve"> prevăzute de Legea </w:t>
      </w:r>
      <w:r>
        <w:rPr>
          <w:rStyle w:val="FontStyle37"/>
        </w:rPr>
        <w:t>concurenţei</w:t>
      </w:r>
      <w:r>
        <w:rPr>
          <w:rStyle w:val="FontStyle37"/>
        </w:rPr>
        <w:t>.</w:t>
      </w:r>
    </w:p>
    <w:p w:rsidR="00565124" w:rsidP="00565124" w14:paraId="40B61E3E" w14:textId="77777777">
      <w:pPr>
        <w:pStyle w:val="Style10"/>
        <w:widowControl/>
        <w:spacing w:line="240" w:lineRule="auto"/>
        <w:ind w:firstLine="993"/>
        <w:rPr>
          <w:rStyle w:val="FontStyle37"/>
        </w:rPr>
      </w:pPr>
      <w:r>
        <w:rPr>
          <w:rStyle w:val="FontStyle37"/>
        </w:rPr>
        <w:t xml:space="preserve">Din prevederile Legii </w:t>
      </w:r>
      <w:r>
        <w:rPr>
          <w:rStyle w:val="FontStyle37"/>
        </w:rPr>
        <w:t>concurenţei</w:t>
      </w:r>
      <w:r>
        <w:rPr>
          <w:rStyle w:val="FontStyle37"/>
        </w:rPr>
        <w:t xml:space="preserve"> rezultă că ordinul de extindere a </w:t>
      </w:r>
      <w:r>
        <w:rPr>
          <w:rStyle w:val="FontStyle37"/>
        </w:rPr>
        <w:t>investigaţiei</w:t>
      </w:r>
      <w:r>
        <w:rPr>
          <w:rStyle w:val="FontStyle37"/>
        </w:rPr>
        <w:t xml:space="preserve">, similar celui de </w:t>
      </w:r>
      <w:r>
        <w:rPr>
          <w:rStyle w:val="FontStyle37"/>
        </w:rPr>
        <w:t>declanşare</w:t>
      </w:r>
      <w:r>
        <w:rPr>
          <w:rStyle w:val="FontStyle37"/>
        </w:rPr>
        <w:t xml:space="preserve">, reprezintă o </w:t>
      </w:r>
      <w:r>
        <w:rPr>
          <w:rStyle w:val="FontStyle37"/>
        </w:rPr>
        <w:t>operaţiune</w:t>
      </w:r>
      <w:r>
        <w:rPr>
          <w:rStyle w:val="FontStyle37"/>
        </w:rPr>
        <w:t xml:space="preserve"> administrativă prin care </w:t>
      </w:r>
      <w:r>
        <w:rPr>
          <w:rStyle w:val="FontStyle37"/>
        </w:rPr>
        <w:t>Preşedintele</w:t>
      </w:r>
      <w:r>
        <w:rPr>
          <w:rStyle w:val="FontStyle37"/>
        </w:rPr>
        <w:t xml:space="preserve"> CC, în calitate de conducător al </w:t>
      </w:r>
      <w:r>
        <w:rPr>
          <w:rStyle w:val="FontStyle37"/>
        </w:rPr>
        <w:t>instituţiei</w:t>
      </w:r>
      <w:r>
        <w:rPr>
          <w:rStyle w:val="FontStyle37"/>
        </w:rPr>
        <w:t xml:space="preserve"> ordonă, la nivel administrativ, efectuarea </w:t>
      </w:r>
      <w:r>
        <w:rPr>
          <w:rStyle w:val="FontStyle37"/>
        </w:rPr>
        <w:t>investigaţiei</w:t>
      </w:r>
      <w:r>
        <w:rPr>
          <w:rStyle w:val="FontStyle37"/>
        </w:rPr>
        <w:t xml:space="preserve"> astfel cum a fost </w:t>
      </w:r>
      <w:r>
        <w:rPr>
          <w:rStyle w:val="FontStyle37"/>
        </w:rPr>
        <w:t>declanşată</w:t>
      </w:r>
      <w:r>
        <w:rPr>
          <w:rStyle w:val="FontStyle37"/>
        </w:rPr>
        <w:t xml:space="preserve"> </w:t>
      </w:r>
      <w:r>
        <w:rPr>
          <w:rStyle w:val="FontStyle37"/>
        </w:rPr>
        <w:t>şi</w:t>
      </w:r>
      <w:r>
        <w:rPr>
          <w:rStyle w:val="FontStyle37"/>
        </w:rPr>
        <w:t xml:space="preserve"> ulterior extinsă prin Hotărâri ale Plenului CC.</w:t>
      </w:r>
    </w:p>
    <w:p w:rsidR="00565124" w:rsidP="00565124" w14:paraId="25B30844" w14:textId="77777777">
      <w:pPr>
        <w:pStyle w:val="Style10"/>
        <w:widowControl/>
        <w:spacing w:line="240" w:lineRule="auto"/>
        <w:ind w:firstLine="993"/>
        <w:rPr>
          <w:rStyle w:val="FontStyle37"/>
        </w:rPr>
      </w:pPr>
      <w:r>
        <w:rPr>
          <w:rStyle w:val="FontStyle37"/>
        </w:rPr>
        <w:t>Faţă</w:t>
      </w:r>
      <w:r>
        <w:rPr>
          <w:rStyle w:val="FontStyle37"/>
        </w:rPr>
        <w:t xml:space="preserve"> de </w:t>
      </w:r>
      <w:r>
        <w:rPr>
          <w:rStyle w:val="FontStyle37"/>
        </w:rPr>
        <w:t>părţile</w:t>
      </w:r>
      <w:r>
        <w:rPr>
          <w:rStyle w:val="FontStyle37"/>
        </w:rPr>
        <w:t xml:space="preserve"> vizate de </w:t>
      </w:r>
      <w:r>
        <w:rPr>
          <w:rStyle w:val="FontStyle37"/>
        </w:rPr>
        <w:t>investigaţie</w:t>
      </w:r>
      <w:r>
        <w:rPr>
          <w:rStyle w:val="FontStyle37"/>
        </w:rPr>
        <w:t xml:space="preserve">, Ordinul de </w:t>
      </w:r>
      <w:r>
        <w:rPr>
          <w:rStyle w:val="FontStyle37"/>
        </w:rPr>
        <w:t>declanşare</w:t>
      </w:r>
      <w:r>
        <w:rPr>
          <w:rStyle w:val="FontStyle37"/>
        </w:rPr>
        <w:t xml:space="preserve">/extindere a </w:t>
      </w:r>
      <w:r>
        <w:rPr>
          <w:rStyle w:val="FontStyle37"/>
        </w:rPr>
        <w:t>investigaţiei</w:t>
      </w:r>
      <w:r>
        <w:rPr>
          <w:rStyle w:val="FontStyle37"/>
        </w:rPr>
        <w:t xml:space="preserve"> atestă că a avut loc o </w:t>
      </w:r>
      <w:r>
        <w:rPr>
          <w:rStyle w:val="FontStyle37"/>
        </w:rPr>
        <w:t>şedinţă</w:t>
      </w:r>
      <w:r>
        <w:rPr>
          <w:rStyle w:val="FontStyle37"/>
        </w:rPr>
        <w:t xml:space="preserve"> a Plenului CC (în </w:t>
      </w:r>
      <w:r>
        <w:rPr>
          <w:rStyle w:val="FontStyle37"/>
        </w:rPr>
        <w:t>speţă</w:t>
      </w:r>
      <w:r>
        <w:rPr>
          <w:rStyle w:val="FontStyle37"/>
        </w:rPr>
        <w:t xml:space="preserve">, la data de 27.10.2020) în cadrul căreia organul decizional colegial al </w:t>
      </w:r>
      <w:r>
        <w:rPr>
          <w:rStyle w:val="FontStyle37"/>
        </w:rPr>
        <w:t>autorităţii</w:t>
      </w:r>
      <w:r>
        <w:rPr>
          <w:rStyle w:val="FontStyle37"/>
        </w:rPr>
        <w:t xml:space="preserve"> de </w:t>
      </w:r>
      <w:r>
        <w:rPr>
          <w:rStyle w:val="FontStyle37"/>
        </w:rPr>
        <w:t>concurenţă</w:t>
      </w:r>
      <w:r>
        <w:rPr>
          <w:rStyle w:val="FontStyle37"/>
        </w:rPr>
        <w:t xml:space="preserve"> a deliberat </w:t>
      </w:r>
      <w:r>
        <w:rPr>
          <w:rStyle w:val="FontStyle37"/>
        </w:rPr>
        <w:t>şi</w:t>
      </w:r>
      <w:r>
        <w:rPr>
          <w:rStyle w:val="FontStyle37"/>
        </w:rPr>
        <w:t xml:space="preserve"> a decis extinderea </w:t>
      </w:r>
      <w:r>
        <w:rPr>
          <w:rStyle w:val="FontStyle37"/>
        </w:rPr>
        <w:t>investigaţiei</w:t>
      </w:r>
      <w:r>
        <w:rPr>
          <w:rStyle w:val="FontStyle37"/>
        </w:rPr>
        <w:t>.</w:t>
      </w:r>
    </w:p>
    <w:p w:rsidR="00565124" w:rsidP="00565124" w14:paraId="6050E714" w14:textId="77777777">
      <w:pPr>
        <w:pStyle w:val="Style10"/>
        <w:widowControl/>
        <w:spacing w:line="240" w:lineRule="auto"/>
        <w:ind w:firstLine="993"/>
        <w:rPr>
          <w:rStyle w:val="FontStyle37"/>
        </w:rPr>
      </w:pPr>
      <w:r>
        <w:rPr>
          <w:rStyle w:val="FontStyle37"/>
        </w:rPr>
        <w:t xml:space="preserve">Or, cât timp ordinul </w:t>
      </w:r>
      <w:r>
        <w:rPr>
          <w:rStyle w:val="FontStyle37"/>
        </w:rPr>
        <w:t>preşedintelui</w:t>
      </w:r>
      <w:r>
        <w:rPr>
          <w:rStyle w:val="FontStyle37"/>
        </w:rPr>
        <w:t xml:space="preserve"> </w:t>
      </w:r>
      <w:r>
        <w:rPr>
          <w:rStyle w:val="FontStyle37"/>
        </w:rPr>
        <w:t>autorităţii</w:t>
      </w:r>
      <w:r>
        <w:rPr>
          <w:rStyle w:val="FontStyle37"/>
        </w:rPr>
        <w:t xml:space="preserve"> nu poate exista în mod valabil fără analiza, deliberarea si hotărârea organului colegial, apreciem că reiese cu certitudine că eventuala invalidare a sa nu poate avea o înrâurire decisivă asupra </w:t>
      </w:r>
      <w:r>
        <w:rPr>
          <w:rStyle w:val="FontStyle37"/>
        </w:rPr>
        <w:t>legalităţii</w:t>
      </w:r>
      <w:r>
        <w:rPr>
          <w:rStyle w:val="FontStyle37"/>
        </w:rPr>
        <w:t xml:space="preserve"> deciziei finale a </w:t>
      </w:r>
      <w:r>
        <w:rPr>
          <w:rStyle w:val="FontStyle37"/>
        </w:rPr>
        <w:t>autorităţii</w:t>
      </w:r>
      <w:r>
        <w:rPr>
          <w:rStyle w:val="FontStyle37"/>
        </w:rPr>
        <w:t xml:space="preserve"> în lipsa demonstrării si probării unei vătămări neechivoce (nu doar </w:t>
      </w:r>
      <w:r>
        <w:rPr>
          <w:rStyle w:val="FontStyle37"/>
        </w:rPr>
        <w:t>supoziţii</w:t>
      </w:r>
      <w:r>
        <w:rPr>
          <w:rStyle w:val="FontStyle37"/>
        </w:rPr>
        <w:t xml:space="preserve">) a celui </w:t>
      </w:r>
      <w:r>
        <w:rPr>
          <w:rStyle w:val="FontStyle37"/>
        </w:rPr>
        <w:t>sancţionat</w:t>
      </w:r>
      <w:r>
        <w:rPr>
          <w:rStyle w:val="FontStyle37"/>
        </w:rPr>
        <w:t>.</w:t>
      </w:r>
    </w:p>
    <w:p w:rsidR="00565124" w:rsidP="00565124" w14:paraId="1ABDC3F5" w14:textId="77777777">
      <w:pPr>
        <w:pStyle w:val="Style10"/>
        <w:widowControl/>
        <w:spacing w:line="240" w:lineRule="auto"/>
        <w:ind w:firstLine="993"/>
        <w:rPr>
          <w:rStyle w:val="FontStyle37"/>
        </w:rPr>
      </w:pPr>
      <w:r>
        <w:rPr>
          <w:rStyle w:val="FontStyle37"/>
        </w:rPr>
        <w:t xml:space="preserve">Atât ordinul de </w:t>
      </w:r>
      <w:r>
        <w:rPr>
          <w:rStyle w:val="FontStyle37"/>
        </w:rPr>
        <w:t>declanşare</w:t>
      </w:r>
      <w:r>
        <w:rPr>
          <w:rStyle w:val="FontStyle37"/>
        </w:rPr>
        <w:t xml:space="preserve"> a </w:t>
      </w:r>
      <w:r>
        <w:rPr>
          <w:rStyle w:val="FontStyle37"/>
        </w:rPr>
        <w:t>investigaţiei</w:t>
      </w:r>
      <w:r>
        <w:rPr>
          <w:rStyle w:val="FontStyle37"/>
        </w:rPr>
        <w:t xml:space="preserve">, cât </w:t>
      </w:r>
      <w:r>
        <w:rPr>
          <w:rStyle w:val="FontStyle37"/>
        </w:rPr>
        <w:t>şi</w:t>
      </w:r>
      <w:r>
        <w:rPr>
          <w:rStyle w:val="FontStyle37"/>
        </w:rPr>
        <w:t xml:space="preserve"> cel de extindere se emit în vederea respectării drepturilor </w:t>
      </w:r>
      <w:r>
        <w:rPr>
          <w:rStyle w:val="FontStyle37"/>
        </w:rPr>
        <w:t>şi</w:t>
      </w:r>
      <w:r>
        <w:rPr>
          <w:rStyle w:val="FontStyle37"/>
        </w:rPr>
        <w:t xml:space="preserve"> </w:t>
      </w:r>
      <w:r>
        <w:rPr>
          <w:rStyle w:val="FontStyle37"/>
        </w:rPr>
        <w:t>garanţiilor</w:t>
      </w:r>
      <w:r>
        <w:rPr>
          <w:rStyle w:val="FontStyle37"/>
        </w:rPr>
        <w:t xml:space="preserve"> procedurale ale </w:t>
      </w:r>
      <w:r>
        <w:rPr>
          <w:rStyle w:val="FontStyle37"/>
        </w:rPr>
        <w:t>părţilor</w:t>
      </w:r>
      <w:r>
        <w:rPr>
          <w:rStyle w:val="FontStyle37"/>
        </w:rPr>
        <w:t xml:space="preserve"> vizate de </w:t>
      </w:r>
      <w:r>
        <w:rPr>
          <w:rStyle w:val="FontStyle37"/>
        </w:rPr>
        <w:t>investigaţie</w:t>
      </w:r>
      <w:r>
        <w:rPr>
          <w:rStyle w:val="FontStyle37"/>
        </w:rPr>
        <w:t xml:space="preserve">, precum dreptul la apărare, certitudinea juridică asupra a ceea ce este investigat în sensul </w:t>
      </w:r>
      <w:r>
        <w:rPr>
          <w:rStyle w:val="FontStyle37"/>
        </w:rPr>
        <w:t>cunoaşterii</w:t>
      </w:r>
      <w:r>
        <w:rPr>
          <w:rStyle w:val="FontStyle37"/>
        </w:rPr>
        <w:t xml:space="preserve"> suspiciunilor privind obiectul </w:t>
      </w:r>
      <w:r>
        <w:rPr>
          <w:rStyle w:val="FontStyle37"/>
        </w:rPr>
        <w:t>investigaţiei</w:t>
      </w:r>
      <w:r>
        <w:rPr>
          <w:rStyle w:val="FontStyle37"/>
        </w:rPr>
        <w:t xml:space="preserve"> (comportamentul posibil </w:t>
      </w:r>
      <w:r>
        <w:rPr>
          <w:rStyle w:val="FontStyle37"/>
        </w:rPr>
        <w:t>anticoncurenţial</w:t>
      </w:r>
      <w:r>
        <w:rPr>
          <w:rStyle w:val="FontStyle37"/>
        </w:rPr>
        <w:t xml:space="preserve">), </w:t>
      </w:r>
      <w:r>
        <w:rPr>
          <w:rStyle w:val="FontStyle37"/>
        </w:rPr>
        <w:t>societăţile</w:t>
      </w:r>
      <w:r>
        <w:rPr>
          <w:rStyle w:val="FontStyle37"/>
        </w:rPr>
        <w:t xml:space="preserve"> suspectate de </w:t>
      </w:r>
      <w:r>
        <w:rPr>
          <w:rStyle w:val="FontStyle37"/>
        </w:rPr>
        <w:t>săvârşirea</w:t>
      </w:r>
      <w:r>
        <w:rPr>
          <w:rStyle w:val="FontStyle37"/>
        </w:rPr>
        <w:t xml:space="preserve"> posibilei fapte </w:t>
      </w:r>
      <w:r>
        <w:rPr>
          <w:rStyle w:val="FontStyle37"/>
        </w:rPr>
        <w:t>anticoncurenţiale</w:t>
      </w:r>
      <w:r>
        <w:rPr>
          <w:rStyle w:val="FontStyle37"/>
        </w:rPr>
        <w:t xml:space="preserve">, </w:t>
      </w:r>
      <w:r>
        <w:rPr>
          <w:rStyle w:val="FontStyle37"/>
        </w:rPr>
        <w:t>piaţa</w:t>
      </w:r>
      <w:r>
        <w:rPr>
          <w:rStyle w:val="FontStyle37"/>
        </w:rPr>
        <w:t xml:space="preserve"> relevantă la care se raportează </w:t>
      </w:r>
      <w:r>
        <w:rPr>
          <w:rStyle w:val="FontStyle37"/>
        </w:rPr>
        <w:t>investigaţia</w:t>
      </w:r>
      <w:r>
        <w:rPr>
          <w:rStyle w:val="FontStyle37"/>
        </w:rPr>
        <w:t xml:space="preserve"> </w:t>
      </w:r>
      <w:r>
        <w:rPr>
          <w:rStyle w:val="FontStyle37"/>
        </w:rPr>
        <w:t>s.a.m.d</w:t>
      </w:r>
      <w:r>
        <w:rPr>
          <w:rStyle w:val="FontStyle37"/>
        </w:rPr>
        <w:t>.</w:t>
      </w:r>
    </w:p>
    <w:p w:rsidR="00565124" w:rsidP="00565124" w14:paraId="7D1351BC" w14:textId="77777777">
      <w:pPr>
        <w:pStyle w:val="Style10"/>
        <w:widowControl/>
        <w:spacing w:line="240" w:lineRule="auto"/>
        <w:ind w:firstLine="993"/>
        <w:rPr>
          <w:rStyle w:val="FontStyle37"/>
        </w:rPr>
      </w:pPr>
      <w:r>
        <w:rPr>
          <w:rStyle w:val="FontStyle37"/>
        </w:rPr>
        <w:t xml:space="preserve">Reclamanta, împreună cu toate celelalte </w:t>
      </w:r>
      <w:r>
        <w:rPr>
          <w:rStyle w:val="FontStyle37"/>
        </w:rPr>
        <w:t>părţi</w:t>
      </w:r>
      <w:r>
        <w:rPr>
          <w:rStyle w:val="FontStyle37"/>
        </w:rPr>
        <w:t xml:space="preserve"> implicate în </w:t>
      </w:r>
      <w:r>
        <w:rPr>
          <w:rStyle w:val="FontStyle37"/>
        </w:rPr>
        <w:t>investigaţie</w:t>
      </w:r>
      <w:r>
        <w:rPr>
          <w:rStyle w:val="FontStyle37"/>
        </w:rPr>
        <w:t xml:space="preserve">, a avut reprezentarea deplină a </w:t>
      </w:r>
      <w:r>
        <w:rPr>
          <w:rStyle w:val="FontStyle37"/>
        </w:rPr>
        <w:t>realităţii</w:t>
      </w:r>
      <w:r>
        <w:rPr>
          <w:rStyle w:val="FontStyle37"/>
        </w:rPr>
        <w:t xml:space="preserve"> </w:t>
      </w:r>
      <w:r>
        <w:rPr>
          <w:rStyle w:val="FontStyle37"/>
        </w:rPr>
        <w:t>investigaţiei</w:t>
      </w:r>
      <w:r>
        <w:rPr>
          <w:rStyle w:val="FontStyle37"/>
        </w:rPr>
        <w:t xml:space="preserve"> tocmai ca urmare a respectării cu </w:t>
      </w:r>
      <w:r>
        <w:rPr>
          <w:rStyle w:val="FontStyle37"/>
        </w:rPr>
        <w:t>stricteţe</w:t>
      </w:r>
      <w:r>
        <w:rPr>
          <w:rStyle w:val="FontStyle37"/>
        </w:rPr>
        <w:t xml:space="preserve"> de către CC a regulilor procedurale. În </w:t>
      </w:r>
      <w:r>
        <w:rPr>
          <w:rStyle w:val="FontStyle37"/>
        </w:rPr>
        <w:t>speţă</w:t>
      </w:r>
      <w:r>
        <w:rPr>
          <w:rStyle w:val="FontStyle37"/>
        </w:rPr>
        <w:t xml:space="preserve">, ordinul de extindere a </w:t>
      </w:r>
      <w:r>
        <w:rPr>
          <w:rStyle w:val="FontStyle37"/>
        </w:rPr>
        <w:t>investigaţiei</w:t>
      </w:r>
      <w:r>
        <w:rPr>
          <w:rStyle w:val="FontStyle37"/>
        </w:rPr>
        <w:t xml:space="preserve">, emis în baza Hotărârii Plenului de extindere a </w:t>
      </w:r>
      <w:r>
        <w:rPr>
          <w:rStyle w:val="FontStyle37"/>
        </w:rPr>
        <w:t>investigaţiei</w:t>
      </w:r>
      <w:r>
        <w:rPr>
          <w:rStyle w:val="FontStyle37"/>
        </w:rPr>
        <w:t xml:space="preserve"> din 27.10.2020, vizează, astfel cum Plenul CC a decis, extinderea </w:t>
      </w:r>
      <w:r>
        <w:rPr>
          <w:rStyle w:val="FontStyle37"/>
        </w:rPr>
        <w:t>investigaţiei</w:t>
      </w:r>
      <w:r>
        <w:rPr>
          <w:rStyle w:val="FontStyle37"/>
        </w:rPr>
        <w:t xml:space="preserve">, ale cărei limite privind fapta suspectată (posibilul comportament </w:t>
      </w:r>
      <w:r>
        <w:rPr>
          <w:rStyle w:val="FontStyle37"/>
        </w:rPr>
        <w:t>anticoncurenţial</w:t>
      </w:r>
      <w:r>
        <w:rPr>
          <w:rStyle w:val="FontStyle37"/>
        </w:rPr>
        <w:t xml:space="preserve">) </w:t>
      </w:r>
      <w:r>
        <w:rPr>
          <w:rStyle w:val="FontStyle37"/>
        </w:rPr>
        <w:t>şi</w:t>
      </w:r>
      <w:r>
        <w:rPr>
          <w:rStyle w:val="FontStyle37"/>
        </w:rPr>
        <w:t xml:space="preserve"> </w:t>
      </w:r>
      <w:r>
        <w:rPr>
          <w:rStyle w:val="FontStyle37"/>
        </w:rPr>
        <w:t>piaţa</w:t>
      </w:r>
      <w:r>
        <w:rPr>
          <w:rStyle w:val="FontStyle37"/>
        </w:rPr>
        <w:t xml:space="preserve"> relevantă au fost stabilite de Plenul CC, prin hotărârea din 2018, de la momentul </w:t>
      </w:r>
      <w:r>
        <w:rPr>
          <w:rStyle w:val="FontStyle37"/>
        </w:rPr>
        <w:t>declanşării</w:t>
      </w:r>
      <w:r>
        <w:rPr>
          <w:rStyle w:val="FontStyle37"/>
        </w:rPr>
        <w:t xml:space="preserve">, </w:t>
      </w:r>
      <w:r>
        <w:rPr>
          <w:rStyle w:val="FontStyle37"/>
        </w:rPr>
        <w:t>şi</w:t>
      </w:r>
      <w:r>
        <w:rPr>
          <w:rStyle w:val="FontStyle37"/>
        </w:rPr>
        <w:t xml:space="preserve"> asupra întreprinderii reclamante.</w:t>
      </w:r>
    </w:p>
    <w:p w:rsidR="00565124" w:rsidP="00565124" w14:paraId="6933A14A" w14:textId="77777777">
      <w:pPr>
        <w:pStyle w:val="Style10"/>
        <w:widowControl/>
        <w:spacing w:line="240" w:lineRule="auto"/>
        <w:ind w:firstLine="993"/>
        <w:rPr>
          <w:rStyle w:val="FontStyle37"/>
        </w:rPr>
      </w:pPr>
      <w:r>
        <w:rPr>
          <w:rStyle w:val="FontStyle37"/>
        </w:rPr>
        <w:t xml:space="preserve">Chiar </w:t>
      </w:r>
      <w:r>
        <w:rPr>
          <w:rStyle w:val="FontStyle37"/>
        </w:rPr>
        <w:t>şi</w:t>
      </w:r>
      <w:r>
        <w:rPr>
          <w:rStyle w:val="FontStyle37"/>
        </w:rPr>
        <w:t xml:space="preserve"> prin absurd dacă s-ar considera că există un eventual viciu în ceea ce </w:t>
      </w:r>
      <w:r>
        <w:rPr>
          <w:rStyle w:val="FontStyle37"/>
        </w:rPr>
        <w:t>priveşte</w:t>
      </w:r>
      <w:r>
        <w:rPr>
          <w:rStyle w:val="FontStyle37"/>
        </w:rPr>
        <w:t xml:space="preserve"> procedura de emitere a ordinului de extindere a </w:t>
      </w:r>
      <w:r>
        <w:rPr>
          <w:rStyle w:val="FontStyle37"/>
        </w:rPr>
        <w:t>investigaţiei</w:t>
      </w:r>
      <w:r>
        <w:rPr>
          <w:rStyle w:val="FontStyle37"/>
        </w:rPr>
        <w:t xml:space="preserve"> de către </w:t>
      </w:r>
      <w:r>
        <w:rPr>
          <w:rStyle w:val="FontStyle37"/>
        </w:rPr>
        <w:t>Preşedintele</w:t>
      </w:r>
      <w:r>
        <w:rPr>
          <w:rStyle w:val="FontStyle37"/>
        </w:rPr>
        <w:t xml:space="preserve"> CC, acesta nu este de natură a atrage </w:t>
      </w:r>
      <w:r>
        <w:rPr>
          <w:rStyle w:val="FontStyle37"/>
        </w:rPr>
        <w:t>sancţiunea</w:t>
      </w:r>
      <w:r>
        <w:rPr>
          <w:rStyle w:val="FontStyle37"/>
        </w:rPr>
        <w:t xml:space="preserve"> </w:t>
      </w:r>
      <w:r>
        <w:rPr>
          <w:rStyle w:val="FontStyle37"/>
        </w:rPr>
        <w:t>nulităţii</w:t>
      </w:r>
      <w:r>
        <w:rPr>
          <w:rStyle w:val="FontStyle37"/>
        </w:rPr>
        <w:t xml:space="preserve"> absolute a întregii proceduri ulterioare </w:t>
      </w:r>
      <w:r>
        <w:rPr>
          <w:rStyle w:val="FontStyle37"/>
        </w:rPr>
        <w:t>declanşării</w:t>
      </w:r>
      <w:r>
        <w:rPr>
          <w:rStyle w:val="FontStyle37"/>
        </w:rPr>
        <w:t xml:space="preserve"> </w:t>
      </w:r>
      <w:r>
        <w:rPr>
          <w:rStyle w:val="FontStyle37"/>
        </w:rPr>
        <w:t>investigaţiei</w:t>
      </w:r>
      <w:r>
        <w:rPr>
          <w:rStyle w:val="FontStyle37"/>
        </w:rPr>
        <w:t xml:space="preserve"> prin cele două </w:t>
      </w:r>
      <w:r>
        <w:rPr>
          <w:rStyle w:val="FontStyle37"/>
        </w:rPr>
        <w:t>operaţiuni</w:t>
      </w:r>
      <w:r>
        <w:rPr>
          <w:rStyle w:val="FontStyle37"/>
        </w:rPr>
        <w:t xml:space="preserve"> administrative succesive - Hotărâre Plen de </w:t>
      </w:r>
      <w:r>
        <w:rPr>
          <w:rStyle w:val="FontStyle37"/>
        </w:rPr>
        <w:t>declanşare</w:t>
      </w:r>
      <w:r>
        <w:rPr>
          <w:rStyle w:val="FontStyle37"/>
        </w:rPr>
        <w:t xml:space="preserve">/ extindere </w:t>
      </w:r>
      <w:r>
        <w:rPr>
          <w:rStyle w:val="FontStyle37"/>
        </w:rPr>
        <w:t>investigaţie</w:t>
      </w:r>
      <w:r>
        <w:rPr>
          <w:rStyle w:val="FontStyle37"/>
        </w:rPr>
        <w:t xml:space="preserve"> </w:t>
      </w:r>
      <w:r>
        <w:rPr>
          <w:rStyle w:val="FontStyle37"/>
        </w:rPr>
        <w:t>şi</w:t>
      </w:r>
      <w:r>
        <w:rPr>
          <w:rStyle w:val="FontStyle37"/>
        </w:rPr>
        <w:t xml:space="preserve"> Ordin </w:t>
      </w:r>
      <w:r>
        <w:rPr>
          <w:rStyle w:val="FontStyle37"/>
        </w:rPr>
        <w:t>declanşare</w:t>
      </w:r>
      <w:r>
        <w:rPr>
          <w:rStyle w:val="FontStyle37"/>
        </w:rPr>
        <w:t xml:space="preserve">/extindere, ci, cel mult, nulitatea relativă, reclamanta fiind </w:t>
      </w:r>
      <w:r>
        <w:rPr>
          <w:rStyle w:val="FontStyle37"/>
        </w:rPr>
        <w:t>ţinută</w:t>
      </w:r>
      <w:r>
        <w:rPr>
          <w:rStyle w:val="FontStyle37"/>
        </w:rPr>
        <w:t xml:space="preserve"> să probeze neechivoc vătămarea suferită, ceea ce aceasta nu face </w:t>
      </w:r>
      <w:r>
        <w:rPr>
          <w:rStyle w:val="FontStyle37"/>
        </w:rPr>
        <w:t>şi</w:t>
      </w:r>
      <w:r>
        <w:rPr>
          <w:rStyle w:val="FontStyle37"/>
        </w:rPr>
        <w:t xml:space="preserve"> nici nu poate constitui obiect al prezentului dosar.</w:t>
      </w:r>
    </w:p>
    <w:p w:rsidR="00565124" w:rsidP="00565124" w14:paraId="7CBF87CB" w14:textId="77777777">
      <w:pPr>
        <w:pStyle w:val="Style10"/>
        <w:widowControl/>
        <w:spacing w:line="240" w:lineRule="auto"/>
        <w:ind w:firstLine="993"/>
        <w:rPr>
          <w:rStyle w:val="Emphasis"/>
        </w:rPr>
      </w:pPr>
      <w:r>
        <w:rPr>
          <w:rStyle w:val="FontStyle37"/>
        </w:rPr>
        <w:t>De asemenea, nu se poate realiza interpretarea Deciziei CCR nr. 58/2021 în sensul anulării actelor administrative/</w:t>
      </w:r>
      <w:r>
        <w:rPr>
          <w:rStyle w:val="FontStyle37"/>
        </w:rPr>
        <w:t>operaţiunilor</w:t>
      </w:r>
      <w:r>
        <w:rPr>
          <w:rStyle w:val="FontStyle37"/>
        </w:rPr>
        <w:t xml:space="preserve"> administrative emise de Consiliul </w:t>
      </w:r>
      <w:r>
        <w:rPr>
          <w:rStyle w:val="FontStyle37"/>
        </w:rPr>
        <w:t>Concurenţei</w:t>
      </w:r>
      <w:r>
        <w:rPr>
          <w:rStyle w:val="FontStyle37"/>
        </w:rPr>
        <w:t xml:space="preserve">, inclusiv în </w:t>
      </w:r>
      <w:r>
        <w:rPr>
          <w:rStyle w:val="FontStyle37"/>
        </w:rPr>
        <w:t>situaţiile</w:t>
      </w:r>
      <w:r>
        <w:rPr>
          <w:rStyle w:val="FontStyle37"/>
        </w:rPr>
        <w:t xml:space="preserve"> în care acestea sunt adoptate cu cvorumul </w:t>
      </w:r>
      <w:r>
        <w:rPr>
          <w:rStyle w:val="FontStyle37"/>
        </w:rPr>
        <w:t>şi</w:t>
      </w:r>
      <w:r>
        <w:rPr>
          <w:rStyle w:val="FontStyle37"/>
        </w:rPr>
        <w:t xml:space="preserve"> majoritatea cerută de lege, deoarece se creează un risc sistemic de impunitate, o astfel de interpretare a Deciziei CCR nr. 58/2021 fiind contrară </w:t>
      </w:r>
      <w:r>
        <w:rPr>
          <w:rStyle w:val="FontStyle37"/>
        </w:rPr>
        <w:t>jurisprudenţei</w:t>
      </w:r>
      <w:r>
        <w:rPr>
          <w:rStyle w:val="FontStyle37"/>
        </w:rPr>
        <w:t xml:space="preserve"> CJUE </w:t>
      </w:r>
      <w:r>
        <w:rPr>
          <w:rStyle w:val="FontStyle37"/>
        </w:rPr>
        <w:t>pronunţată</w:t>
      </w:r>
      <w:r>
        <w:rPr>
          <w:rStyle w:val="FontStyle37"/>
        </w:rPr>
        <w:t xml:space="preserve"> în Cauza C-308/19 </w:t>
      </w:r>
      <w:r>
        <w:rPr>
          <w:rStyle w:val="FontStyle39"/>
        </w:rPr>
        <w:t xml:space="preserve">CC </w:t>
      </w:r>
      <w:r>
        <w:rPr>
          <w:rStyle w:val="Emphasis"/>
        </w:rPr>
        <w:t>vs</w:t>
      </w:r>
      <w:r>
        <w:rPr>
          <w:rStyle w:val="Emphasis"/>
        </w:rPr>
        <w:t xml:space="preserve"> </w:t>
      </w:r>
      <w:r>
        <w:rPr>
          <w:rStyle w:val="Emphasis"/>
        </w:rPr>
        <w:t>Whiteland</w:t>
      </w:r>
      <w:r>
        <w:rPr>
          <w:rStyle w:val="Emphasis"/>
        </w:rPr>
        <w:t>.</w:t>
      </w:r>
    </w:p>
    <w:p w:rsidR="00565124" w:rsidP="00565124" w14:paraId="5AC976DF" w14:textId="16835672">
      <w:pPr>
        <w:pStyle w:val="Style10"/>
        <w:widowControl/>
        <w:spacing w:line="240" w:lineRule="auto"/>
        <w:ind w:firstLine="993"/>
        <w:rPr>
          <w:rStyle w:val="FontStyle37"/>
          <w:i/>
        </w:rPr>
      </w:pPr>
      <w:r>
        <w:rPr>
          <w:rStyle w:val="FontStyle37"/>
          <w:i/>
        </w:rPr>
        <w:t>Susţinerile</w:t>
      </w:r>
      <w:r>
        <w:rPr>
          <w:rStyle w:val="FontStyle37"/>
          <w:i/>
        </w:rPr>
        <w:t xml:space="preserve"> X  privind </w:t>
      </w:r>
      <w:r>
        <w:rPr>
          <w:rStyle w:val="FontStyle37"/>
          <w:i/>
        </w:rPr>
        <w:t>aparenţa</w:t>
      </w:r>
      <w:r>
        <w:rPr>
          <w:rStyle w:val="FontStyle37"/>
          <w:i/>
        </w:rPr>
        <w:t xml:space="preserve"> de nelegalitate a Deciziei nr.....</w:t>
      </w:r>
      <w:r>
        <w:rPr>
          <w:rStyle w:val="FontStyle37"/>
          <w:i/>
        </w:rPr>
        <w:t>D1/2022</w:t>
      </w:r>
      <w:r>
        <w:rPr>
          <w:rStyle w:val="FontStyle37"/>
          <w:i/>
        </w:rPr>
        <w:t xml:space="preserve"> motivat de faptul că analiza efectuată în decizia CC ar ignora </w:t>
      </w:r>
      <w:r>
        <w:rPr>
          <w:rStyle w:val="FontStyle37"/>
          <w:i/>
        </w:rPr>
        <w:t>existenţa</w:t>
      </w:r>
      <w:r>
        <w:rPr>
          <w:rStyle w:val="FontStyle37"/>
          <w:i/>
        </w:rPr>
        <w:t xml:space="preserve"> </w:t>
      </w:r>
      <w:r>
        <w:rPr>
          <w:rStyle w:val="FontStyle37"/>
          <w:i/>
        </w:rPr>
        <w:t>distribuţiei</w:t>
      </w:r>
      <w:r>
        <w:rPr>
          <w:rStyle w:val="FontStyle37"/>
          <w:i/>
        </w:rPr>
        <w:t xml:space="preserve"> duale ce obliga autoritatea de </w:t>
      </w:r>
      <w:r>
        <w:rPr>
          <w:rStyle w:val="FontStyle37"/>
          <w:i/>
        </w:rPr>
        <w:t>concurenţă</w:t>
      </w:r>
      <w:r>
        <w:rPr>
          <w:rStyle w:val="FontStyle37"/>
          <w:i/>
        </w:rPr>
        <w:t xml:space="preserve"> la verificarea </w:t>
      </w:r>
      <w:r>
        <w:rPr>
          <w:rStyle w:val="FontStyle37"/>
          <w:i/>
        </w:rPr>
        <w:t>incidenţei</w:t>
      </w:r>
      <w:r>
        <w:rPr>
          <w:rStyle w:val="FontStyle37"/>
          <w:i/>
        </w:rPr>
        <w:t xml:space="preserve"> exceptărilor prevăzute în Regulamentul UE nr.720/2022</w:t>
      </w:r>
    </w:p>
    <w:p w:rsidR="00565124" w:rsidP="00565124" w14:paraId="7DE23A3A" w14:textId="77777777">
      <w:pPr>
        <w:pStyle w:val="Style10"/>
        <w:widowControl/>
        <w:spacing w:line="240" w:lineRule="auto"/>
        <w:ind w:firstLine="993"/>
        <w:rPr>
          <w:rStyle w:val="FontStyle37"/>
        </w:rPr>
      </w:pPr>
      <w:r>
        <w:rPr>
          <w:rStyle w:val="FontStyle37"/>
        </w:rPr>
        <w:t xml:space="preserve">În contextul acestor </w:t>
      </w:r>
      <w:r>
        <w:rPr>
          <w:rStyle w:val="FontStyle37"/>
        </w:rPr>
        <w:t>susţineri</w:t>
      </w:r>
      <w:r>
        <w:rPr>
          <w:rStyle w:val="FontStyle37"/>
        </w:rPr>
        <w:t xml:space="preserve">, reclamanta afirmă la par.28 că CC ar fi ignorat complet </w:t>
      </w:r>
      <w:r>
        <w:rPr>
          <w:rStyle w:val="FontStyle37"/>
        </w:rPr>
        <w:t>şi</w:t>
      </w:r>
      <w:r>
        <w:rPr>
          <w:rStyle w:val="FontStyle37"/>
        </w:rPr>
        <w:t xml:space="preserve"> </w:t>
      </w:r>
      <w:r>
        <w:rPr>
          <w:rStyle w:val="FontStyle37"/>
        </w:rPr>
        <w:t>şi</w:t>
      </w:r>
      <w:r>
        <w:rPr>
          <w:rStyle w:val="FontStyle37"/>
        </w:rPr>
        <w:t xml:space="preserve">-ar fi întemeiat întreaga analiză pe ipoteza eronată a unei </w:t>
      </w:r>
      <w:r>
        <w:rPr>
          <w:rStyle w:val="FontStyle37"/>
        </w:rPr>
        <w:t>înţelegeri</w:t>
      </w:r>
      <w:r>
        <w:rPr>
          <w:rStyle w:val="FontStyle37"/>
        </w:rPr>
        <w:t xml:space="preserve"> de </w:t>
      </w:r>
      <w:r>
        <w:rPr>
          <w:rStyle w:val="FontStyle37"/>
        </w:rPr>
        <w:t>împărţire</w:t>
      </w:r>
      <w:r>
        <w:rPr>
          <w:rStyle w:val="FontStyle37"/>
        </w:rPr>
        <w:t xml:space="preserve"> a </w:t>
      </w:r>
      <w:r>
        <w:rPr>
          <w:rStyle w:val="FontStyle37"/>
        </w:rPr>
        <w:t>pieţei</w:t>
      </w:r>
      <w:r>
        <w:rPr>
          <w:rStyle w:val="FontStyle37"/>
        </w:rPr>
        <w:t xml:space="preserve">, a unui cartel între competitori </w:t>
      </w:r>
      <w:r>
        <w:rPr>
          <w:rStyle w:val="FontStyle37"/>
        </w:rPr>
        <w:t>aflaţi</w:t>
      </w:r>
      <w:r>
        <w:rPr>
          <w:rStyle w:val="FontStyle37"/>
        </w:rPr>
        <w:t xml:space="preserve"> pe </w:t>
      </w:r>
      <w:r>
        <w:rPr>
          <w:rStyle w:val="FontStyle37"/>
        </w:rPr>
        <w:t>acelaşi</w:t>
      </w:r>
      <w:r>
        <w:rPr>
          <w:rStyle w:val="FontStyle37"/>
        </w:rPr>
        <w:t xml:space="preserve"> nivel al </w:t>
      </w:r>
      <w:r>
        <w:rPr>
          <w:rStyle w:val="FontStyle37"/>
        </w:rPr>
        <w:t>lanţului</w:t>
      </w:r>
      <w:r>
        <w:rPr>
          <w:rStyle w:val="FontStyle37"/>
        </w:rPr>
        <w:t xml:space="preserve"> de </w:t>
      </w:r>
      <w:r>
        <w:rPr>
          <w:rStyle w:val="FontStyle37"/>
        </w:rPr>
        <w:t>producţie</w:t>
      </w:r>
      <w:r>
        <w:rPr>
          <w:rStyle w:val="FontStyle37"/>
        </w:rPr>
        <w:t xml:space="preserve"> </w:t>
      </w:r>
      <w:r>
        <w:rPr>
          <w:rStyle w:val="FontStyle37"/>
        </w:rPr>
        <w:t>şi</w:t>
      </w:r>
      <w:r>
        <w:rPr>
          <w:rStyle w:val="FontStyle37"/>
        </w:rPr>
        <w:t xml:space="preserve"> comercializare, eliminând nemotivat realitatea economică a </w:t>
      </w:r>
      <w:r>
        <w:rPr>
          <w:rStyle w:val="FontStyle37"/>
        </w:rPr>
        <w:t>relaţiei</w:t>
      </w:r>
      <w:r>
        <w:rPr>
          <w:rStyle w:val="FontStyle37"/>
        </w:rPr>
        <w:t xml:space="preserve"> verticale de </w:t>
      </w:r>
      <w:r>
        <w:rPr>
          <w:rStyle w:val="FontStyle37"/>
        </w:rPr>
        <w:t>distribuţie</w:t>
      </w:r>
      <w:r>
        <w:rPr>
          <w:rStyle w:val="FontStyle37"/>
        </w:rPr>
        <w:t xml:space="preserve"> duală dintre </w:t>
      </w:r>
      <w:r>
        <w:rPr>
          <w:rStyle w:val="FontStyle37"/>
        </w:rPr>
        <w:t>părţi</w:t>
      </w:r>
      <w:r>
        <w:rPr>
          <w:rStyle w:val="FontStyle37"/>
        </w:rPr>
        <w:t xml:space="preserve">. Aceste </w:t>
      </w:r>
      <w:r>
        <w:rPr>
          <w:rStyle w:val="FontStyle37"/>
        </w:rPr>
        <w:t>afirmaţii</w:t>
      </w:r>
      <w:r>
        <w:rPr>
          <w:rStyle w:val="FontStyle37"/>
        </w:rPr>
        <w:t xml:space="preserve"> ale X  nu pot fi </w:t>
      </w:r>
      <w:r>
        <w:rPr>
          <w:rStyle w:val="FontStyle37"/>
        </w:rPr>
        <w:t>reţinute</w:t>
      </w:r>
      <w:r>
        <w:rPr>
          <w:rStyle w:val="FontStyle37"/>
        </w:rPr>
        <w:t>.</w:t>
      </w:r>
    </w:p>
    <w:p w:rsidR="00565124" w:rsidP="00565124" w14:paraId="6AE0AE84" w14:textId="77777777">
      <w:pPr>
        <w:pStyle w:val="Style10"/>
        <w:widowControl/>
        <w:spacing w:line="240" w:lineRule="auto"/>
        <w:ind w:firstLine="993"/>
        <w:rPr>
          <w:rStyle w:val="FontStyle37"/>
        </w:rPr>
      </w:pPr>
      <w:r>
        <w:rPr>
          <w:rStyle w:val="FontStyle37"/>
        </w:rPr>
        <w:t xml:space="preserve">Prin </w:t>
      </w:r>
      <w:r>
        <w:rPr>
          <w:rStyle w:val="FontStyle37"/>
        </w:rPr>
        <w:t>afirmaţiile</w:t>
      </w:r>
      <w:r>
        <w:rPr>
          <w:rStyle w:val="FontStyle37"/>
        </w:rPr>
        <w:t xml:space="preserve"> dezvoltate la punctele 28-34 din cererea de suspendare, reclamanta încearcă să inducă în eroare prin crearea unei confuzii între </w:t>
      </w:r>
      <w:r>
        <w:rPr>
          <w:rStyle w:val="FontStyle37"/>
        </w:rPr>
        <w:t>relaţia</w:t>
      </w:r>
      <w:r>
        <w:rPr>
          <w:rStyle w:val="FontStyle37"/>
        </w:rPr>
        <w:t xml:space="preserve"> de natură verticală încheiată între Z  </w:t>
      </w:r>
      <w:r>
        <w:rPr>
          <w:rStyle w:val="FontStyle37"/>
        </w:rPr>
        <w:t>şi</w:t>
      </w:r>
      <w:r>
        <w:rPr>
          <w:rStyle w:val="FontStyle37"/>
        </w:rPr>
        <w:t xml:space="preserve"> X  </w:t>
      </w:r>
      <w:r>
        <w:rPr>
          <w:rStyle w:val="FontStyle37"/>
        </w:rPr>
        <w:t>şi</w:t>
      </w:r>
      <w:r>
        <w:rPr>
          <w:rStyle w:val="FontStyle37"/>
        </w:rPr>
        <w:t xml:space="preserve"> în </w:t>
      </w:r>
      <w:r>
        <w:rPr>
          <w:rStyle w:val="FontStyle37"/>
        </w:rPr>
        <w:t>privinţa</w:t>
      </w:r>
      <w:r>
        <w:rPr>
          <w:rStyle w:val="FontStyle37"/>
        </w:rPr>
        <w:t xml:space="preserve"> căreia autoritatea de </w:t>
      </w:r>
      <w:r>
        <w:rPr>
          <w:rStyle w:val="FontStyle37"/>
        </w:rPr>
        <w:t>concurenţă</w:t>
      </w:r>
      <w:r>
        <w:rPr>
          <w:rStyle w:val="FontStyle37"/>
        </w:rPr>
        <w:t xml:space="preserve"> nu a identificat aspecte de natură </w:t>
      </w:r>
      <w:r>
        <w:rPr>
          <w:rStyle w:val="FontStyle37"/>
        </w:rPr>
        <w:t>anticoncurenţială</w:t>
      </w:r>
      <w:r>
        <w:rPr>
          <w:rStyle w:val="FontStyle37"/>
        </w:rPr>
        <w:t xml:space="preserve"> </w:t>
      </w:r>
      <w:r>
        <w:rPr>
          <w:rStyle w:val="FontStyle37"/>
        </w:rPr>
        <w:t>şi</w:t>
      </w:r>
      <w:r>
        <w:rPr>
          <w:rStyle w:val="FontStyle37"/>
        </w:rPr>
        <w:t xml:space="preserve"> </w:t>
      </w:r>
      <w:r>
        <w:rPr>
          <w:rStyle w:val="FontStyle37"/>
        </w:rPr>
        <w:t>relaţia</w:t>
      </w:r>
      <w:r>
        <w:rPr>
          <w:rStyle w:val="FontStyle37"/>
        </w:rPr>
        <w:t xml:space="preserve"> de natură orizontală dintre acestea concretizată într-o </w:t>
      </w:r>
      <w:r>
        <w:rPr>
          <w:rStyle w:val="FontStyle37"/>
        </w:rPr>
        <w:t>înţelegere</w:t>
      </w:r>
      <w:r>
        <w:rPr>
          <w:rStyle w:val="FontStyle37"/>
        </w:rPr>
        <w:t xml:space="preserve">/practica concertată cu obiect </w:t>
      </w:r>
      <w:r>
        <w:rPr>
          <w:rStyle w:val="FontStyle37"/>
        </w:rPr>
        <w:t>anticoncurenţial</w:t>
      </w:r>
      <w:r>
        <w:rPr>
          <w:rStyle w:val="FontStyle37"/>
        </w:rPr>
        <w:t xml:space="preserve">, </w:t>
      </w:r>
      <w:r>
        <w:rPr>
          <w:rStyle w:val="FontStyle37"/>
        </w:rPr>
        <w:t>împărţirea</w:t>
      </w:r>
      <w:r>
        <w:rPr>
          <w:rStyle w:val="FontStyle37"/>
        </w:rPr>
        <w:t xml:space="preserve"> </w:t>
      </w:r>
      <w:r>
        <w:rPr>
          <w:rStyle w:val="FontStyle37"/>
        </w:rPr>
        <w:t>clienţilor</w:t>
      </w:r>
      <w:r>
        <w:rPr>
          <w:rStyle w:val="FontStyle37"/>
        </w:rPr>
        <w:t xml:space="preserve"> între întreprinderi aflate pe </w:t>
      </w:r>
      <w:r>
        <w:rPr>
          <w:rStyle w:val="FontStyle37"/>
        </w:rPr>
        <w:t>acelaşi</w:t>
      </w:r>
      <w:r>
        <w:rPr>
          <w:rStyle w:val="FontStyle37"/>
        </w:rPr>
        <w:t xml:space="preserve"> nivel al </w:t>
      </w:r>
      <w:r>
        <w:rPr>
          <w:rStyle w:val="FontStyle37"/>
        </w:rPr>
        <w:t>lanţului</w:t>
      </w:r>
      <w:r>
        <w:rPr>
          <w:rStyle w:val="FontStyle37"/>
        </w:rPr>
        <w:t xml:space="preserve"> de </w:t>
      </w:r>
      <w:r>
        <w:rPr>
          <w:rStyle w:val="FontStyle37"/>
        </w:rPr>
        <w:t>distribuţie</w:t>
      </w:r>
      <w:r>
        <w:rPr>
          <w:rStyle w:val="FontStyle37"/>
        </w:rPr>
        <w:t xml:space="preserve">, respectiv pe </w:t>
      </w:r>
      <w:r>
        <w:rPr>
          <w:rStyle w:val="FontStyle37"/>
        </w:rPr>
        <w:t>piaţa</w:t>
      </w:r>
      <w:r>
        <w:rPr>
          <w:rStyle w:val="FontStyle37"/>
        </w:rPr>
        <w:t xml:space="preserve"> comercializării de produse </w:t>
      </w:r>
      <w:r>
        <w:rPr>
          <w:rStyle w:val="FontStyle37"/>
        </w:rPr>
        <w:t>şi</w:t>
      </w:r>
      <w:r>
        <w:rPr>
          <w:rStyle w:val="FontStyle37"/>
        </w:rPr>
        <w:t xml:space="preserve"> echipamente din domeniul </w:t>
      </w:r>
      <w:r>
        <w:rPr>
          <w:rStyle w:val="FontStyle37"/>
        </w:rPr>
        <w:t>sănătăţii</w:t>
      </w:r>
      <w:r>
        <w:rPr>
          <w:rStyle w:val="FontStyle37"/>
        </w:rPr>
        <w:t xml:space="preserve"> </w:t>
      </w:r>
      <w:r>
        <w:rPr>
          <w:rStyle w:val="FontStyle37"/>
        </w:rPr>
        <w:t>şi</w:t>
      </w:r>
      <w:r>
        <w:rPr>
          <w:rStyle w:val="FontStyle37"/>
        </w:rPr>
        <w:t xml:space="preserve"> </w:t>
      </w:r>
      <w:r>
        <w:rPr>
          <w:rStyle w:val="FontStyle37"/>
        </w:rPr>
        <w:t>securităţii</w:t>
      </w:r>
      <w:r>
        <w:rPr>
          <w:rStyle w:val="FontStyle37"/>
        </w:rPr>
        <w:t xml:space="preserve"> în muncă din România, toate </w:t>
      </w:r>
      <w:r>
        <w:rPr>
          <w:rStyle w:val="FontStyle37"/>
        </w:rPr>
        <w:t>părţile</w:t>
      </w:r>
      <w:r>
        <w:rPr>
          <w:rStyle w:val="FontStyle37"/>
        </w:rPr>
        <w:t xml:space="preserve"> implicate fiind considerate </w:t>
      </w:r>
      <w:r>
        <w:rPr>
          <w:rStyle w:val="FontStyle37"/>
        </w:rPr>
        <w:t>concurenţi</w:t>
      </w:r>
      <w:r>
        <w:rPr>
          <w:rStyle w:val="FontStyle37"/>
        </w:rPr>
        <w:t xml:space="preserve">, din perspectiva regulilor de </w:t>
      </w:r>
      <w:r>
        <w:rPr>
          <w:rStyle w:val="FontStyle37"/>
        </w:rPr>
        <w:t>concurenţă</w:t>
      </w:r>
      <w:r>
        <w:rPr>
          <w:rStyle w:val="FontStyle37"/>
        </w:rPr>
        <w:t xml:space="preserve">, întrucât, clientul final are de ales în </w:t>
      </w:r>
      <w:r>
        <w:rPr>
          <w:rStyle w:val="FontStyle37"/>
        </w:rPr>
        <w:t>achiziţionarea</w:t>
      </w:r>
      <w:r>
        <w:rPr>
          <w:rStyle w:val="FontStyle37"/>
        </w:rPr>
        <w:t xml:space="preserve"> bunurilor </w:t>
      </w:r>
      <w:r>
        <w:rPr>
          <w:rStyle w:val="FontStyle37"/>
        </w:rPr>
        <w:t>menţionate</w:t>
      </w:r>
      <w:r>
        <w:rPr>
          <w:rStyle w:val="FontStyle37"/>
        </w:rPr>
        <w:t xml:space="preserve">, între </w:t>
      </w:r>
      <w:r>
        <w:rPr>
          <w:rStyle w:val="FontStyle37"/>
        </w:rPr>
        <w:t>societăţile</w:t>
      </w:r>
      <w:r>
        <w:rPr>
          <w:rStyle w:val="FontStyle37"/>
        </w:rPr>
        <w:t xml:space="preserve"> investigate, indiferent de calitatea lor concretă de producător </w:t>
      </w:r>
      <w:r>
        <w:rPr>
          <w:rStyle w:val="FontStyle37"/>
        </w:rPr>
        <w:t>şi</w:t>
      </w:r>
      <w:r>
        <w:rPr>
          <w:rStyle w:val="FontStyle37"/>
        </w:rPr>
        <w:t>/sau comerciant.</w:t>
      </w:r>
    </w:p>
    <w:p w:rsidR="00565124" w:rsidP="00565124" w14:paraId="4893EA13" w14:textId="77777777">
      <w:pPr>
        <w:pStyle w:val="Style10"/>
        <w:widowControl/>
        <w:spacing w:before="29" w:line="240" w:lineRule="auto"/>
        <w:ind w:firstLine="993"/>
        <w:rPr>
          <w:rStyle w:val="FontStyle37"/>
        </w:rPr>
      </w:pPr>
      <w:r>
        <w:rPr>
          <w:rStyle w:val="FontStyle37"/>
        </w:rPr>
        <w:t xml:space="preserve">Prin decizia a cărei suspendare se solicită în prezenta cauză, autoritatea de </w:t>
      </w:r>
      <w:r>
        <w:rPr>
          <w:rStyle w:val="FontStyle37"/>
        </w:rPr>
        <w:t>concurenţă</w:t>
      </w:r>
      <w:r>
        <w:rPr>
          <w:rStyle w:val="FontStyle37"/>
        </w:rPr>
        <w:t xml:space="preserve">, la par. 562-570, răspunde </w:t>
      </w:r>
      <w:r>
        <w:rPr>
          <w:rStyle w:val="FontStyle37"/>
        </w:rPr>
        <w:t>observaţiilor</w:t>
      </w:r>
      <w:r>
        <w:rPr>
          <w:rStyle w:val="FontStyle37"/>
        </w:rPr>
        <w:t xml:space="preserve"> reclamantei potrivit cărora fapta </w:t>
      </w:r>
      <w:r>
        <w:rPr>
          <w:rStyle w:val="FontStyle37"/>
        </w:rPr>
        <w:t>reţinută</w:t>
      </w:r>
      <w:r>
        <w:rPr>
          <w:rStyle w:val="FontStyle37"/>
        </w:rPr>
        <w:t xml:space="preserve"> ar fi de fapt o </w:t>
      </w:r>
      <w:r>
        <w:rPr>
          <w:rStyle w:val="FontStyle37"/>
        </w:rPr>
        <w:t>înţelegere</w:t>
      </w:r>
      <w:r>
        <w:rPr>
          <w:rStyle w:val="FontStyle37"/>
        </w:rPr>
        <w:t xml:space="preserve"> verticală, fiind exceptată, in opinia sa, în baza noului Regulament privind exceptarea pe categorii -VBER/noul VBER, iar nu o </w:t>
      </w:r>
      <w:r>
        <w:rPr>
          <w:rStyle w:val="FontStyle37"/>
        </w:rPr>
        <w:t>înţelegere</w:t>
      </w:r>
      <w:r>
        <w:rPr>
          <w:rStyle w:val="FontStyle37"/>
        </w:rPr>
        <w:t xml:space="preserve"> orizontală, </w:t>
      </w:r>
      <w:r>
        <w:rPr>
          <w:rStyle w:val="FontStyle37"/>
        </w:rPr>
        <w:t>aşa</w:t>
      </w:r>
      <w:r>
        <w:rPr>
          <w:rStyle w:val="FontStyle37"/>
        </w:rPr>
        <w:t xml:space="preserve"> cum a constatat autoritatea de </w:t>
      </w:r>
      <w:r>
        <w:rPr>
          <w:rStyle w:val="FontStyle37"/>
        </w:rPr>
        <w:t>concurenţă</w:t>
      </w:r>
      <w:r>
        <w:rPr>
          <w:rStyle w:val="FontStyle37"/>
        </w:rPr>
        <w:t>.</w:t>
      </w:r>
    </w:p>
    <w:p w:rsidR="00565124" w:rsidP="00565124" w14:paraId="6D87B8EF" w14:textId="77777777">
      <w:pPr>
        <w:pStyle w:val="Style10"/>
        <w:widowControl/>
        <w:spacing w:line="240" w:lineRule="auto"/>
        <w:ind w:firstLine="993"/>
        <w:rPr>
          <w:rStyle w:val="FontStyle37"/>
        </w:rPr>
      </w:pPr>
      <w:r>
        <w:rPr>
          <w:rStyle w:val="FontStyle37"/>
        </w:rPr>
        <w:t xml:space="preserve">Din moment ce autoritatea de </w:t>
      </w:r>
      <w:r>
        <w:rPr>
          <w:rStyle w:val="FontStyle37"/>
        </w:rPr>
        <w:t>concurenţă</w:t>
      </w:r>
      <w:r>
        <w:rPr>
          <w:rStyle w:val="FontStyle37"/>
        </w:rPr>
        <w:t xml:space="preserve"> a analizat o faptă </w:t>
      </w:r>
      <w:r>
        <w:rPr>
          <w:rStyle w:val="FontStyle37"/>
        </w:rPr>
        <w:t>anticoncurenţială</w:t>
      </w:r>
      <w:r>
        <w:rPr>
          <w:rStyle w:val="FontStyle37"/>
        </w:rPr>
        <w:t xml:space="preserve"> realizată între </w:t>
      </w:r>
      <w:r>
        <w:rPr>
          <w:rStyle w:val="FontStyle37"/>
        </w:rPr>
        <w:t>concurenţi</w:t>
      </w:r>
      <w:r>
        <w:rPr>
          <w:rStyle w:val="FontStyle37"/>
        </w:rPr>
        <w:t xml:space="preserve"> (</w:t>
      </w:r>
      <w:r>
        <w:rPr>
          <w:rStyle w:val="FontStyle37"/>
        </w:rPr>
        <w:t>înţelegerea</w:t>
      </w:r>
      <w:r>
        <w:rPr>
          <w:rStyle w:val="FontStyle37"/>
        </w:rPr>
        <w:t xml:space="preserve"> de </w:t>
      </w:r>
      <w:r>
        <w:rPr>
          <w:rStyle w:val="FontStyle37"/>
        </w:rPr>
        <w:t>împărţire</w:t>
      </w:r>
      <w:r>
        <w:rPr>
          <w:rStyle w:val="FontStyle37"/>
        </w:rPr>
        <w:t xml:space="preserve"> a </w:t>
      </w:r>
      <w:r>
        <w:rPr>
          <w:rStyle w:val="FontStyle37"/>
        </w:rPr>
        <w:t>clienţilor</w:t>
      </w:r>
      <w:r>
        <w:rPr>
          <w:rStyle w:val="FontStyle37"/>
        </w:rPr>
        <w:t xml:space="preserve"> este considerată a fi realizată între </w:t>
      </w:r>
      <w:r>
        <w:rPr>
          <w:rStyle w:val="FontStyle37"/>
        </w:rPr>
        <w:t>concurenţi</w:t>
      </w:r>
      <w:r>
        <w:rPr>
          <w:rStyle w:val="FontStyle37"/>
        </w:rPr>
        <w:t xml:space="preserve">), deci de natură orizontală, aceasta nu era nicidecum obligată să realizeze o evaluare a posibilei exceptări pe categorii a respectivei practici. </w:t>
      </w:r>
      <w:r>
        <w:rPr>
          <w:rStyle w:val="FontStyle37"/>
        </w:rPr>
        <w:t>Reţinând</w:t>
      </w:r>
      <w:r>
        <w:rPr>
          <w:rStyle w:val="FontStyle37"/>
        </w:rPr>
        <w:t xml:space="preserve"> </w:t>
      </w:r>
      <w:r>
        <w:rPr>
          <w:rStyle w:val="FontStyle37"/>
        </w:rPr>
        <w:t>existenţa</w:t>
      </w:r>
      <w:r>
        <w:rPr>
          <w:rStyle w:val="FontStyle37"/>
        </w:rPr>
        <w:t xml:space="preserve"> unei practici </w:t>
      </w:r>
      <w:r>
        <w:rPr>
          <w:rStyle w:val="FontStyle37"/>
        </w:rPr>
        <w:t>anticoncurenţiale</w:t>
      </w:r>
      <w:r>
        <w:rPr>
          <w:rStyle w:val="FontStyle37"/>
        </w:rPr>
        <w:t xml:space="preserve"> de natură orizontală, autoritatea de </w:t>
      </w:r>
      <w:r>
        <w:rPr>
          <w:rStyle w:val="FontStyle37"/>
        </w:rPr>
        <w:t>concurenţă</w:t>
      </w:r>
      <w:r>
        <w:rPr>
          <w:rStyle w:val="FontStyle37"/>
        </w:rPr>
        <w:t xml:space="preserve"> a realizat analiza exceptării individuale a acesteia la cap. 5.1.10. Exceptarea individuală din decizia a cărei suspendare se solicit, constatându-se că fapta </w:t>
      </w:r>
      <w:r>
        <w:rPr>
          <w:rStyle w:val="FontStyle37"/>
        </w:rPr>
        <w:t>anticoncurenţială</w:t>
      </w:r>
      <w:r>
        <w:rPr>
          <w:rStyle w:val="FontStyle37"/>
        </w:rPr>
        <w:t xml:space="preserve"> analizată nu se califică pentru beneficiul exceptării individuale, în cazul de </w:t>
      </w:r>
      <w:r>
        <w:rPr>
          <w:rStyle w:val="FontStyle37"/>
        </w:rPr>
        <w:t>faţă</w:t>
      </w:r>
      <w:r>
        <w:rPr>
          <w:rStyle w:val="FontStyle37"/>
        </w:rPr>
        <w:t xml:space="preserve">, neexistând elemente care să demonstreze că ar putea fi îndeplinite </w:t>
      </w:r>
      <w:r>
        <w:rPr>
          <w:rStyle w:val="FontStyle37"/>
        </w:rPr>
        <w:t>condiţiile</w:t>
      </w:r>
      <w:r>
        <w:rPr>
          <w:rStyle w:val="FontStyle37"/>
        </w:rPr>
        <w:t xml:space="preserve"> stabilite de art. 5 alin. (2) din Legea </w:t>
      </w:r>
      <w:r>
        <w:rPr>
          <w:rStyle w:val="FontStyle37"/>
        </w:rPr>
        <w:t>concurenţei</w:t>
      </w:r>
      <w:r>
        <w:rPr>
          <w:rStyle w:val="FontStyle37"/>
        </w:rPr>
        <w:t>, respectiv de  art. 101 alin. (3) din TFUE.</w:t>
      </w:r>
    </w:p>
    <w:p w:rsidR="00565124" w:rsidP="00565124" w14:paraId="0ACEA775" w14:textId="77777777">
      <w:pPr>
        <w:pStyle w:val="Style10"/>
        <w:widowControl/>
        <w:spacing w:before="53" w:line="240" w:lineRule="auto"/>
        <w:ind w:firstLine="993"/>
        <w:rPr>
          <w:rStyle w:val="FontStyle37"/>
        </w:rPr>
      </w:pPr>
      <w:r>
        <w:rPr>
          <w:rStyle w:val="FontStyle37"/>
        </w:rPr>
        <w:t xml:space="preserve">În plus, Z , furnizorul din contractul de </w:t>
      </w:r>
      <w:r>
        <w:rPr>
          <w:rStyle w:val="FontStyle37"/>
        </w:rPr>
        <w:t>distribuţie</w:t>
      </w:r>
      <w:r>
        <w:rPr>
          <w:rStyle w:val="FontStyle37"/>
        </w:rPr>
        <w:t xml:space="preserve">, parte </w:t>
      </w:r>
      <w:r>
        <w:rPr>
          <w:rStyle w:val="FontStyle37"/>
        </w:rPr>
        <w:t>şi</w:t>
      </w:r>
      <w:r>
        <w:rPr>
          <w:rStyle w:val="FontStyle37"/>
        </w:rPr>
        <w:t xml:space="preserve"> la </w:t>
      </w:r>
      <w:r>
        <w:rPr>
          <w:rStyle w:val="FontStyle37"/>
        </w:rPr>
        <w:t>înţelegerea</w:t>
      </w:r>
      <w:r>
        <w:rPr>
          <w:rStyle w:val="FontStyle37"/>
        </w:rPr>
        <w:t xml:space="preserve"> de </w:t>
      </w:r>
      <w:r>
        <w:rPr>
          <w:rStyle w:val="FontStyle37"/>
        </w:rPr>
        <w:t>împărţire</w:t>
      </w:r>
      <w:r>
        <w:rPr>
          <w:rStyle w:val="FontStyle37"/>
        </w:rPr>
        <w:t xml:space="preserve"> a </w:t>
      </w:r>
      <w:r>
        <w:rPr>
          <w:rStyle w:val="FontStyle37"/>
        </w:rPr>
        <w:t>pieţei</w:t>
      </w:r>
      <w:r>
        <w:rPr>
          <w:rStyle w:val="FontStyle37"/>
        </w:rPr>
        <w:t xml:space="preserve"> în </w:t>
      </w:r>
      <w:r>
        <w:rPr>
          <w:rStyle w:val="FontStyle37"/>
        </w:rPr>
        <w:t>relaţia</w:t>
      </w:r>
      <w:r>
        <w:rPr>
          <w:rStyle w:val="FontStyle37"/>
        </w:rPr>
        <w:t xml:space="preserve"> cu X , nu a invocat vreo exceptare pe categorii în ceea ce o </w:t>
      </w:r>
      <w:r>
        <w:rPr>
          <w:rStyle w:val="FontStyle37"/>
        </w:rPr>
        <w:t>priveşte</w:t>
      </w:r>
      <w:r>
        <w:rPr>
          <w:rStyle w:val="FontStyle37"/>
        </w:rPr>
        <w:t xml:space="preserve">, </w:t>
      </w:r>
      <w:r>
        <w:rPr>
          <w:rStyle w:val="FontStyle37"/>
        </w:rPr>
        <w:t>şi</w:t>
      </w:r>
      <w:r>
        <w:rPr>
          <w:rStyle w:val="FontStyle37"/>
        </w:rPr>
        <w:t xml:space="preserve"> nici X  sau Z  nu au demonstrat care este legătura dintre fapta de </w:t>
      </w:r>
      <w:r>
        <w:rPr>
          <w:rStyle w:val="FontStyle37"/>
        </w:rPr>
        <w:t>împărţire</w:t>
      </w:r>
      <w:r>
        <w:rPr>
          <w:rStyle w:val="FontStyle37"/>
        </w:rPr>
        <w:t xml:space="preserve"> a </w:t>
      </w:r>
      <w:r>
        <w:rPr>
          <w:rStyle w:val="FontStyle37"/>
        </w:rPr>
        <w:t>clienţilor</w:t>
      </w:r>
      <w:r>
        <w:rPr>
          <w:rStyle w:val="FontStyle37"/>
        </w:rPr>
        <w:t xml:space="preserve"> </w:t>
      </w:r>
      <w:r>
        <w:rPr>
          <w:rStyle w:val="FontStyle37"/>
        </w:rPr>
        <w:t>şi</w:t>
      </w:r>
      <w:r>
        <w:rPr>
          <w:rStyle w:val="FontStyle37"/>
        </w:rPr>
        <w:t xml:space="preserve"> </w:t>
      </w:r>
      <w:r>
        <w:rPr>
          <w:rStyle w:val="FontStyle37"/>
        </w:rPr>
        <w:t>relaţia</w:t>
      </w:r>
      <w:r>
        <w:rPr>
          <w:rStyle w:val="FontStyle37"/>
        </w:rPr>
        <w:t xml:space="preserve"> verticală de </w:t>
      </w:r>
      <w:r>
        <w:rPr>
          <w:rStyle w:val="FontStyle37"/>
        </w:rPr>
        <w:t>distribuţie</w:t>
      </w:r>
      <w:r>
        <w:rPr>
          <w:rStyle w:val="FontStyle37"/>
        </w:rPr>
        <w:t xml:space="preserve"> dintre ele. Aceasta cu atât mai necesar, în </w:t>
      </w:r>
      <w:r>
        <w:rPr>
          <w:rStyle w:val="FontStyle37"/>
        </w:rPr>
        <w:t>condiţiile</w:t>
      </w:r>
      <w:r>
        <w:rPr>
          <w:rStyle w:val="FontStyle37"/>
        </w:rPr>
        <w:t xml:space="preserve"> în care noul VBER prevede în mod expres care sunt </w:t>
      </w:r>
      <w:r>
        <w:rPr>
          <w:rStyle w:val="FontStyle37"/>
        </w:rPr>
        <w:t>situaţiile</w:t>
      </w:r>
      <w:r>
        <w:rPr>
          <w:rStyle w:val="FontStyle37"/>
        </w:rPr>
        <w:t xml:space="preserve"> în care este permis schimbul de </w:t>
      </w:r>
      <w:r>
        <w:rPr>
          <w:rStyle w:val="FontStyle37"/>
        </w:rPr>
        <w:t>informaţii</w:t>
      </w:r>
      <w:r>
        <w:rPr>
          <w:rStyle w:val="FontStyle37"/>
        </w:rPr>
        <w:t xml:space="preserve">, respectiv atunci când acesta este atât direct legat de punerea în aplicare a acordului vertical, cât </w:t>
      </w:r>
      <w:r>
        <w:rPr>
          <w:rStyle w:val="FontStyle37"/>
        </w:rPr>
        <w:t>şi</w:t>
      </w:r>
      <w:r>
        <w:rPr>
          <w:rStyle w:val="FontStyle37"/>
        </w:rPr>
        <w:t xml:space="preserve"> pentru a </w:t>
      </w:r>
      <w:r>
        <w:rPr>
          <w:rStyle w:val="FontStyle37"/>
        </w:rPr>
        <w:t>îmbunătăţi</w:t>
      </w:r>
      <w:r>
        <w:rPr>
          <w:rStyle w:val="FontStyle37"/>
        </w:rPr>
        <w:t xml:space="preserve"> </w:t>
      </w:r>
      <w:r>
        <w:rPr>
          <w:rStyle w:val="FontStyle37"/>
        </w:rPr>
        <w:t>producţia</w:t>
      </w:r>
      <w:r>
        <w:rPr>
          <w:rStyle w:val="FontStyle37"/>
        </w:rPr>
        <w:t xml:space="preserve"> sau </w:t>
      </w:r>
      <w:r>
        <w:rPr>
          <w:rStyle w:val="FontStyle37"/>
        </w:rPr>
        <w:t>distribuţia</w:t>
      </w:r>
      <w:r>
        <w:rPr>
          <w:rStyle w:val="FontStyle37"/>
        </w:rPr>
        <w:t xml:space="preserve"> bunurilor sau serviciilor contractuale. Prin urmare, schimbul de </w:t>
      </w:r>
      <w:r>
        <w:rPr>
          <w:rStyle w:val="FontStyle37"/>
        </w:rPr>
        <w:t>informaţii</w:t>
      </w:r>
      <w:r>
        <w:rPr>
          <w:rStyle w:val="FontStyle37"/>
        </w:rPr>
        <w:t xml:space="preserve"> în cadrul </w:t>
      </w:r>
      <w:r>
        <w:rPr>
          <w:rStyle w:val="FontStyle37"/>
        </w:rPr>
        <w:t>distribuţiei</w:t>
      </w:r>
      <w:r>
        <w:rPr>
          <w:rStyle w:val="FontStyle37"/>
        </w:rPr>
        <w:t xml:space="preserve"> duale este permis, cu </w:t>
      </w:r>
      <w:r>
        <w:rPr>
          <w:rStyle w:val="FontStyle37"/>
        </w:rPr>
        <w:t>condiţia</w:t>
      </w:r>
      <w:r>
        <w:rPr>
          <w:rStyle w:val="FontStyle37"/>
        </w:rPr>
        <w:t xml:space="preserve"> ca acest schimb să nu faciliteze sau să nu conducă la </w:t>
      </w:r>
      <w:r>
        <w:rPr>
          <w:rStyle w:val="FontStyle37"/>
        </w:rPr>
        <w:t>restricţii</w:t>
      </w:r>
      <w:r>
        <w:rPr>
          <w:rStyle w:val="FontStyle37"/>
        </w:rPr>
        <w:t xml:space="preserve"> grave ale </w:t>
      </w:r>
      <w:r>
        <w:rPr>
          <w:rStyle w:val="FontStyle37"/>
        </w:rPr>
        <w:t>concurenţei</w:t>
      </w:r>
      <w:r>
        <w:rPr>
          <w:rStyle w:val="FontStyle37"/>
        </w:rPr>
        <w:t xml:space="preserve"> de natură orizontală sau verticală.</w:t>
      </w:r>
    </w:p>
    <w:p w:rsidR="00565124" w:rsidP="00565124" w14:paraId="34FAE615" w14:textId="77777777">
      <w:pPr>
        <w:pStyle w:val="Style10"/>
        <w:widowControl/>
        <w:spacing w:line="240" w:lineRule="auto"/>
        <w:ind w:firstLine="993"/>
        <w:rPr>
          <w:rStyle w:val="FontStyle37"/>
          <w:i/>
        </w:rPr>
      </w:pPr>
      <w:r>
        <w:rPr>
          <w:rStyle w:val="FontStyle37"/>
          <w:i/>
        </w:rPr>
        <w:t>Susţinerile</w:t>
      </w:r>
      <w:r>
        <w:rPr>
          <w:rStyle w:val="FontStyle37"/>
          <w:i/>
        </w:rPr>
        <w:t xml:space="preserve"> X  potrivit cărora în decizie nu ar fi </w:t>
      </w:r>
      <w:r>
        <w:rPr>
          <w:rStyle w:val="FontStyle37"/>
          <w:i/>
        </w:rPr>
        <w:t>reţinută</w:t>
      </w:r>
      <w:r>
        <w:rPr>
          <w:rStyle w:val="FontStyle37"/>
          <w:i/>
        </w:rPr>
        <w:t xml:space="preserve"> în mod corect o încălcare prin obiect</w:t>
      </w:r>
    </w:p>
    <w:p w:rsidR="00565124" w:rsidP="00565124" w14:paraId="18597E69" w14:textId="77777777">
      <w:pPr>
        <w:pStyle w:val="Style10"/>
        <w:widowControl/>
        <w:spacing w:line="240" w:lineRule="auto"/>
        <w:ind w:firstLine="993"/>
        <w:rPr>
          <w:rStyle w:val="FontStyle37"/>
        </w:rPr>
      </w:pPr>
      <w:r>
        <w:rPr>
          <w:rStyle w:val="FontStyle37"/>
        </w:rPr>
        <w:t xml:space="preserve">În contextul acestor </w:t>
      </w:r>
      <w:r>
        <w:rPr>
          <w:rStyle w:val="FontStyle37"/>
        </w:rPr>
        <w:t>susţineri</w:t>
      </w:r>
      <w:r>
        <w:rPr>
          <w:rStyle w:val="FontStyle37"/>
        </w:rPr>
        <w:t xml:space="preserve">, reclamanta afirmă că în ceea ce o </w:t>
      </w:r>
      <w:r>
        <w:rPr>
          <w:rStyle w:val="FontStyle37"/>
        </w:rPr>
        <w:t>priveşte</w:t>
      </w:r>
      <w:r>
        <w:rPr>
          <w:rStyle w:val="FontStyle37"/>
        </w:rPr>
        <w:t xml:space="preserve"> nu ar fi existat o </w:t>
      </w:r>
      <w:r>
        <w:rPr>
          <w:rStyle w:val="FontStyle37"/>
        </w:rPr>
        <w:t>împărţire</w:t>
      </w:r>
      <w:r>
        <w:rPr>
          <w:rStyle w:val="FontStyle37"/>
        </w:rPr>
        <w:t xml:space="preserve"> a </w:t>
      </w:r>
      <w:r>
        <w:rPr>
          <w:rStyle w:val="FontStyle37"/>
        </w:rPr>
        <w:t>clienţilor</w:t>
      </w:r>
      <w:r>
        <w:rPr>
          <w:rStyle w:val="FontStyle37"/>
        </w:rPr>
        <w:t xml:space="preserve"> în </w:t>
      </w:r>
      <w:r>
        <w:rPr>
          <w:rStyle w:val="FontStyle37"/>
        </w:rPr>
        <w:t>relaţia</w:t>
      </w:r>
      <w:r>
        <w:rPr>
          <w:rStyle w:val="FontStyle37"/>
        </w:rPr>
        <w:t xml:space="preserve"> cu Z , ci un "sistem de </w:t>
      </w:r>
      <w:r>
        <w:rPr>
          <w:rStyle w:val="FontStyle37"/>
        </w:rPr>
        <w:t>protecţie</w:t>
      </w:r>
      <w:r>
        <w:rPr>
          <w:rStyle w:val="FontStyle37"/>
        </w:rPr>
        <w:t xml:space="preserve"> </w:t>
      </w:r>
      <w:r>
        <w:rPr>
          <w:rStyle w:val="FontStyle37"/>
        </w:rPr>
        <w:t>parţială</w:t>
      </w:r>
      <w:r>
        <w:rPr>
          <w:rStyle w:val="FontStyle37"/>
        </w:rPr>
        <w:t xml:space="preserve">", sistem definit în doctrină. De asemenea, alocă </w:t>
      </w:r>
      <w:r>
        <w:rPr>
          <w:rStyle w:val="FontStyle37"/>
        </w:rPr>
        <w:t>susţineri</w:t>
      </w:r>
      <w:r>
        <w:rPr>
          <w:rStyle w:val="FontStyle37"/>
        </w:rPr>
        <w:t xml:space="preserve"> importante pentru a demonstra că în </w:t>
      </w:r>
      <w:r>
        <w:rPr>
          <w:rStyle w:val="FontStyle37"/>
        </w:rPr>
        <w:t>relaţia</w:t>
      </w:r>
      <w:r>
        <w:rPr>
          <w:rStyle w:val="FontStyle37"/>
        </w:rPr>
        <w:t xml:space="preserve"> Z  - X  s-ar fi alocat un număr limitat de </w:t>
      </w:r>
      <w:r>
        <w:rPr>
          <w:rStyle w:val="FontStyle37"/>
        </w:rPr>
        <w:t>clienţi</w:t>
      </w:r>
      <w:r>
        <w:rPr>
          <w:rStyle w:val="FontStyle37"/>
        </w:rPr>
        <w:t xml:space="preserve"> sau, în subsidiar, ar putea fi vorba de o alocare exclusivă a clientelei, ceea ce ar reprezenta o îngrădire minoră a </w:t>
      </w:r>
      <w:r>
        <w:rPr>
          <w:rStyle w:val="FontStyle37"/>
        </w:rPr>
        <w:t>concurenţei</w:t>
      </w:r>
      <w:r>
        <w:rPr>
          <w:rStyle w:val="FontStyle37"/>
        </w:rPr>
        <w:t xml:space="preserve">, ale cărei efecte pozitive ar prevala asupra efectelor negative, iar în decizia CC a cărei suspendare se solicită s-ar </w:t>
      </w:r>
      <w:r>
        <w:rPr>
          <w:rStyle w:val="FontStyle37"/>
        </w:rPr>
        <w:t>reţine</w:t>
      </w:r>
      <w:r>
        <w:rPr>
          <w:rStyle w:val="FontStyle37"/>
        </w:rPr>
        <w:t xml:space="preserve"> tocmai o încălcare per se a </w:t>
      </w:r>
      <w:r>
        <w:rPr>
          <w:rStyle w:val="FontStyle37"/>
        </w:rPr>
        <w:t>legislaţiei</w:t>
      </w:r>
      <w:r>
        <w:rPr>
          <w:rStyle w:val="FontStyle37"/>
        </w:rPr>
        <w:t xml:space="preserve"> </w:t>
      </w:r>
      <w:r>
        <w:rPr>
          <w:rStyle w:val="FontStyle37"/>
        </w:rPr>
        <w:t>concurenţei</w:t>
      </w:r>
      <w:r>
        <w:rPr>
          <w:rStyle w:val="FontStyle37"/>
        </w:rPr>
        <w:t xml:space="preserve"> în cadrul </w:t>
      </w:r>
      <w:r>
        <w:rPr>
          <w:rStyle w:val="FontStyle37"/>
        </w:rPr>
        <w:t>relaţiilor</w:t>
      </w:r>
      <w:r>
        <w:rPr>
          <w:rStyle w:val="FontStyle37"/>
        </w:rPr>
        <w:t xml:space="preserve"> verticale dintre producător/furnizor </w:t>
      </w:r>
      <w:r>
        <w:rPr>
          <w:rStyle w:val="FontStyle37"/>
        </w:rPr>
        <w:t>şi</w:t>
      </w:r>
      <w:r>
        <w:rPr>
          <w:rStyle w:val="FontStyle37"/>
        </w:rPr>
        <w:t xml:space="preserve"> distribuitorul său.</w:t>
      </w:r>
    </w:p>
    <w:p w:rsidR="00565124" w:rsidP="00565124" w14:paraId="3C534043" w14:textId="31F36BF9">
      <w:pPr>
        <w:pStyle w:val="Style10"/>
        <w:widowControl/>
        <w:spacing w:line="240" w:lineRule="auto"/>
        <w:ind w:firstLine="993"/>
        <w:rPr>
          <w:rStyle w:val="FontStyle37"/>
        </w:rPr>
      </w:pPr>
      <w:r>
        <w:rPr>
          <w:rStyle w:val="FontStyle37"/>
        </w:rPr>
        <w:t>Prin Decizia nr.....</w:t>
      </w:r>
      <w:r>
        <w:rPr>
          <w:rStyle w:val="FontStyle37"/>
        </w:rPr>
        <w:t>D1/2022</w:t>
      </w:r>
      <w:r>
        <w:rPr>
          <w:rStyle w:val="FontStyle37"/>
        </w:rPr>
        <w:t xml:space="preserve">, la cap. 5.1.6. </w:t>
      </w:r>
      <w:r>
        <w:rPr>
          <w:rStyle w:val="Emphasis"/>
        </w:rPr>
        <w:t>Restricţionarea</w:t>
      </w:r>
      <w:r>
        <w:rPr>
          <w:rStyle w:val="Emphasis"/>
        </w:rPr>
        <w:t xml:space="preserve"> </w:t>
      </w:r>
      <w:r>
        <w:rPr>
          <w:rStyle w:val="Emphasis"/>
        </w:rPr>
        <w:t>concurenţei</w:t>
      </w:r>
      <w:r>
        <w:rPr>
          <w:rStyle w:val="Emphasis"/>
        </w:rPr>
        <w:t xml:space="preserve"> prin obiect sau prin efect, </w:t>
      </w:r>
      <w:r>
        <w:rPr>
          <w:rStyle w:val="FontStyle37"/>
        </w:rPr>
        <w:t xml:space="preserve">CC analizează, pe larg, obiectul </w:t>
      </w:r>
      <w:r>
        <w:rPr>
          <w:rStyle w:val="FontStyle37"/>
        </w:rPr>
        <w:t>anticoncurenţial</w:t>
      </w:r>
      <w:r>
        <w:rPr>
          <w:rStyle w:val="FontStyle37"/>
        </w:rPr>
        <w:t xml:space="preserve"> al faptei </w:t>
      </w:r>
      <w:r>
        <w:rPr>
          <w:rStyle w:val="FontStyle37"/>
        </w:rPr>
        <w:t>reţinute</w:t>
      </w:r>
      <w:r>
        <w:rPr>
          <w:rStyle w:val="FontStyle37"/>
        </w:rPr>
        <w:t xml:space="preserve"> în sarcina X , în contextul </w:t>
      </w:r>
      <w:r>
        <w:rPr>
          <w:rStyle w:val="FontStyle37"/>
        </w:rPr>
        <w:t>relaţiilor</w:t>
      </w:r>
      <w:r>
        <w:rPr>
          <w:rStyle w:val="FontStyle37"/>
        </w:rPr>
        <w:t xml:space="preserve"> orizontale existente între </w:t>
      </w:r>
      <w:r>
        <w:rPr>
          <w:rStyle w:val="FontStyle37"/>
        </w:rPr>
        <w:t xml:space="preserve">acesta </w:t>
      </w:r>
      <w:r>
        <w:rPr>
          <w:rStyle w:val="FontStyle37"/>
        </w:rPr>
        <w:t>şi</w:t>
      </w:r>
      <w:r>
        <w:rPr>
          <w:rStyle w:val="FontStyle37"/>
        </w:rPr>
        <w:t xml:space="preserve"> Z  pe </w:t>
      </w:r>
      <w:r>
        <w:rPr>
          <w:rStyle w:val="FontStyle37"/>
        </w:rPr>
        <w:t>piaţa</w:t>
      </w:r>
      <w:r>
        <w:rPr>
          <w:rStyle w:val="FontStyle37"/>
        </w:rPr>
        <w:t xml:space="preserve"> comercializării de produse </w:t>
      </w:r>
      <w:r>
        <w:rPr>
          <w:rStyle w:val="FontStyle37"/>
        </w:rPr>
        <w:t>şi</w:t>
      </w:r>
      <w:r>
        <w:rPr>
          <w:rStyle w:val="FontStyle37"/>
        </w:rPr>
        <w:t xml:space="preserve"> echipamente din domeniul </w:t>
      </w:r>
      <w:r>
        <w:rPr>
          <w:rStyle w:val="FontStyle37"/>
        </w:rPr>
        <w:t>sănătăţii</w:t>
      </w:r>
      <w:r>
        <w:rPr>
          <w:rStyle w:val="FontStyle37"/>
        </w:rPr>
        <w:t xml:space="preserve"> </w:t>
      </w:r>
      <w:r>
        <w:rPr>
          <w:rStyle w:val="FontStyle37"/>
        </w:rPr>
        <w:t>şi</w:t>
      </w:r>
      <w:r>
        <w:rPr>
          <w:rStyle w:val="FontStyle37"/>
        </w:rPr>
        <w:t xml:space="preserve"> </w:t>
      </w:r>
      <w:r>
        <w:rPr>
          <w:rStyle w:val="FontStyle37"/>
        </w:rPr>
        <w:t>securităţii</w:t>
      </w:r>
      <w:r>
        <w:rPr>
          <w:rStyle w:val="FontStyle37"/>
        </w:rPr>
        <w:t xml:space="preserve"> în muncă din România, unde aceste întreprinderi se concurau pentru </w:t>
      </w:r>
      <w:r>
        <w:rPr>
          <w:rStyle w:val="FontStyle37"/>
        </w:rPr>
        <w:t>clienţii</w:t>
      </w:r>
      <w:r>
        <w:rPr>
          <w:rStyle w:val="FontStyle37"/>
        </w:rPr>
        <w:t xml:space="preserve"> finali ce </w:t>
      </w:r>
      <w:r>
        <w:rPr>
          <w:rStyle w:val="FontStyle37"/>
        </w:rPr>
        <w:t>achiziţionau</w:t>
      </w:r>
      <w:r>
        <w:rPr>
          <w:rStyle w:val="FontStyle37"/>
        </w:rPr>
        <w:t xml:space="preserve"> echipamente de </w:t>
      </w:r>
      <w:r>
        <w:rPr>
          <w:rStyle w:val="FontStyle37"/>
        </w:rPr>
        <w:t>protecţie</w:t>
      </w:r>
      <w:r>
        <w:rPr>
          <w:rStyle w:val="FontStyle37"/>
        </w:rPr>
        <w:t xml:space="preserve"> a muncii.</w:t>
      </w:r>
    </w:p>
    <w:p w:rsidR="00565124" w:rsidP="00565124" w14:paraId="60D51411" w14:textId="2E8F3E1B">
      <w:pPr>
        <w:pStyle w:val="Style10"/>
        <w:widowControl/>
        <w:spacing w:line="240" w:lineRule="auto"/>
        <w:ind w:firstLine="993"/>
        <w:rPr>
          <w:rStyle w:val="FontStyle37"/>
        </w:rPr>
      </w:pPr>
      <w:r>
        <w:rPr>
          <w:rStyle w:val="FontStyle37"/>
        </w:rPr>
        <w:t xml:space="preserve">Faptul că autoritatea de </w:t>
      </w:r>
      <w:r>
        <w:rPr>
          <w:rStyle w:val="FontStyle37"/>
        </w:rPr>
        <w:t>concurenţă</w:t>
      </w:r>
      <w:r>
        <w:rPr>
          <w:rStyle w:val="FontStyle37"/>
        </w:rPr>
        <w:t xml:space="preserve"> nu a </w:t>
      </w:r>
      <w:r>
        <w:rPr>
          <w:rStyle w:val="FontStyle37"/>
        </w:rPr>
        <w:t>îmbrăţişat</w:t>
      </w:r>
      <w:r>
        <w:rPr>
          <w:rStyle w:val="FontStyle37"/>
        </w:rPr>
        <w:t xml:space="preserve"> abordarea propusă de reclamantă, pe care de altfel nici Z  nu a </w:t>
      </w:r>
      <w:r>
        <w:rPr>
          <w:rStyle w:val="FontStyle37"/>
        </w:rPr>
        <w:t>susţinut</w:t>
      </w:r>
      <w:r>
        <w:rPr>
          <w:rStyle w:val="FontStyle37"/>
        </w:rPr>
        <w:t xml:space="preserve">-o I în cadrul procedurii de </w:t>
      </w:r>
      <w:r>
        <w:rPr>
          <w:rStyle w:val="FontStyle37"/>
        </w:rPr>
        <w:t>investigaţie</w:t>
      </w:r>
      <w:r>
        <w:rPr>
          <w:rStyle w:val="FontStyle37"/>
        </w:rPr>
        <w:t xml:space="preserve">, nu echivalează cu un pretins viciu de nelegalitate a deciziei CC, acestea fiind aspecte ce urmează a fi analizate de </w:t>
      </w:r>
      <w:r>
        <w:rPr>
          <w:rStyle w:val="FontStyle37"/>
        </w:rPr>
        <w:t>instanţa</w:t>
      </w:r>
      <w:r>
        <w:rPr>
          <w:rStyle w:val="FontStyle37"/>
        </w:rPr>
        <w:t xml:space="preserve"> învestită cu analiza </w:t>
      </w:r>
      <w:r>
        <w:rPr>
          <w:rStyle w:val="FontStyle37"/>
        </w:rPr>
        <w:t>legalităţii</w:t>
      </w:r>
      <w:r>
        <w:rPr>
          <w:rStyle w:val="FontStyle37"/>
        </w:rPr>
        <w:t xml:space="preserve"> Deciziei nr.....</w:t>
      </w:r>
      <w:r>
        <w:rPr>
          <w:rStyle w:val="FontStyle37"/>
        </w:rPr>
        <w:t>D1/2022</w:t>
      </w:r>
      <w:r>
        <w:rPr>
          <w:rStyle w:val="FontStyle37"/>
        </w:rPr>
        <w:t xml:space="preserve">, iar </w:t>
      </w:r>
      <w:r>
        <w:rPr>
          <w:rStyle w:val="FontStyle37"/>
        </w:rPr>
        <w:t>susţinerile</w:t>
      </w:r>
      <w:r>
        <w:rPr>
          <w:rStyle w:val="FontStyle37"/>
        </w:rPr>
        <w:t xml:space="preserve"> X  în acest context apreciem că trebuie respinse ca neîntemeiate.</w:t>
      </w:r>
    </w:p>
    <w:p w:rsidR="00565124" w:rsidP="00565124" w14:paraId="696FC630" w14:textId="020C01EC">
      <w:pPr>
        <w:pStyle w:val="Style26"/>
        <w:widowControl/>
        <w:spacing w:line="240" w:lineRule="auto"/>
        <w:ind w:firstLine="993"/>
        <w:rPr>
          <w:rStyle w:val="FontStyle37"/>
          <w:i/>
        </w:rPr>
      </w:pPr>
      <w:r>
        <w:rPr>
          <w:rStyle w:val="FontStyle37"/>
          <w:i/>
        </w:rPr>
        <w:t>Susţinerile</w:t>
      </w:r>
      <w:r>
        <w:rPr>
          <w:rStyle w:val="FontStyle37"/>
          <w:i/>
        </w:rPr>
        <w:t xml:space="preserve"> X  potrivit cărora decizia nr.....</w:t>
      </w:r>
      <w:r>
        <w:rPr>
          <w:rStyle w:val="FontStyle37"/>
          <w:i/>
        </w:rPr>
        <w:t>D1/2022</w:t>
      </w:r>
      <w:r>
        <w:rPr>
          <w:rStyle w:val="FontStyle37"/>
          <w:i/>
        </w:rPr>
        <w:t xml:space="preserve"> nu ar conferi certitudine asupra caracterului unic al faptei constatate</w:t>
      </w:r>
    </w:p>
    <w:p w:rsidR="00565124" w:rsidP="00565124" w14:paraId="0012FC81" w14:textId="77777777">
      <w:pPr>
        <w:pStyle w:val="Style10"/>
        <w:widowControl/>
        <w:spacing w:line="240" w:lineRule="auto"/>
        <w:ind w:firstLine="993"/>
        <w:rPr>
          <w:rStyle w:val="FontStyle37"/>
        </w:rPr>
      </w:pPr>
      <w:r>
        <w:rPr>
          <w:rStyle w:val="FontStyle37"/>
        </w:rPr>
        <w:t xml:space="preserve">La par. 47-48 din cererea de suspendare, reclamanta X  afirmă că „la o simplă lectură a Deciziei, fără a interfera cu analiza de fond ce urmează a se realiza cu privire la legalitatea actului, că "fapta constatată este formată în realitate din mai multe fapte componente ", câte una pentru fiecare </w:t>
      </w:r>
      <w:r>
        <w:rPr>
          <w:rStyle w:val="FontStyle37"/>
        </w:rPr>
        <w:t>relaţie</w:t>
      </w:r>
      <w:r>
        <w:rPr>
          <w:rStyle w:val="FontStyle37"/>
        </w:rPr>
        <w:t xml:space="preserve"> comercială dintre Z  </w:t>
      </w:r>
      <w:r>
        <w:rPr>
          <w:rStyle w:val="FontStyle37"/>
        </w:rPr>
        <w:t>şi</w:t>
      </w:r>
      <w:r>
        <w:rPr>
          <w:rStyle w:val="FontStyle37"/>
        </w:rPr>
        <w:t xml:space="preserve"> cei care activau pe </w:t>
      </w:r>
      <w:r>
        <w:rPr>
          <w:rStyle w:val="FontStyle37"/>
        </w:rPr>
        <w:t>piaţa</w:t>
      </w:r>
      <w:r>
        <w:rPr>
          <w:rStyle w:val="FontStyle37"/>
        </w:rPr>
        <w:t xml:space="preserve"> din aval", ceea ce în opinia reclamantei este de natură să încalce dreptul la apărare al reclamantei întrucât nu există certitudine juridică cu privire la fapta investigată </w:t>
      </w:r>
      <w:r>
        <w:rPr>
          <w:rStyle w:val="FontStyle37"/>
        </w:rPr>
        <w:t>şi</w:t>
      </w:r>
      <w:r>
        <w:rPr>
          <w:rStyle w:val="FontStyle37"/>
        </w:rPr>
        <w:t xml:space="preserve"> imputată X .</w:t>
      </w:r>
    </w:p>
    <w:p w:rsidR="00565124" w:rsidP="00565124" w14:paraId="736D84E7" w14:textId="77777777">
      <w:pPr>
        <w:pStyle w:val="Style10"/>
        <w:widowControl/>
        <w:spacing w:line="240" w:lineRule="auto"/>
        <w:ind w:firstLine="993"/>
        <w:rPr>
          <w:rStyle w:val="FontStyle37"/>
        </w:rPr>
      </w:pPr>
      <w:r>
        <w:rPr>
          <w:rStyle w:val="FontStyle37"/>
        </w:rPr>
        <w:t xml:space="preserve">Aceste </w:t>
      </w:r>
      <w:r>
        <w:rPr>
          <w:rStyle w:val="FontStyle37"/>
        </w:rPr>
        <w:t>susţineri</w:t>
      </w:r>
      <w:r>
        <w:rPr>
          <w:rStyle w:val="FontStyle37"/>
        </w:rPr>
        <w:t xml:space="preserve"> ale reclamantei ce antamează fondul cauzei nu pot fi primite, pentru motivele dezvoltate în cele ce urmează:</w:t>
      </w:r>
    </w:p>
    <w:p w:rsidR="00565124" w:rsidP="00565124" w14:paraId="4B9079EB" w14:textId="77777777">
      <w:pPr>
        <w:pStyle w:val="Style10"/>
        <w:widowControl/>
        <w:spacing w:line="240" w:lineRule="auto"/>
        <w:ind w:firstLine="993"/>
        <w:rPr>
          <w:rStyle w:val="FontStyle37"/>
        </w:rPr>
      </w:pPr>
      <w:r>
        <w:rPr>
          <w:rStyle w:val="FontStyle37"/>
        </w:rPr>
        <w:t xml:space="preserve">Astfel cum reiese din decizia CC, reclamanta X  a fost </w:t>
      </w:r>
      <w:r>
        <w:rPr>
          <w:rStyle w:val="FontStyle37"/>
        </w:rPr>
        <w:t>sancţionată</w:t>
      </w:r>
      <w:r>
        <w:rPr>
          <w:rStyle w:val="FontStyle37"/>
        </w:rPr>
        <w:t xml:space="preserve"> pentru participarea la încheierea unei </w:t>
      </w:r>
      <w:r>
        <w:rPr>
          <w:rStyle w:val="FontStyle37"/>
        </w:rPr>
        <w:t>înţelegeri</w:t>
      </w:r>
      <w:r>
        <w:rPr>
          <w:rStyle w:val="FontStyle37"/>
        </w:rPr>
        <w:t xml:space="preserve">/practici concertate de </w:t>
      </w:r>
      <w:r>
        <w:rPr>
          <w:rStyle w:val="FontStyle37"/>
        </w:rPr>
        <w:t>împărţire</w:t>
      </w:r>
      <w:r>
        <w:rPr>
          <w:rStyle w:val="FontStyle37"/>
        </w:rPr>
        <w:t xml:space="preserve"> a </w:t>
      </w:r>
      <w:r>
        <w:rPr>
          <w:rStyle w:val="FontStyle37"/>
        </w:rPr>
        <w:t>pieţei</w:t>
      </w:r>
      <w:r>
        <w:rPr>
          <w:rStyle w:val="FontStyle37"/>
        </w:rPr>
        <w:t xml:space="preserve">, prin alocarea </w:t>
      </w:r>
      <w:r>
        <w:rPr>
          <w:rStyle w:val="FontStyle37"/>
        </w:rPr>
        <w:t>clienţilor</w:t>
      </w:r>
      <w:r>
        <w:rPr>
          <w:rStyle w:val="FontStyle37"/>
        </w:rPr>
        <w:t xml:space="preserve"> </w:t>
      </w:r>
      <w:r>
        <w:rPr>
          <w:rStyle w:val="FontStyle37"/>
        </w:rPr>
        <w:t>şi</w:t>
      </w:r>
      <w:r>
        <w:rPr>
          <w:rStyle w:val="FontStyle37"/>
        </w:rPr>
        <w:t xml:space="preserve"> a produselor, cu elemente de coordonare a </w:t>
      </w:r>
      <w:r>
        <w:rPr>
          <w:rStyle w:val="FontStyle37"/>
        </w:rPr>
        <w:t>preţurilor</w:t>
      </w:r>
      <w:r>
        <w:rPr>
          <w:rStyle w:val="FontStyle37"/>
        </w:rPr>
        <w:t xml:space="preserve">, pe </w:t>
      </w:r>
      <w:r>
        <w:rPr>
          <w:rStyle w:val="FontStyle37"/>
        </w:rPr>
        <w:t>piaţa</w:t>
      </w:r>
      <w:r>
        <w:rPr>
          <w:rStyle w:val="FontStyle37"/>
        </w:rPr>
        <w:t xml:space="preserve"> comercializării de produse </w:t>
      </w:r>
      <w:r>
        <w:rPr>
          <w:rStyle w:val="FontStyle37"/>
        </w:rPr>
        <w:t>şi</w:t>
      </w:r>
      <w:r>
        <w:rPr>
          <w:rStyle w:val="FontStyle37"/>
        </w:rPr>
        <w:t xml:space="preserve"> echipamente din domeniul </w:t>
      </w:r>
      <w:r>
        <w:rPr>
          <w:rStyle w:val="FontStyle37"/>
        </w:rPr>
        <w:t>sănătăţii</w:t>
      </w:r>
      <w:r>
        <w:rPr>
          <w:rStyle w:val="FontStyle37"/>
        </w:rPr>
        <w:t xml:space="preserve"> </w:t>
      </w:r>
      <w:r>
        <w:rPr>
          <w:rStyle w:val="FontStyle37"/>
        </w:rPr>
        <w:t>şi</w:t>
      </w:r>
      <w:r>
        <w:rPr>
          <w:rStyle w:val="FontStyle37"/>
        </w:rPr>
        <w:t xml:space="preserve"> </w:t>
      </w:r>
      <w:r>
        <w:rPr>
          <w:rStyle w:val="FontStyle37"/>
        </w:rPr>
        <w:t>securităţii</w:t>
      </w:r>
      <w:r>
        <w:rPr>
          <w:rStyle w:val="FontStyle37"/>
        </w:rPr>
        <w:t xml:space="preserve"> în muncă din România. Durata </w:t>
      </w:r>
      <w:r>
        <w:rPr>
          <w:rStyle w:val="FontStyle37"/>
        </w:rPr>
        <w:t>reţinutăpentru</w:t>
      </w:r>
      <w:r>
        <w:rPr>
          <w:rStyle w:val="FontStyle37"/>
        </w:rPr>
        <w:t xml:space="preserve"> fapta X  a fost de 3 ani, 1 lună </w:t>
      </w:r>
      <w:r>
        <w:rPr>
          <w:rStyle w:val="FontStyle37"/>
        </w:rPr>
        <w:t>şi</w:t>
      </w:r>
      <w:r>
        <w:rPr>
          <w:rStyle w:val="FontStyle37"/>
        </w:rPr>
        <w:t xml:space="preserve"> 22 zile, fapta imputată reclamantei </w:t>
      </w:r>
      <w:r>
        <w:rPr>
          <w:rStyle w:val="FontStyle37"/>
        </w:rPr>
        <w:t>desfăşurându</w:t>
      </w:r>
      <w:r>
        <w:rPr>
          <w:rStyle w:val="FontStyle37"/>
        </w:rPr>
        <w:t xml:space="preserve">-se între 15.09.2015-07.11.2018, astfel cum reiese </w:t>
      </w:r>
      <w:r>
        <w:rPr>
          <w:rStyle w:val="FontStyle37"/>
        </w:rPr>
        <w:t>şi</w:t>
      </w:r>
      <w:r>
        <w:rPr>
          <w:rStyle w:val="FontStyle37"/>
        </w:rPr>
        <w:t xml:space="preserve"> din faptele prezentate pe larg în decizia CC la par. 180-219. Prin urmare, reclamanta a fost </w:t>
      </w:r>
      <w:r>
        <w:rPr>
          <w:rStyle w:val="FontStyle37"/>
        </w:rPr>
        <w:t>sancţionată</w:t>
      </w:r>
      <w:r>
        <w:rPr>
          <w:rStyle w:val="FontStyle37"/>
        </w:rPr>
        <w:t xml:space="preserve"> pentru faptele </w:t>
      </w:r>
      <w:r>
        <w:rPr>
          <w:rStyle w:val="FontStyle37"/>
        </w:rPr>
        <w:t>săvârşite</w:t>
      </w:r>
      <w:r>
        <w:rPr>
          <w:rStyle w:val="FontStyle37"/>
        </w:rPr>
        <w:t xml:space="preserve"> personal în </w:t>
      </w:r>
      <w:r>
        <w:rPr>
          <w:rStyle w:val="FontStyle37"/>
        </w:rPr>
        <w:t>relaţia</w:t>
      </w:r>
      <w:r>
        <w:rPr>
          <w:rStyle w:val="FontStyle37"/>
        </w:rPr>
        <w:t xml:space="preserve"> cu Z  </w:t>
      </w:r>
      <w:r>
        <w:rPr>
          <w:rStyle w:val="FontStyle37"/>
        </w:rPr>
        <w:t>şi</w:t>
      </w:r>
      <w:r>
        <w:rPr>
          <w:rStyle w:val="FontStyle37"/>
        </w:rPr>
        <w:t xml:space="preserve"> exclusiv pentru durata pentru care X  a participat la faptă.</w:t>
      </w:r>
    </w:p>
    <w:p w:rsidR="00565124" w:rsidP="00565124" w14:paraId="00A2187F" w14:textId="77777777">
      <w:pPr>
        <w:pStyle w:val="Style10"/>
        <w:widowControl/>
        <w:spacing w:line="240" w:lineRule="auto"/>
        <w:ind w:firstLine="993"/>
        <w:rPr>
          <w:rStyle w:val="FontStyle37"/>
        </w:rPr>
      </w:pPr>
      <w:r>
        <w:rPr>
          <w:rStyle w:val="FontStyle37"/>
        </w:rPr>
        <w:t xml:space="preserve">Prin urmare, nu pot fi primite </w:t>
      </w:r>
      <w:r>
        <w:rPr>
          <w:rStyle w:val="FontStyle37"/>
        </w:rPr>
        <w:t>susţinerile</w:t>
      </w:r>
      <w:r>
        <w:rPr>
          <w:rStyle w:val="FontStyle37"/>
        </w:rPr>
        <w:t xml:space="preserve"> reclamantei potrivit cărora nu există certitudine juridică cu privire la fapta investigată.</w:t>
      </w:r>
    </w:p>
    <w:p w:rsidR="00565124" w:rsidP="00565124" w14:paraId="659277BB" w14:textId="77777777">
      <w:pPr>
        <w:pStyle w:val="Style10"/>
        <w:widowControl/>
        <w:spacing w:line="240" w:lineRule="auto"/>
        <w:ind w:firstLine="993"/>
        <w:rPr>
          <w:rStyle w:val="FontStyle37"/>
        </w:rPr>
      </w:pPr>
      <w:r>
        <w:rPr>
          <w:rStyle w:val="FontStyle37"/>
        </w:rPr>
        <w:t xml:space="preserve">În </w:t>
      </w:r>
      <w:r>
        <w:rPr>
          <w:rStyle w:val="FontStyle37"/>
        </w:rPr>
        <w:t>jurisprudenţa</w:t>
      </w:r>
      <w:r>
        <w:rPr>
          <w:rStyle w:val="FontStyle37"/>
        </w:rPr>
        <w:t xml:space="preserve"> europeană, s-a </w:t>
      </w:r>
      <w:r>
        <w:rPr>
          <w:rStyle w:val="FontStyle37"/>
        </w:rPr>
        <w:t>reţinut</w:t>
      </w:r>
      <w:r>
        <w:rPr>
          <w:rStyle w:val="FontStyle37"/>
        </w:rPr>
        <w:t xml:space="preserve"> că </w:t>
      </w:r>
      <w:r>
        <w:rPr>
          <w:rStyle w:val="FontStyle37"/>
        </w:rPr>
        <w:t>noţiunea</w:t>
      </w:r>
      <w:r>
        <w:rPr>
          <w:rStyle w:val="FontStyle37"/>
        </w:rPr>
        <w:t xml:space="preserve"> de încălcare unică </w:t>
      </w:r>
      <w:r>
        <w:rPr>
          <w:rStyle w:val="FontStyle37"/>
        </w:rPr>
        <w:t>urmăreşte</w:t>
      </w:r>
      <w:r>
        <w:rPr>
          <w:rStyle w:val="FontStyle37"/>
        </w:rPr>
        <w:t xml:space="preserve"> tocmai o </w:t>
      </w:r>
      <w:r>
        <w:rPr>
          <w:rStyle w:val="FontStyle37"/>
        </w:rPr>
        <w:t>situaţie</w:t>
      </w:r>
      <w:r>
        <w:rPr>
          <w:rStyle w:val="FontStyle37"/>
        </w:rPr>
        <w:t xml:space="preserve"> în care mai multe întreprinderi au participat la o încălcare reprezentată printr-un comportament continuu, prin care se </w:t>
      </w:r>
      <w:r>
        <w:rPr>
          <w:rStyle w:val="FontStyle37"/>
        </w:rPr>
        <w:t>urmăreşte</w:t>
      </w:r>
      <w:r>
        <w:rPr>
          <w:rStyle w:val="FontStyle37"/>
        </w:rPr>
        <w:t xml:space="preserve"> un singur scop economic, de denaturare a </w:t>
      </w:r>
      <w:r>
        <w:rPr>
          <w:rStyle w:val="FontStyle37"/>
        </w:rPr>
        <w:t>concurenţei</w:t>
      </w:r>
      <w:r>
        <w:rPr>
          <w:rStyle w:val="FontStyle37"/>
        </w:rPr>
        <w:t>, sau constituită din încălcări individuale legate între ele printr-o identitate de obiect (</w:t>
      </w:r>
      <w:r>
        <w:rPr>
          <w:rStyle w:val="FontStyle37"/>
        </w:rPr>
        <w:t>acelaşi</w:t>
      </w:r>
      <w:r>
        <w:rPr>
          <w:rStyle w:val="FontStyle37"/>
        </w:rPr>
        <w:t xml:space="preserve"> scop al tuturor elementelor) </w:t>
      </w:r>
      <w:r>
        <w:rPr>
          <w:rStyle w:val="FontStyle37"/>
        </w:rPr>
        <w:t>şi</w:t>
      </w:r>
      <w:r>
        <w:rPr>
          <w:rStyle w:val="FontStyle37"/>
        </w:rPr>
        <w:t xml:space="preserve"> de subiecte (identitate a întreprinderilor în cauză, </w:t>
      </w:r>
      <w:r>
        <w:rPr>
          <w:rStyle w:val="FontStyle37"/>
        </w:rPr>
        <w:t>conştiente</w:t>
      </w:r>
      <w:r>
        <w:rPr>
          <w:rStyle w:val="FontStyle37"/>
        </w:rPr>
        <w:t xml:space="preserve"> de participarea la obiectul comun), însă nu este necesar ca o întreprindere să fi participat în mod activ, </w:t>
      </w:r>
      <w:r>
        <w:rPr>
          <w:rStyle w:val="FontStyle37"/>
        </w:rPr>
        <w:t>dându-şi</w:t>
      </w:r>
      <w:r>
        <w:rPr>
          <w:rStyle w:val="FontStyle37"/>
        </w:rPr>
        <w:t xml:space="preserve"> </w:t>
      </w:r>
      <w:r>
        <w:rPr>
          <w:rStyle w:val="FontStyle37"/>
        </w:rPr>
        <w:t>consimţământul</w:t>
      </w:r>
      <w:r>
        <w:rPr>
          <w:rStyle w:val="FontStyle37"/>
        </w:rPr>
        <w:t xml:space="preserve"> expres, sau să fi avut </w:t>
      </w:r>
      <w:r>
        <w:rPr>
          <w:rStyle w:val="FontStyle37"/>
        </w:rPr>
        <w:t>cunoştinţă</w:t>
      </w:r>
      <w:r>
        <w:rPr>
          <w:rStyle w:val="FontStyle37"/>
        </w:rPr>
        <w:t xml:space="preserve"> de fiecare aspect al unei </w:t>
      </w:r>
      <w:r>
        <w:rPr>
          <w:rStyle w:val="FontStyle37"/>
        </w:rPr>
        <w:t>înţelegeri</w:t>
      </w:r>
      <w:r>
        <w:rPr>
          <w:rStyle w:val="FontStyle37"/>
        </w:rPr>
        <w:t xml:space="preserve"> pentru a fi considerată parte la acea </w:t>
      </w:r>
      <w:r>
        <w:rPr>
          <w:rStyle w:val="FontStyle37"/>
        </w:rPr>
        <w:t>înţelegere</w:t>
      </w:r>
      <w:r>
        <w:rPr>
          <w:rStyle w:val="FontStyle37"/>
        </w:rPr>
        <w:t>.</w:t>
      </w:r>
    </w:p>
    <w:p w:rsidR="00565124" w:rsidP="00565124" w14:paraId="3F083898" w14:textId="77777777">
      <w:pPr>
        <w:pStyle w:val="Style10"/>
        <w:widowControl/>
        <w:spacing w:line="240" w:lineRule="auto"/>
        <w:ind w:firstLine="993"/>
        <w:rPr>
          <w:rStyle w:val="FontStyle37"/>
        </w:rPr>
      </w:pPr>
      <w:r>
        <w:rPr>
          <w:rStyle w:val="FontStyle37"/>
        </w:rPr>
        <w:t xml:space="preserve">Tot în </w:t>
      </w:r>
      <w:r>
        <w:rPr>
          <w:rStyle w:val="FontStyle37"/>
        </w:rPr>
        <w:t>jurisprudenţa</w:t>
      </w:r>
      <w:r>
        <w:rPr>
          <w:rStyle w:val="FontStyle37"/>
        </w:rPr>
        <w:t xml:space="preserve"> europeană, s-a </w:t>
      </w:r>
      <w:r>
        <w:rPr>
          <w:rStyle w:val="FontStyle37"/>
        </w:rPr>
        <w:t>reţinut</w:t>
      </w:r>
      <w:r>
        <w:rPr>
          <w:rStyle w:val="FontStyle37"/>
        </w:rPr>
        <w:t xml:space="preserve"> că dacă o întreprindere a participat în mod direct la una sau mai multe dintre comportamentele </w:t>
      </w:r>
      <w:r>
        <w:rPr>
          <w:rStyle w:val="FontStyle37"/>
        </w:rPr>
        <w:t>anticoncurenţiale</w:t>
      </w:r>
      <w:r>
        <w:rPr>
          <w:rStyle w:val="FontStyle37"/>
        </w:rPr>
        <w:t xml:space="preserve"> care compun o încălcare unică </w:t>
      </w:r>
      <w:r>
        <w:rPr>
          <w:rStyle w:val="FontStyle37"/>
        </w:rPr>
        <w:t>şi</w:t>
      </w:r>
      <w:r>
        <w:rPr>
          <w:rStyle w:val="FontStyle37"/>
        </w:rPr>
        <w:t xml:space="preserve"> continuă, dar nu s-a stabilit că, prin propriul comportament, aceasta </w:t>
      </w:r>
      <w:r>
        <w:rPr>
          <w:rStyle w:val="FontStyle37"/>
        </w:rPr>
        <w:t>intenţiona</w:t>
      </w:r>
      <w:r>
        <w:rPr>
          <w:rStyle w:val="FontStyle37"/>
        </w:rPr>
        <w:t xml:space="preserve"> să contribuie la ansamblul obiectivelor comune urmărite de </w:t>
      </w:r>
      <w:r>
        <w:rPr>
          <w:rStyle w:val="FontStyle37"/>
        </w:rPr>
        <w:t>ceilalţi</w:t>
      </w:r>
      <w:r>
        <w:rPr>
          <w:rStyle w:val="FontStyle37"/>
        </w:rPr>
        <w:t xml:space="preserve"> </w:t>
      </w:r>
      <w:r>
        <w:rPr>
          <w:rStyle w:val="FontStyle37"/>
        </w:rPr>
        <w:t>participanţi</w:t>
      </w:r>
      <w:r>
        <w:rPr>
          <w:rStyle w:val="FontStyle37"/>
        </w:rPr>
        <w:t xml:space="preserve"> la </w:t>
      </w:r>
      <w:r>
        <w:rPr>
          <w:rStyle w:val="FontStyle37"/>
        </w:rPr>
        <w:t>înţelegere</w:t>
      </w:r>
      <w:r>
        <w:rPr>
          <w:rStyle w:val="FontStyle37"/>
        </w:rPr>
        <w:t xml:space="preserve"> </w:t>
      </w:r>
      <w:r>
        <w:rPr>
          <w:rStyle w:val="FontStyle37"/>
        </w:rPr>
        <w:t>şi</w:t>
      </w:r>
      <w:r>
        <w:rPr>
          <w:rStyle w:val="FontStyle37"/>
        </w:rPr>
        <w:t xml:space="preserve"> că aceasta </w:t>
      </w:r>
      <w:r>
        <w:rPr>
          <w:rStyle w:val="FontStyle37"/>
        </w:rPr>
        <w:t>cunoştea</w:t>
      </w:r>
      <w:r>
        <w:rPr>
          <w:rStyle w:val="FontStyle37"/>
        </w:rPr>
        <w:t xml:space="preserve"> toate celelalte comportamente ilicite urmărite sau puse în aplicare de </w:t>
      </w:r>
      <w:r>
        <w:rPr>
          <w:rStyle w:val="FontStyle37"/>
        </w:rPr>
        <w:t>ceilalţi</w:t>
      </w:r>
      <w:r>
        <w:rPr>
          <w:rStyle w:val="FontStyle37"/>
        </w:rPr>
        <w:t xml:space="preserve"> </w:t>
      </w:r>
      <w:r>
        <w:rPr>
          <w:rStyle w:val="FontStyle37"/>
        </w:rPr>
        <w:t>participanţi</w:t>
      </w:r>
      <w:r>
        <w:rPr>
          <w:rStyle w:val="FontStyle37"/>
        </w:rPr>
        <w:t xml:space="preserve"> la </w:t>
      </w:r>
      <w:r>
        <w:rPr>
          <w:rStyle w:val="FontStyle37"/>
        </w:rPr>
        <w:t>înţelegere</w:t>
      </w:r>
      <w:r>
        <w:rPr>
          <w:rStyle w:val="FontStyle37"/>
        </w:rPr>
        <w:t xml:space="preserve"> pentru atingerea </w:t>
      </w:r>
      <w:r>
        <w:rPr>
          <w:rStyle w:val="FontStyle37"/>
        </w:rPr>
        <w:t>aceloraşi</w:t>
      </w:r>
      <w:r>
        <w:rPr>
          <w:rStyle w:val="FontStyle37"/>
        </w:rPr>
        <w:t xml:space="preserve"> obiective sau că putea să le prevadă în mod rezonabil </w:t>
      </w:r>
      <w:r>
        <w:rPr>
          <w:rStyle w:val="FontStyle37"/>
        </w:rPr>
        <w:t>şi</w:t>
      </w:r>
      <w:r>
        <w:rPr>
          <w:rStyle w:val="FontStyle37"/>
        </w:rPr>
        <w:t xml:space="preserve"> era pregătită să accepte riscul ce decurge din acestea, Comisia nu are dreptul să stabilească în sarcina sa răspunderea decât pentru comportamentele la care a participat în mod direct </w:t>
      </w:r>
      <w:r>
        <w:rPr>
          <w:rStyle w:val="FontStyle37"/>
        </w:rPr>
        <w:t>şi</w:t>
      </w:r>
      <w:r>
        <w:rPr>
          <w:rStyle w:val="FontStyle37"/>
        </w:rPr>
        <w:t xml:space="preserve"> pentru comportamentele urmărite sau puse în aplicare de </w:t>
      </w:r>
      <w:r>
        <w:rPr>
          <w:rStyle w:val="FontStyle37"/>
        </w:rPr>
        <w:t>ceilalţi</w:t>
      </w:r>
      <w:r>
        <w:rPr>
          <w:rStyle w:val="FontStyle37"/>
        </w:rPr>
        <w:t xml:space="preserve"> </w:t>
      </w:r>
      <w:r>
        <w:rPr>
          <w:rStyle w:val="FontStyle37"/>
        </w:rPr>
        <w:t>participanţi</w:t>
      </w:r>
      <w:r>
        <w:rPr>
          <w:rStyle w:val="FontStyle37"/>
        </w:rPr>
        <w:t xml:space="preserve"> pentru atingerea </w:t>
      </w:r>
      <w:r>
        <w:rPr>
          <w:rStyle w:val="FontStyle37"/>
        </w:rPr>
        <w:t>aceloraşi</w:t>
      </w:r>
      <w:r>
        <w:rPr>
          <w:rStyle w:val="FontStyle37"/>
        </w:rPr>
        <w:t xml:space="preserve"> obiective cu cele pe care ea le urmărea </w:t>
      </w:r>
      <w:r>
        <w:rPr>
          <w:rStyle w:val="FontStyle37"/>
        </w:rPr>
        <w:t>şi</w:t>
      </w:r>
      <w:r>
        <w:rPr>
          <w:rStyle w:val="FontStyle37"/>
        </w:rPr>
        <w:t xml:space="preserve"> cu privire la care s-a dovedit că aceasta le </w:t>
      </w:r>
      <w:r>
        <w:rPr>
          <w:rStyle w:val="FontStyle37"/>
        </w:rPr>
        <w:t>cunoştea</w:t>
      </w:r>
      <w:r>
        <w:rPr>
          <w:rStyle w:val="FontStyle37"/>
        </w:rPr>
        <w:t xml:space="preserve"> sau putea să le prevadă în mod rezonabil </w:t>
      </w:r>
      <w:r>
        <w:rPr>
          <w:rStyle w:val="FontStyle37"/>
        </w:rPr>
        <w:t>şi</w:t>
      </w:r>
      <w:r>
        <w:rPr>
          <w:rStyle w:val="FontStyle37"/>
        </w:rPr>
        <w:t xml:space="preserve"> era pregătită să accepte riscul ce decurge din acestea.</w:t>
      </w:r>
    </w:p>
    <w:p w:rsidR="00565124" w:rsidP="00565124" w14:paraId="39700798" w14:textId="77777777">
      <w:pPr>
        <w:pStyle w:val="Style10"/>
        <w:widowControl/>
        <w:spacing w:line="240" w:lineRule="auto"/>
        <w:ind w:firstLine="993"/>
        <w:rPr>
          <w:rStyle w:val="FontStyle37"/>
        </w:rPr>
      </w:pPr>
      <w:r>
        <w:rPr>
          <w:rStyle w:val="FontStyle37"/>
        </w:rPr>
        <w:t xml:space="preserve">Acest lucru nu poate </w:t>
      </w:r>
      <w:r>
        <w:rPr>
          <w:rStyle w:val="FontStyle37"/>
        </w:rPr>
        <w:t>totuşi</w:t>
      </w:r>
      <w:r>
        <w:rPr>
          <w:rStyle w:val="FontStyle37"/>
        </w:rPr>
        <w:t xml:space="preserve"> să conducă la exonerarea răspunderii acestei întreprinderi pentru comportamentele la care este cert că a luat parte sau pentru care poate fi considerată efectiv răspunzătoare. Astfel, faptul că o întreprindere nu a participat la toate elementele constitutive ale unei </w:t>
      </w:r>
      <w:r>
        <w:rPr>
          <w:rStyle w:val="FontStyle37"/>
        </w:rPr>
        <w:t>înţelegeri</w:t>
      </w:r>
      <w:r>
        <w:rPr>
          <w:rStyle w:val="FontStyle37"/>
        </w:rPr>
        <w:t xml:space="preserve"> sau că aceasta a jucat un rol minor în aspectele în care a fost implicată nu este relevant pentru a stabili </w:t>
      </w:r>
      <w:r>
        <w:rPr>
          <w:rStyle w:val="FontStyle37"/>
        </w:rPr>
        <w:t>existenţa</w:t>
      </w:r>
      <w:r>
        <w:rPr>
          <w:rStyle w:val="FontStyle37"/>
        </w:rPr>
        <w:t xml:space="preserve"> unei încălcări din partea sa, dat fiind faptul că aceste elemente trebuie luate în considerare numai atunci când se evaluează gravitatea încălcării </w:t>
      </w:r>
      <w:r>
        <w:rPr>
          <w:rStyle w:val="FontStyle37"/>
        </w:rPr>
        <w:t>şi</w:t>
      </w:r>
      <w:r>
        <w:rPr>
          <w:rStyle w:val="FontStyle37"/>
        </w:rPr>
        <w:t xml:space="preserve">, după caz, când se </w:t>
      </w:r>
      <w:r>
        <w:rPr>
          <w:rStyle w:val="FontStyle37"/>
        </w:rPr>
        <w:t>stabileşte</w:t>
      </w:r>
      <w:r>
        <w:rPr>
          <w:rStyle w:val="FontStyle37"/>
        </w:rPr>
        <w:t xml:space="preserve"> amenda. </w:t>
      </w:r>
    </w:p>
    <w:p w:rsidR="00565124" w:rsidP="00565124" w14:paraId="19E02D09" w14:textId="5593FB48">
      <w:pPr>
        <w:pStyle w:val="Style10"/>
        <w:widowControl/>
        <w:spacing w:line="240" w:lineRule="auto"/>
        <w:ind w:firstLine="993"/>
        <w:rPr>
          <w:rStyle w:val="FontStyle37"/>
        </w:rPr>
      </w:pPr>
      <w:r>
        <w:rPr>
          <w:rStyle w:val="FontStyle37"/>
        </w:rPr>
        <w:t xml:space="preserve">Prin urmare, fără a intra în analiza aspectelor de fond, </w:t>
      </w:r>
      <w:r>
        <w:rPr>
          <w:rStyle w:val="FontStyle37"/>
        </w:rPr>
        <w:t>şi</w:t>
      </w:r>
      <w:r>
        <w:rPr>
          <w:rStyle w:val="FontStyle37"/>
        </w:rPr>
        <w:t xml:space="preserve"> dacă s-ar </w:t>
      </w:r>
      <w:r>
        <w:rPr>
          <w:rStyle w:val="FontStyle37"/>
        </w:rPr>
        <w:t>îmbrăţişa</w:t>
      </w:r>
      <w:r>
        <w:rPr>
          <w:rStyle w:val="FontStyle37"/>
        </w:rPr>
        <w:t xml:space="preserve"> argumentele reclamantei, aceste aspecte nu sunt de natură a exonera de răspundere reclamanta pentru faptele pentru care poate fi considerată efectiv răspunzătoare </w:t>
      </w:r>
      <w:r>
        <w:rPr>
          <w:rStyle w:val="FontStyle37"/>
        </w:rPr>
        <w:t>şi</w:t>
      </w:r>
      <w:r>
        <w:rPr>
          <w:rStyle w:val="FontStyle37"/>
        </w:rPr>
        <w:t xml:space="preserve"> nu pot fi de natură a arăta vreo </w:t>
      </w:r>
      <w:r>
        <w:rPr>
          <w:rStyle w:val="FontStyle37"/>
        </w:rPr>
        <w:t>aparenţă</w:t>
      </w:r>
      <w:r>
        <w:rPr>
          <w:rStyle w:val="FontStyle37"/>
        </w:rPr>
        <w:t xml:space="preserve"> de nelegalitate a deciziei CC nr. ....</w:t>
      </w:r>
      <w:r>
        <w:rPr>
          <w:rStyle w:val="FontStyle37"/>
        </w:rPr>
        <w:t>D1/2022</w:t>
      </w:r>
      <w:r>
        <w:rPr>
          <w:rStyle w:val="FontStyle37"/>
        </w:rPr>
        <w:t>.</w:t>
      </w:r>
    </w:p>
    <w:p w:rsidR="00565124" w:rsidP="00565124" w14:paraId="482C6B71" w14:textId="77777777">
      <w:pPr>
        <w:pStyle w:val="Style10"/>
        <w:widowControl/>
        <w:spacing w:line="240" w:lineRule="auto"/>
        <w:ind w:firstLine="993"/>
        <w:rPr>
          <w:rStyle w:val="FontStyle37"/>
        </w:rPr>
      </w:pPr>
      <w:r>
        <w:rPr>
          <w:rStyle w:val="FontStyle37"/>
        </w:rPr>
        <w:t xml:space="preserve">Înainte de a arăta că în </w:t>
      </w:r>
      <w:r>
        <w:rPr>
          <w:rStyle w:val="FontStyle37"/>
        </w:rPr>
        <w:t>speţă</w:t>
      </w:r>
      <w:r>
        <w:rPr>
          <w:rStyle w:val="FontStyle37"/>
        </w:rPr>
        <w:t xml:space="preserve"> nu este îndeplinită nici </w:t>
      </w:r>
      <w:r>
        <w:rPr>
          <w:rStyle w:val="FontStyle37"/>
        </w:rPr>
        <w:t>condiţia</w:t>
      </w:r>
      <w:r>
        <w:rPr>
          <w:rStyle w:val="FontStyle37"/>
        </w:rPr>
        <w:t xml:space="preserve"> producerii unei pagube iminente, a </w:t>
      </w:r>
      <w:r>
        <w:rPr>
          <w:rStyle w:val="FontStyle37"/>
        </w:rPr>
        <w:t>menţionat</w:t>
      </w:r>
      <w:r>
        <w:rPr>
          <w:rStyle w:val="FontStyle37"/>
        </w:rPr>
        <w:t xml:space="preserve"> că în </w:t>
      </w:r>
      <w:r>
        <w:rPr>
          <w:rStyle w:val="FontStyle37"/>
        </w:rPr>
        <w:t>jurisprudenţa</w:t>
      </w:r>
      <w:r>
        <w:rPr>
          <w:rStyle w:val="FontStyle37"/>
        </w:rPr>
        <w:t xml:space="preserve"> înaltei </w:t>
      </w:r>
      <w:r>
        <w:rPr>
          <w:rStyle w:val="FontStyle37"/>
        </w:rPr>
        <w:t>Curţi</w:t>
      </w:r>
      <w:r>
        <w:rPr>
          <w:rStyle w:val="FontStyle37"/>
        </w:rPr>
        <w:t xml:space="preserve"> de </w:t>
      </w:r>
      <w:r>
        <w:rPr>
          <w:rStyle w:val="FontStyle37"/>
        </w:rPr>
        <w:t>Casaţie</w:t>
      </w:r>
      <w:r>
        <w:rPr>
          <w:rStyle w:val="FontStyle37"/>
        </w:rPr>
        <w:t xml:space="preserve"> </w:t>
      </w:r>
      <w:r>
        <w:rPr>
          <w:rStyle w:val="FontStyle37"/>
        </w:rPr>
        <w:t>şi</w:t>
      </w:r>
      <w:r>
        <w:rPr>
          <w:rStyle w:val="FontStyle37"/>
        </w:rPr>
        <w:t xml:space="preserve"> </w:t>
      </w:r>
      <w:r>
        <w:rPr>
          <w:rStyle w:val="FontStyle37"/>
        </w:rPr>
        <w:t>Justiţie</w:t>
      </w:r>
      <w:r>
        <w:rPr>
          <w:rStyle w:val="FontStyle37"/>
        </w:rPr>
        <w:t xml:space="preserve"> a fost </w:t>
      </w:r>
      <w:r>
        <w:rPr>
          <w:rStyle w:val="FontStyle37"/>
        </w:rPr>
        <w:t>reţinut</w:t>
      </w:r>
      <w:r>
        <w:rPr>
          <w:rStyle w:val="FontStyle37"/>
        </w:rPr>
        <w:t xml:space="preserve"> faptul că nu este necesară analizarea ambelor </w:t>
      </w:r>
      <w:r>
        <w:rPr>
          <w:rStyle w:val="FontStyle37"/>
        </w:rPr>
        <w:t>condiţii</w:t>
      </w:r>
      <w:r>
        <w:rPr>
          <w:rStyle w:val="FontStyle37"/>
        </w:rPr>
        <w:t xml:space="preserve"> prevăzute de art. 14 din Legea nr. 554/2004, în cazul în care s-a constatat neîndeplinirea uneia dintre ele.</w:t>
      </w:r>
    </w:p>
    <w:p w:rsidR="00565124" w:rsidP="00565124" w14:paraId="6B22983A" w14:textId="77777777">
      <w:pPr>
        <w:pStyle w:val="Style10"/>
        <w:widowControl/>
        <w:spacing w:line="240" w:lineRule="auto"/>
        <w:ind w:firstLine="993"/>
        <w:rPr>
          <w:rStyle w:val="FontStyle37"/>
          <w:i/>
        </w:rPr>
      </w:pPr>
      <w:r>
        <w:rPr>
          <w:rStyle w:val="FontStyle37"/>
          <w:i/>
        </w:rPr>
        <w:t xml:space="preserve">Netemeinicia </w:t>
      </w:r>
      <w:r>
        <w:rPr>
          <w:rStyle w:val="FontStyle37"/>
          <w:i/>
        </w:rPr>
        <w:t>susţinerilor</w:t>
      </w:r>
      <w:r>
        <w:rPr>
          <w:rStyle w:val="FontStyle37"/>
          <w:i/>
        </w:rPr>
        <w:t xml:space="preserve"> X  privind îndeplinirea </w:t>
      </w:r>
      <w:r>
        <w:rPr>
          <w:rStyle w:val="FontStyle37"/>
          <w:i/>
        </w:rPr>
        <w:t>condiţiei</w:t>
      </w:r>
      <w:r>
        <w:rPr>
          <w:rStyle w:val="FontStyle37"/>
          <w:i/>
        </w:rPr>
        <w:t xml:space="preserve"> pagubei iminente</w:t>
      </w:r>
    </w:p>
    <w:p w:rsidR="00565124" w:rsidP="00565124" w14:paraId="2936E288" w14:textId="77777777">
      <w:pPr>
        <w:pStyle w:val="Style13"/>
        <w:widowControl/>
        <w:spacing w:line="240" w:lineRule="auto"/>
        <w:ind w:firstLine="993"/>
        <w:rPr>
          <w:rStyle w:val="FontStyle37"/>
        </w:rPr>
      </w:pPr>
      <w:r>
        <w:rPr>
          <w:rStyle w:val="FontStyle37"/>
        </w:rPr>
        <w:t xml:space="preserve">Pentru a solicita suspendarea aplicării deciziei Consiliului </w:t>
      </w:r>
      <w:r>
        <w:rPr>
          <w:rStyle w:val="FontStyle37"/>
        </w:rPr>
        <w:t>Concurenţei</w:t>
      </w:r>
      <w:r>
        <w:rPr>
          <w:rStyle w:val="FontStyle37"/>
        </w:rPr>
        <w:t xml:space="preserve">, întreprinderea trebuie să prezinte o analiză obiectivă </w:t>
      </w:r>
      <w:r>
        <w:rPr>
          <w:rStyle w:val="FontStyle37"/>
        </w:rPr>
        <w:t>şi</w:t>
      </w:r>
      <w:r>
        <w:rPr>
          <w:rStyle w:val="FontStyle37"/>
        </w:rPr>
        <w:t xml:space="preserve"> completă privind </w:t>
      </w:r>
      <w:r>
        <w:rPr>
          <w:rStyle w:val="FontStyle37"/>
        </w:rPr>
        <w:t>situaţia</w:t>
      </w:r>
      <w:r>
        <w:rPr>
          <w:rStyle w:val="FontStyle37"/>
        </w:rPr>
        <w:t xml:space="preserve"> sa de ansamblu, precum </w:t>
      </w:r>
      <w:r>
        <w:rPr>
          <w:rStyle w:val="FontStyle37"/>
        </w:rPr>
        <w:t>şi</w:t>
      </w:r>
      <w:r>
        <w:rPr>
          <w:rStyle w:val="FontStyle37"/>
        </w:rPr>
        <w:t xml:space="preserve"> impactul real al amenzii asupra acestei </w:t>
      </w:r>
      <w:r>
        <w:rPr>
          <w:rStyle w:val="FontStyle37"/>
        </w:rPr>
        <w:t>situaţii</w:t>
      </w:r>
      <w:r>
        <w:rPr>
          <w:rStyle w:val="FontStyle37"/>
        </w:rPr>
        <w:t>.</w:t>
      </w:r>
    </w:p>
    <w:p w:rsidR="00565124" w:rsidP="00565124" w14:paraId="399D3FD1" w14:textId="77777777">
      <w:pPr>
        <w:pStyle w:val="Style13"/>
        <w:widowControl/>
        <w:spacing w:line="240" w:lineRule="auto"/>
        <w:ind w:firstLine="993"/>
        <w:rPr>
          <w:rStyle w:val="FontStyle37"/>
        </w:rPr>
      </w:pPr>
      <w:r>
        <w:rPr>
          <w:rStyle w:val="FontStyle37"/>
        </w:rPr>
        <w:t xml:space="preserve">Reclamanta a </w:t>
      </w:r>
      <w:r>
        <w:rPr>
          <w:rStyle w:val="FontStyle37"/>
        </w:rPr>
        <w:t>ataşat</w:t>
      </w:r>
      <w:r>
        <w:rPr>
          <w:rStyle w:val="FontStyle37"/>
        </w:rPr>
        <w:t xml:space="preserve"> cererii de suspendare a executării amenzii o serie de documente. Datele transmise în documentele </w:t>
      </w:r>
      <w:r>
        <w:rPr>
          <w:rStyle w:val="FontStyle37"/>
        </w:rPr>
        <w:t>ataşate</w:t>
      </w:r>
      <w:r>
        <w:rPr>
          <w:rStyle w:val="FontStyle37"/>
        </w:rPr>
        <w:t xml:space="preserve"> au fost completate de datele puse la </w:t>
      </w:r>
      <w:r>
        <w:rPr>
          <w:rStyle w:val="FontStyle37"/>
        </w:rPr>
        <w:t>dispoziţie</w:t>
      </w:r>
      <w:r>
        <w:rPr>
          <w:rStyle w:val="FontStyle37"/>
        </w:rPr>
        <w:t xml:space="preserve"> de către Ministerul </w:t>
      </w:r>
      <w:r>
        <w:rPr>
          <w:rStyle w:val="FontStyle37"/>
        </w:rPr>
        <w:t>Finanţelor</w:t>
      </w:r>
      <w:r>
        <w:rPr>
          <w:rStyle w:val="FontStyle37"/>
        </w:rPr>
        <w:t xml:space="preserve">. </w:t>
      </w:r>
    </w:p>
    <w:p w:rsidR="00565124" w:rsidP="00565124" w14:paraId="60A6088B" w14:textId="77777777">
      <w:pPr>
        <w:pStyle w:val="Style13"/>
        <w:widowControl/>
        <w:spacing w:line="240" w:lineRule="auto"/>
        <w:ind w:firstLine="993"/>
        <w:rPr>
          <w:rStyle w:val="FontStyle37"/>
        </w:rPr>
      </w:pPr>
      <w:r>
        <w:rPr>
          <w:rStyle w:val="FontStyle37"/>
        </w:rPr>
        <w:t xml:space="preserve">Din acestea se poate observa că în perioada 2020 - 2022 a avut loc o </w:t>
      </w:r>
      <w:r>
        <w:rPr>
          <w:rStyle w:val="FontStyle37"/>
        </w:rPr>
        <w:t>creştere</w:t>
      </w:r>
      <w:r>
        <w:rPr>
          <w:rStyle w:val="FontStyle37"/>
        </w:rPr>
        <w:t xml:space="preserve"> semnificativă la nivelul cifrei de afaceri a reclamantei, cifra de afaceri înregistrată în anul 2022 crescând cu 22% comparativ cu cifra de afaceri din anul precedent. În plus, se constată că întreprinderea a înregistrat profit în fiecare din ultimele </w:t>
      </w:r>
      <w:r>
        <w:rPr>
          <w:rStyle w:val="FontStyle37"/>
        </w:rPr>
        <w:t>exerciţii</w:t>
      </w:r>
      <w:r>
        <w:rPr>
          <w:rStyle w:val="FontStyle37"/>
        </w:rPr>
        <w:t xml:space="preserve"> financiare (inclusiv la finalul lunii februarie 2023), conform </w:t>
      </w:r>
      <w:r>
        <w:rPr>
          <w:rStyle w:val="FontStyle37"/>
        </w:rPr>
        <w:t>balanţei</w:t>
      </w:r>
      <w:r>
        <w:rPr>
          <w:rStyle w:val="FontStyle37"/>
        </w:rPr>
        <w:t xml:space="preserve"> de verificare.</w:t>
      </w:r>
    </w:p>
    <w:p w:rsidR="00565124" w:rsidP="00565124" w14:paraId="5CA2B19C" w14:textId="77777777">
      <w:pPr>
        <w:pStyle w:val="Style13"/>
        <w:widowControl/>
        <w:spacing w:line="240" w:lineRule="auto"/>
        <w:ind w:firstLine="993"/>
        <w:rPr>
          <w:rStyle w:val="FontStyle37"/>
        </w:rPr>
      </w:pPr>
      <w:r>
        <w:rPr>
          <w:rStyle w:val="FontStyle37"/>
        </w:rPr>
        <w:t xml:space="preserve">Pentru a se analiza solvabilitatea unei întreprinderi, este necesară calcularea unor rate financiare care reflectă capacitatea </w:t>
      </w:r>
      <w:r>
        <w:rPr>
          <w:rStyle w:val="FontStyle37"/>
        </w:rPr>
        <w:t>entităţii</w:t>
      </w:r>
      <w:r>
        <w:rPr>
          <w:rStyle w:val="FontStyle37"/>
        </w:rPr>
        <w:t xml:space="preserve"> respective de a-</w:t>
      </w:r>
      <w:r>
        <w:rPr>
          <w:rStyle w:val="FontStyle37"/>
        </w:rPr>
        <w:t>şi</w:t>
      </w:r>
      <w:r>
        <w:rPr>
          <w:rStyle w:val="FontStyle37"/>
        </w:rPr>
        <w:t xml:space="preserve"> plăti datoriile conform </w:t>
      </w:r>
      <w:r>
        <w:rPr>
          <w:rStyle w:val="FontStyle37"/>
        </w:rPr>
        <w:t>scadenţelor</w:t>
      </w:r>
      <w:r>
        <w:rPr>
          <w:rStyle w:val="FontStyle37"/>
        </w:rPr>
        <w:t xml:space="preserve">. Totodată, trebuie </w:t>
      </w:r>
      <w:r>
        <w:rPr>
          <w:rStyle w:val="FontStyle37"/>
        </w:rPr>
        <w:t>menţionat</w:t>
      </w:r>
      <w:r>
        <w:rPr>
          <w:rStyle w:val="FontStyle37"/>
        </w:rPr>
        <w:t xml:space="preserve"> faptul că o întreprindere este considerată insolvabilă în </w:t>
      </w:r>
      <w:r>
        <w:rPr>
          <w:rStyle w:val="FontStyle37"/>
        </w:rPr>
        <w:t>situaţia</w:t>
      </w:r>
      <w:r>
        <w:rPr>
          <w:rStyle w:val="FontStyle37"/>
        </w:rPr>
        <w:t xml:space="preserve"> în care rata </w:t>
      </w:r>
      <w:r>
        <w:rPr>
          <w:rStyle w:val="FontStyle37"/>
        </w:rPr>
        <w:t>solvabilităţii</w:t>
      </w:r>
      <w:r>
        <w:rPr>
          <w:rStyle w:val="FontStyle37"/>
        </w:rPr>
        <w:t xml:space="preserve"> globale este mai mică de 1.</w:t>
      </w:r>
    </w:p>
    <w:p w:rsidR="00565124" w:rsidP="00565124" w14:paraId="688483D6" w14:textId="77777777">
      <w:pPr>
        <w:pStyle w:val="Style13"/>
        <w:widowControl/>
        <w:spacing w:line="240" w:lineRule="auto"/>
        <w:ind w:firstLine="993"/>
        <w:rPr>
          <w:rStyle w:val="FontStyle37"/>
        </w:rPr>
      </w:pPr>
      <w:r>
        <w:rPr>
          <w:rStyle w:val="FontStyle37"/>
        </w:rPr>
        <w:t xml:space="preserve">În cazul X , la finalul anului 2022, rata </w:t>
      </w:r>
      <w:r>
        <w:rPr>
          <w:rStyle w:val="FontStyle37"/>
        </w:rPr>
        <w:t>solvabilităţii</w:t>
      </w:r>
      <w:r>
        <w:rPr>
          <w:rStyle w:val="FontStyle37"/>
        </w:rPr>
        <w:t xml:space="preserve"> generale, calculată ca raport între </w:t>
      </w:r>
      <w:r>
        <w:rPr>
          <w:rStyle w:val="Emphasis"/>
        </w:rPr>
        <w:t xml:space="preserve">Activele totale </w:t>
      </w:r>
      <w:r>
        <w:rPr>
          <w:rStyle w:val="Emphasis"/>
        </w:rPr>
        <w:t>şi</w:t>
      </w:r>
      <w:r>
        <w:rPr>
          <w:rStyle w:val="Emphasis"/>
        </w:rPr>
        <w:t xml:space="preserve"> Datoriile totale</w:t>
      </w:r>
      <w:r>
        <w:rPr>
          <w:rStyle w:val="FontStyle39"/>
        </w:rPr>
        <w:t xml:space="preserve">, </w:t>
      </w:r>
      <w:r>
        <w:rPr>
          <w:rStyle w:val="FontStyle37"/>
        </w:rPr>
        <w:t xml:space="preserve">este de 1.24. în </w:t>
      </w:r>
      <w:r>
        <w:rPr>
          <w:rStyle w:val="FontStyle37"/>
        </w:rPr>
        <w:t>situaţia</w:t>
      </w:r>
      <w:r>
        <w:rPr>
          <w:rStyle w:val="FontStyle37"/>
        </w:rPr>
        <w:t xml:space="preserve"> în care se ia în considerare amenda aplicată, cuantumul acesteia adăugându-se la valoarea datoriilor, rata </w:t>
      </w:r>
      <w:r>
        <w:rPr>
          <w:rStyle w:val="FontStyle37"/>
        </w:rPr>
        <w:t>solvabilităţii</w:t>
      </w:r>
      <w:r>
        <w:rPr>
          <w:rStyle w:val="FontStyle37"/>
        </w:rPr>
        <w:t xml:space="preserve"> devine 1.19.</w:t>
      </w:r>
    </w:p>
    <w:p w:rsidR="00565124" w:rsidP="00565124" w14:paraId="3EC2A499" w14:textId="77777777">
      <w:pPr>
        <w:pStyle w:val="Style13"/>
        <w:widowControl/>
        <w:spacing w:line="240" w:lineRule="auto"/>
        <w:ind w:firstLine="993"/>
        <w:rPr>
          <w:rStyle w:val="FontStyle37"/>
        </w:rPr>
      </w:pPr>
      <w:r>
        <w:rPr>
          <w:rStyle w:val="FontStyle37"/>
        </w:rPr>
        <w:t xml:space="preserve">Drept urmare, raportat la cele arătate anterior, întreprinderea este în continuare solvabilă, chiar </w:t>
      </w:r>
      <w:r>
        <w:rPr>
          <w:rStyle w:val="FontStyle37"/>
        </w:rPr>
        <w:t>şi</w:t>
      </w:r>
      <w:r>
        <w:rPr>
          <w:rStyle w:val="FontStyle37"/>
        </w:rPr>
        <w:t xml:space="preserve"> în </w:t>
      </w:r>
      <w:r>
        <w:rPr>
          <w:rStyle w:val="FontStyle37"/>
        </w:rPr>
        <w:t>condiţiile</w:t>
      </w:r>
      <w:r>
        <w:rPr>
          <w:rStyle w:val="FontStyle37"/>
        </w:rPr>
        <w:t xml:space="preserve"> executării amenzii aplicate de către autoritatea de </w:t>
      </w:r>
      <w:r>
        <w:rPr>
          <w:rStyle w:val="FontStyle37"/>
        </w:rPr>
        <w:t>concurenţă</w:t>
      </w:r>
      <w:r>
        <w:rPr>
          <w:rStyle w:val="FontStyle37"/>
        </w:rPr>
        <w:t>.</w:t>
      </w:r>
    </w:p>
    <w:p w:rsidR="00565124" w:rsidP="00565124" w14:paraId="4C316516" w14:textId="77777777">
      <w:pPr>
        <w:pStyle w:val="Style13"/>
        <w:widowControl/>
        <w:spacing w:line="240" w:lineRule="auto"/>
        <w:ind w:firstLine="993"/>
        <w:rPr>
          <w:rStyle w:val="FontStyle37"/>
        </w:rPr>
      </w:pPr>
      <w:r>
        <w:rPr>
          <w:rStyle w:val="FontStyle37"/>
        </w:rPr>
        <w:t xml:space="preserve">De asemenea, în cadrul </w:t>
      </w:r>
      <w:r>
        <w:rPr>
          <w:rStyle w:val="Emphasis"/>
        </w:rPr>
        <w:t>cererii de suspendare</w:t>
      </w:r>
      <w:r>
        <w:rPr>
          <w:rStyle w:val="FontStyle39"/>
        </w:rPr>
        <w:t xml:space="preserve">, </w:t>
      </w:r>
      <w:r>
        <w:rPr>
          <w:rStyle w:val="FontStyle37"/>
        </w:rPr>
        <w:t xml:space="preserve">reclamanta invocă rata </w:t>
      </w:r>
      <w:r>
        <w:rPr>
          <w:rStyle w:val="FontStyle37"/>
        </w:rPr>
        <w:t>solvabilităţii</w:t>
      </w:r>
      <w:r>
        <w:rPr>
          <w:rStyle w:val="FontStyle37"/>
        </w:rPr>
        <w:t xml:space="preserve"> patrimoniale în valoare de 0.2, care s-ar diminua ca urmare a amenzii aplicate de Consiliul </w:t>
      </w:r>
      <w:r>
        <w:rPr>
          <w:rStyle w:val="FontStyle37"/>
        </w:rPr>
        <w:t>Concurenţei</w:t>
      </w:r>
      <w:r>
        <w:rPr>
          <w:rStyle w:val="FontStyle37"/>
        </w:rPr>
        <w:t>, ajungând la o valoare de aproximativ 0.17.</w:t>
      </w:r>
    </w:p>
    <w:p w:rsidR="00565124" w:rsidP="00565124" w14:paraId="1DFFDF3A" w14:textId="77777777">
      <w:pPr>
        <w:pStyle w:val="Style13"/>
        <w:widowControl/>
        <w:spacing w:line="240" w:lineRule="auto"/>
        <w:ind w:firstLine="993"/>
        <w:rPr>
          <w:rStyle w:val="FontStyle37"/>
        </w:rPr>
      </w:pPr>
      <w:r>
        <w:rPr>
          <w:rStyle w:val="FontStyle37"/>
        </w:rPr>
        <w:t xml:space="preserve">Pe parcursul întregii perioade analizate mai sus (2018-2022), valoarea ratei </w:t>
      </w:r>
      <w:r>
        <w:rPr>
          <w:rStyle w:val="FontStyle37"/>
        </w:rPr>
        <w:t>solvabilităţii</w:t>
      </w:r>
      <w:r>
        <w:rPr>
          <w:rStyle w:val="FontStyle37"/>
        </w:rPr>
        <w:t xml:space="preserve"> patrimoniale s-a </w:t>
      </w:r>
      <w:r>
        <w:rPr>
          <w:rStyle w:val="FontStyle37"/>
        </w:rPr>
        <w:t>menţinut</w:t>
      </w:r>
      <w:r>
        <w:rPr>
          <w:rStyle w:val="FontStyle37"/>
        </w:rPr>
        <w:t xml:space="preserve"> în intervalul 0.17 - 0.2, ceea ce demonstrează faptul că deteriorarea </w:t>
      </w:r>
      <w:r>
        <w:rPr>
          <w:rStyle w:val="FontStyle37"/>
        </w:rPr>
        <w:t>capacităţii</w:t>
      </w:r>
      <w:r>
        <w:rPr>
          <w:rStyle w:val="FontStyle37"/>
        </w:rPr>
        <w:t xml:space="preserve"> întreprinderii de a solicita credite bancare nu poate fi cauzată de amenda impusă de autoritatea de </w:t>
      </w:r>
      <w:r>
        <w:rPr>
          <w:rStyle w:val="FontStyle37"/>
        </w:rPr>
        <w:t>concurenţă</w:t>
      </w:r>
      <w:r>
        <w:rPr>
          <w:rStyle w:val="FontStyle37"/>
        </w:rPr>
        <w:t>.</w:t>
      </w:r>
    </w:p>
    <w:p w:rsidR="00565124" w:rsidP="00565124" w14:paraId="7C236C90" w14:textId="77777777">
      <w:pPr>
        <w:pStyle w:val="Style13"/>
        <w:widowControl/>
        <w:spacing w:line="240" w:lineRule="auto"/>
        <w:ind w:firstLine="993"/>
        <w:rPr>
          <w:rStyle w:val="FontStyle37"/>
        </w:rPr>
      </w:pPr>
      <w:r>
        <w:rPr>
          <w:rStyle w:val="FontStyle37"/>
        </w:rPr>
        <w:t xml:space="preserve">Mai mult, conform </w:t>
      </w:r>
      <w:r>
        <w:rPr>
          <w:rStyle w:val="FontStyle37"/>
        </w:rPr>
        <w:t>balanţei</w:t>
      </w:r>
      <w:r>
        <w:rPr>
          <w:rStyle w:val="FontStyle37"/>
        </w:rPr>
        <w:t xml:space="preserve"> de verificare, în perioada de </w:t>
      </w:r>
      <w:r>
        <w:rPr>
          <w:rStyle w:val="FontStyle37"/>
        </w:rPr>
        <w:t>referinţă</w:t>
      </w:r>
      <w:r>
        <w:rPr>
          <w:rStyle w:val="FontStyle37"/>
        </w:rPr>
        <w:t xml:space="preserve"> (inclusiv în anul 2022), întreprinderea a încheiat contracte de credite bancare pe termen lung, aspect care, contrar </w:t>
      </w:r>
      <w:r>
        <w:rPr>
          <w:rStyle w:val="FontStyle37"/>
        </w:rPr>
        <w:t>susţinerilor</w:t>
      </w:r>
      <w:r>
        <w:rPr>
          <w:rStyle w:val="FontStyle37"/>
        </w:rPr>
        <w:t xml:space="preserve"> reclamantei, denotă faptul că întreprinderea este considerată solvabilă de către </w:t>
      </w:r>
      <w:r>
        <w:rPr>
          <w:rStyle w:val="FontStyle37"/>
        </w:rPr>
        <w:t>instituţiile</w:t>
      </w:r>
      <w:r>
        <w:rPr>
          <w:rStyle w:val="FontStyle37"/>
        </w:rPr>
        <w:t xml:space="preserve"> financiare.</w:t>
      </w:r>
    </w:p>
    <w:p w:rsidR="00565124" w:rsidP="00565124" w14:paraId="7608CEDD" w14:textId="77777777">
      <w:pPr>
        <w:pStyle w:val="Style13"/>
        <w:widowControl/>
        <w:spacing w:line="240" w:lineRule="auto"/>
        <w:ind w:firstLine="993"/>
        <w:rPr>
          <w:rStyle w:val="FontStyle37"/>
        </w:rPr>
      </w:pPr>
      <w:r>
        <w:rPr>
          <w:rStyle w:val="FontStyle37"/>
        </w:rPr>
        <w:t xml:space="preserve">În concluzie, se poate constata că la 31 decembrie 2022, întreprinderea era profitabilă, solvabilă, cu o </w:t>
      </w:r>
      <w:r>
        <w:rPr>
          <w:rStyle w:val="FontStyle37"/>
        </w:rPr>
        <w:t>evoluţie</w:t>
      </w:r>
      <w:r>
        <w:rPr>
          <w:rStyle w:val="FontStyle37"/>
        </w:rPr>
        <w:t xml:space="preserve"> pozitivă a cifrei de afaceri </w:t>
      </w:r>
      <w:r>
        <w:rPr>
          <w:rStyle w:val="FontStyle37"/>
        </w:rPr>
        <w:t>şi</w:t>
      </w:r>
      <w:r>
        <w:rPr>
          <w:rStyle w:val="FontStyle37"/>
        </w:rPr>
        <w:t xml:space="preserve"> a activelor totale.</w:t>
      </w:r>
    </w:p>
    <w:p w:rsidR="00565124" w:rsidP="00565124" w14:paraId="4AF4EC8B" w14:textId="77777777">
      <w:pPr>
        <w:pStyle w:val="Style13"/>
        <w:widowControl/>
        <w:spacing w:line="240" w:lineRule="auto"/>
        <w:ind w:firstLine="993"/>
        <w:rPr>
          <w:rStyle w:val="FontStyle37"/>
        </w:rPr>
      </w:pPr>
      <w:r>
        <w:rPr>
          <w:rStyle w:val="FontStyle37"/>
        </w:rPr>
        <w:t xml:space="preserve">În ceea ce </w:t>
      </w:r>
      <w:r>
        <w:rPr>
          <w:rStyle w:val="FontStyle37"/>
        </w:rPr>
        <w:t>priveşte</w:t>
      </w:r>
      <w:r>
        <w:rPr>
          <w:rStyle w:val="FontStyle37"/>
        </w:rPr>
        <w:t xml:space="preserve"> ponderea amenzii impuse de autoritatea de </w:t>
      </w:r>
      <w:r>
        <w:rPr>
          <w:rStyle w:val="FontStyle37"/>
        </w:rPr>
        <w:t>concurenţă</w:t>
      </w:r>
      <w:r>
        <w:rPr>
          <w:rStyle w:val="FontStyle37"/>
        </w:rPr>
        <w:t xml:space="preserve">, în valoare de 1,052,758.18 lei, în raport cu o serie de elemente de </w:t>
      </w:r>
      <w:r>
        <w:rPr>
          <w:rStyle w:val="FontStyle37"/>
        </w:rPr>
        <w:t>bilanţ</w:t>
      </w:r>
      <w:r>
        <w:rPr>
          <w:rStyle w:val="FontStyle37"/>
        </w:rPr>
        <w:t xml:space="preserve"> înregistrate la 31 decembrie 2022, aceasta reprezintă aproximativ:</w:t>
      </w:r>
    </w:p>
    <w:p w:rsidR="00565124" w:rsidP="00565124" w14:paraId="31237EDE" w14:textId="77777777">
      <w:pPr>
        <w:pStyle w:val="Style22"/>
        <w:widowControl/>
        <w:numPr>
          <w:ilvl w:val="0"/>
          <w:numId w:val="5"/>
        </w:numPr>
        <w:tabs>
          <w:tab w:val="left" w:pos="1771"/>
        </w:tabs>
        <w:ind w:firstLine="993"/>
        <w:rPr>
          <w:rStyle w:val="FontStyle37"/>
        </w:rPr>
      </w:pPr>
      <w:r>
        <w:rPr>
          <w:rStyle w:val="FontStyle37"/>
        </w:rPr>
        <w:t>1.8% în raport cu valoarea cifrei de afaceri;</w:t>
      </w:r>
    </w:p>
    <w:p w:rsidR="00565124" w:rsidP="00565124" w14:paraId="39C6D37B" w14:textId="77777777">
      <w:pPr>
        <w:pStyle w:val="Style22"/>
        <w:widowControl/>
        <w:numPr>
          <w:ilvl w:val="0"/>
          <w:numId w:val="5"/>
        </w:numPr>
        <w:tabs>
          <w:tab w:val="left" w:pos="1771"/>
        </w:tabs>
        <w:ind w:firstLine="993"/>
        <w:rPr>
          <w:rStyle w:val="FontStyle37"/>
        </w:rPr>
      </w:pPr>
      <w:r>
        <w:rPr>
          <w:rStyle w:val="FontStyle37"/>
        </w:rPr>
        <w:t>3.0% în raport cu valoarea activelor totale;</w:t>
      </w:r>
    </w:p>
    <w:p w:rsidR="00565124" w:rsidP="00565124" w14:paraId="1BABDE71" w14:textId="77777777">
      <w:pPr>
        <w:pStyle w:val="Style22"/>
        <w:widowControl/>
        <w:numPr>
          <w:ilvl w:val="0"/>
          <w:numId w:val="5"/>
        </w:numPr>
        <w:tabs>
          <w:tab w:val="left" w:pos="1771"/>
        </w:tabs>
        <w:ind w:firstLine="993"/>
        <w:rPr>
          <w:rStyle w:val="FontStyle37"/>
        </w:rPr>
      </w:pPr>
      <w:r>
        <w:rPr>
          <w:rStyle w:val="FontStyle37"/>
        </w:rPr>
        <w:t>3.7% raportat la valoarea datoriilor totale.</w:t>
      </w:r>
    </w:p>
    <w:p w:rsidR="00565124" w:rsidP="00565124" w14:paraId="2B8156D7" w14:textId="77777777">
      <w:pPr>
        <w:pStyle w:val="Style13"/>
        <w:widowControl/>
        <w:spacing w:line="240" w:lineRule="auto"/>
        <w:ind w:firstLine="993"/>
        <w:rPr>
          <w:rStyle w:val="FontStyle37"/>
        </w:rPr>
      </w:pPr>
      <w:r>
        <w:rPr>
          <w:rStyle w:val="FontStyle37"/>
        </w:rPr>
        <w:t xml:space="preserve">Profitul net rezultat în urma încheierii </w:t>
      </w:r>
      <w:r>
        <w:rPr>
          <w:rStyle w:val="FontStyle37"/>
        </w:rPr>
        <w:t>exerciţiului</w:t>
      </w:r>
      <w:r>
        <w:rPr>
          <w:rStyle w:val="FontStyle37"/>
        </w:rPr>
        <w:t xml:space="preserve"> financiar aferent anului 2022 reprezintă aproximativ 90% în raport cu amenda impusă de autoritatea de </w:t>
      </w:r>
      <w:r>
        <w:rPr>
          <w:rStyle w:val="FontStyle37"/>
        </w:rPr>
        <w:t>concurenţă</w:t>
      </w:r>
      <w:r>
        <w:rPr>
          <w:rStyle w:val="FontStyle37"/>
        </w:rPr>
        <w:t xml:space="preserve">. În plus, întreprinderea nu a constituit provizioane, în ciuda faptului că aceasta </w:t>
      </w:r>
      <w:r>
        <w:rPr>
          <w:rStyle w:val="FontStyle37"/>
        </w:rPr>
        <w:t>ştia</w:t>
      </w:r>
      <w:r>
        <w:rPr>
          <w:rStyle w:val="FontStyle37"/>
        </w:rPr>
        <w:t xml:space="preserve"> că este investigată de autoritatea de </w:t>
      </w:r>
      <w:r>
        <w:rPr>
          <w:rStyle w:val="FontStyle37"/>
        </w:rPr>
        <w:t>concurenţă</w:t>
      </w:r>
      <w:r>
        <w:rPr>
          <w:rStyle w:val="FontStyle37"/>
        </w:rPr>
        <w:t xml:space="preserve"> </w:t>
      </w:r>
      <w:r>
        <w:rPr>
          <w:rStyle w:val="FontStyle37"/>
        </w:rPr>
        <w:t>şi</w:t>
      </w:r>
      <w:r>
        <w:rPr>
          <w:rStyle w:val="FontStyle37"/>
        </w:rPr>
        <w:t xml:space="preserve"> este pasibilă de amendă.</w:t>
      </w:r>
    </w:p>
    <w:p w:rsidR="00565124" w:rsidP="00565124" w14:paraId="1BED3C04" w14:textId="77777777">
      <w:pPr>
        <w:pStyle w:val="Style13"/>
        <w:widowControl/>
        <w:spacing w:line="240" w:lineRule="auto"/>
        <w:ind w:firstLine="993"/>
        <w:rPr>
          <w:rStyle w:val="FontStyle37"/>
        </w:rPr>
      </w:pPr>
      <w:r>
        <w:rPr>
          <w:rStyle w:val="FontStyle37"/>
        </w:rPr>
        <w:t>Aşadar</w:t>
      </w:r>
      <w:r>
        <w:rPr>
          <w:rStyle w:val="FontStyle37"/>
        </w:rPr>
        <w:t xml:space="preserve">, în urma analizei </w:t>
      </w:r>
      <w:r>
        <w:rPr>
          <w:rStyle w:val="FontStyle37"/>
        </w:rPr>
        <w:t>informaţiilor</w:t>
      </w:r>
      <w:r>
        <w:rPr>
          <w:rStyle w:val="FontStyle37"/>
        </w:rPr>
        <w:t xml:space="preserve"> </w:t>
      </w:r>
      <w:r>
        <w:rPr>
          <w:rStyle w:val="FontStyle37"/>
        </w:rPr>
        <w:t>economico</w:t>
      </w:r>
      <w:r>
        <w:rPr>
          <w:rStyle w:val="FontStyle37"/>
        </w:rPr>
        <w:t xml:space="preserve">-financiare prezentate de întreprindere, completate de datele publice cu privire la aceasta, se poate constata că perspectiva pagubei iminente nu poate fi confirmată, fiind evident faptul că X SRL nu demonstrează prin documentele prezentate </w:t>
      </w:r>
      <w:r>
        <w:rPr>
          <w:rStyle w:val="FontStyle37"/>
        </w:rPr>
        <w:t>condiţia</w:t>
      </w:r>
      <w:r>
        <w:rPr>
          <w:rStyle w:val="FontStyle37"/>
        </w:rPr>
        <w:t xml:space="preserve"> pagubei iminente ca urmare a executării actului administrativ contestat.</w:t>
      </w:r>
    </w:p>
    <w:p w:rsidR="00565124" w:rsidP="00565124" w14:paraId="77242AFC" w14:textId="77777777">
      <w:pPr>
        <w:pStyle w:val="Style13"/>
        <w:widowControl/>
        <w:spacing w:line="240" w:lineRule="auto"/>
        <w:ind w:firstLine="993"/>
        <w:jc w:val="left"/>
        <w:rPr>
          <w:rStyle w:val="FontStyle37"/>
          <w:i/>
        </w:rPr>
      </w:pPr>
      <w:r>
        <w:rPr>
          <w:rStyle w:val="FontStyle37"/>
          <w:i/>
        </w:rPr>
        <w:t>Scăderea licită a patrimoniului ca urmare a aplicării legale a amenzii</w:t>
      </w:r>
    </w:p>
    <w:p w:rsidR="00565124" w:rsidP="00565124" w14:paraId="4191F4F7" w14:textId="77777777">
      <w:pPr>
        <w:pStyle w:val="Style13"/>
        <w:widowControl/>
        <w:spacing w:line="240" w:lineRule="auto"/>
        <w:ind w:firstLine="993"/>
        <w:rPr>
          <w:rStyle w:val="FontStyle37"/>
        </w:rPr>
      </w:pPr>
      <w:r>
        <w:rPr>
          <w:rStyle w:val="Emphasis"/>
          <w:i w:val="0"/>
        </w:rPr>
        <w:t xml:space="preserve">Legea </w:t>
      </w:r>
      <w:r>
        <w:rPr>
          <w:rStyle w:val="Emphasis"/>
          <w:i w:val="0"/>
        </w:rPr>
        <w:t>concurenţei</w:t>
      </w:r>
      <w:r>
        <w:rPr>
          <w:rStyle w:val="FontStyle39"/>
        </w:rPr>
        <w:t xml:space="preserve">, </w:t>
      </w:r>
      <w:r>
        <w:rPr>
          <w:rStyle w:val="FontStyle37"/>
        </w:rPr>
        <w:t xml:space="preserve">prin stabilirea limitei amenzii (de până la 10% din cifra de afaceri totală a contravenientului pe anul financiar anterior </w:t>
      </w:r>
      <w:r>
        <w:rPr>
          <w:rStyle w:val="FontStyle37"/>
        </w:rPr>
        <w:t>sancţionării</w:t>
      </w:r>
      <w:r>
        <w:rPr>
          <w:rStyle w:val="FontStyle37"/>
        </w:rPr>
        <w:t xml:space="preserve">), a realizat deja o raportare la capacitatea financiară a unei întreprinderi, </w:t>
      </w:r>
      <w:r>
        <w:rPr>
          <w:rStyle w:val="FontStyle37"/>
        </w:rPr>
        <w:t>şi</w:t>
      </w:r>
      <w:r>
        <w:rPr>
          <w:rStyle w:val="FontStyle37"/>
        </w:rPr>
        <w:t xml:space="preserve">, de asemenea, la impactul pe care achitarea amenzii, în cuantumul stabilit, îl va avea asupra </w:t>
      </w:r>
      <w:r>
        <w:rPr>
          <w:rStyle w:val="FontStyle37"/>
        </w:rPr>
        <w:t>activităţii</w:t>
      </w:r>
      <w:r>
        <w:rPr>
          <w:rStyle w:val="FontStyle37"/>
        </w:rPr>
        <w:t xml:space="preserve"> sale.</w:t>
      </w:r>
    </w:p>
    <w:p w:rsidR="00565124" w:rsidP="00565124" w14:paraId="176F8578" w14:textId="77777777">
      <w:pPr>
        <w:pStyle w:val="Style13"/>
        <w:widowControl/>
        <w:spacing w:line="240" w:lineRule="auto"/>
        <w:ind w:firstLine="993"/>
        <w:rPr>
          <w:rStyle w:val="FontStyle37"/>
        </w:rPr>
      </w:pPr>
      <w:r>
        <w:rPr>
          <w:rStyle w:val="FontStyle37"/>
        </w:rPr>
        <w:t xml:space="preserve">Totodată, trebuie avut în vedere faptul că individualizarea </w:t>
      </w:r>
      <w:r>
        <w:rPr>
          <w:rStyle w:val="FontStyle37"/>
        </w:rPr>
        <w:t>sancţiunii</w:t>
      </w:r>
      <w:r>
        <w:rPr>
          <w:rStyle w:val="FontStyle37"/>
        </w:rPr>
        <w:t xml:space="preserve"> aplicate X , prin aplicarea unei cote procentuale de 2,248% din cifra de afaceri realizată în anul 2021, reprezintă o aplicare judicioasă a principiului </w:t>
      </w:r>
      <w:r>
        <w:rPr>
          <w:rStyle w:val="FontStyle37"/>
        </w:rPr>
        <w:t>proporţionalităţii</w:t>
      </w:r>
      <w:r>
        <w:rPr>
          <w:rStyle w:val="FontStyle37"/>
        </w:rPr>
        <w:t xml:space="preserve"> amenzii cu gravitatea faptei </w:t>
      </w:r>
      <w:r>
        <w:rPr>
          <w:rStyle w:val="FontStyle37"/>
        </w:rPr>
        <w:t>săvârşite</w:t>
      </w:r>
      <w:r>
        <w:rPr>
          <w:rStyle w:val="FontStyle37"/>
        </w:rPr>
        <w:t xml:space="preserve">, consacrat de prevederile art. 55 din Legea </w:t>
      </w:r>
      <w:r>
        <w:rPr>
          <w:rStyle w:val="FontStyle37"/>
        </w:rPr>
        <w:t>concurenţei</w:t>
      </w:r>
      <w:r>
        <w:rPr>
          <w:rStyle w:val="FontStyle37"/>
        </w:rPr>
        <w:t xml:space="preserve">, precum </w:t>
      </w:r>
      <w:r>
        <w:rPr>
          <w:rStyle w:val="FontStyle37"/>
        </w:rPr>
        <w:t>şi</w:t>
      </w:r>
      <w:r>
        <w:rPr>
          <w:rStyle w:val="FontStyle37"/>
        </w:rPr>
        <w:t xml:space="preserve"> a algoritmului de calcul al </w:t>
      </w:r>
      <w:r>
        <w:rPr>
          <w:rStyle w:val="FontStyle37"/>
        </w:rPr>
        <w:t>sancţiunii</w:t>
      </w:r>
      <w:r>
        <w:rPr>
          <w:rStyle w:val="FontStyle37"/>
        </w:rPr>
        <w:t xml:space="preserve"> detaliat în </w:t>
      </w:r>
      <w:r>
        <w:rPr>
          <w:rStyle w:val="FontStyle37"/>
        </w:rPr>
        <w:t>Instrucţiunile</w:t>
      </w:r>
      <w:r>
        <w:rPr>
          <w:rStyle w:val="FontStyle37"/>
        </w:rPr>
        <w:t xml:space="preserve"> Consiliului </w:t>
      </w:r>
      <w:r>
        <w:rPr>
          <w:rStyle w:val="FontStyle37"/>
        </w:rPr>
        <w:t>Concurenţei</w:t>
      </w:r>
      <w:r>
        <w:rPr>
          <w:rStyle w:val="FontStyle37"/>
        </w:rPr>
        <w:t>.</w:t>
      </w:r>
    </w:p>
    <w:p w:rsidR="00565124" w:rsidP="00565124" w14:paraId="2C6008FD" w14:textId="77777777">
      <w:pPr>
        <w:pStyle w:val="Style13"/>
        <w:widowControl/>
        <w:spacing w:line="240" w:lineRule="auto"/>
        <w:ind w:firstLine="993"/>
        <w:rPr>
          <w:rStyle w:val="FontStyle37"/>
        </w:rPr>
      </w:pPr>
      <w:r>
        <w:rPr>
          <w:rStyle w:val="FontStyle37"/>
        </w:rPr>
        <w:t xml:space="preserve">Într-adevăr, este firesc ca amenda impusă să genereze eforturi suplimentare, </w:t>
      </w:r>
      <w:r>
        <w:rPr>
          <w:rStyle w:val="FontStyle37"/>
        </w:rPr>
        <w:t>impactând</w:t>
      </w:r>
      <w:r>
        <w:rPr>
          <w:rStyle w:val="FontStyle37"/>
        </w:rPr>
        <w:t xml:space="preserve"> </w:t>
      </w:r>
      <w:r>
        <w:rPr>
          <w:rStyle w:val="FontStyle37"/>
        </w:rPr>
        <w:t>situaţia</w:t>
      </w:r>
      <w:r>
        <w:rPr>
          <w:rStyle w:val="FontStyle37"/>
        </w:rPr>
        <w:t xml:space="preserve"> </w:t>
      </w:r>
      <w:r>
        <w:rPr>
          <w:rStyle w:val="FontStyle37"/>
        </w:rPr>
        <w:t>economico</w:t>
      </w:r>
      <w:r>
        <w:rPr>
          <w:rStyle w:val="FontStyle37"/>
        </w:rPr>
        <w:t xml:space="preserve">-financiara a întreprinderii, însă simpla invocare a unei </w:t>
      </w:r>
      <w:r>
        <w:rPr>
          <w:rStyle w:val="FontStyle37"/>
        </w:rPr>
        <w:t>situaţii</w:t>
      </w:r>
      <w:r>
        <w:rPr>
          <w:rStyle w:val="FontStyle37"/>
        </w:rPr>
        <w:t xml:space="preserve"> mai </w:t>
      </w:r>
      <w:r>
        <w:rPr>
          <w:rStyle w:val="FontStyle37"/>
        </w:rPr>
        <w:t>puţin</w:t>
      </w:r>
      <w:r>
        <w:rPr>
          <w:rStyle w:val="FontStyle37"/>
        </w:rPr>
        <w:t xml:space="preserve"> favorabile nu justifică o suspendare a </w:t>
      </w:r>
      <w:r>
        <w:rPr>
          <w:rStyle w:val="FontStyle37"/>
        </w:rPr>
        <w:t>plăţii</w:t>
      </w:r>
      <w:r>
        <w:rPr>
          <w:rStyle w:val="FontStyle37"/>
        </w:rPr>
        <w:t xml:space="preserve"> amenzii.</w:t>
      </w:r>
    </w:p>
    <w:p w:rsidR="00565124" w:rsidP="00565124" w14:paraId="7B4594D1" w14:textId="77777777">
      <w:pPr>
        <w:pStyle w:val="Style25"/>
        <w:widowControl/>
        <w:spacing w:line="240" w:lineRule="auto"/>
        <w:ind w:firstLine="993"/>
        <w:rPr>
          <w:rStyle w:val="Emphasis"/>
        </w:rPr>
      </w:pPr>
      <w:r>
        <w:rPr>
          <w:rStyle w:val="FontStyle37"/>
        </w:rPr>
        <w:t xml:space="preserve">Or, astfel cum a statuat </w:t>
      </w:r>
      <w:r>
        <w:rPr>
          <w:rStyle w:val="FontStyle37"/>
        </w:rPr>
        <w:t>şi</w:t>
      </w:r>
      <w:r>
        <w:rPr>
          <w:rStyle w:val="FontStyle37"/>
        </w:rPr>
        <w:t xml:space="preserve"> Curtea de Apel ............. prin </w:t>
      </w:r>
      <w:r>
        <w:rPr>
          <w:rStyle w:val="FontStyle37"/>
        </w:rPr>
        <w:t>Sentinţa</w:t>
      </w:r>
      <w:r>
        <w:rPr>
          <w:rStyle w:val="FontStyle37"/>
        </w:rPr>
        <w:t xml:space="preserve"> nr. ........./01.07.2014, în </w:t>
      </w:r>
      <w:r>
        <w:rPr>
          <w:rStyle w:val="FontStyle37"/>
        </w:rPr>
        <w:t>situaţia</w:t>
      </w:r>
      <w:r>
        <w:rPr>
          <w:rStyle w:val="FontStyle37"/>
        </w:rPr>
        <w:t xml:space="preserve"> în care amenda a fost aplicată în limitele legale, </w:t>
      </w:r>
      <w:r>
        <w:rPr>
          <w:rStyle w:val="FontStyle39"/>
        </w:rPr>
        <w:t>„</w:t>
      </w:r>
      <w:r>
        <w:rPr>
          <w:rStyle w:val="Emphasis"/>
        </w:rPr>
        <w:t xml:space="preserve">nu se poate aprecia ca executarea amenzii ar fi de natură să provoace reclamantei un prejudiciu în sensul art. 2 </w:t>
      </w:r>
      <w:r>
        <w:rPr>
          <w:rStyle w:val="Emphasis"/>
        </w:rPr>
        <w:t>lit.ş</w:t>
      </w:r>
      <w:r>
        <w:rPr>
          <w:rStyle w:val="Emphasis"/>
        </w:rPr>
        <w:t xml:space="preserve">) din Legea contenciosului administrativ. Este adevărat că executarea </w:t>
      </w:r>
      <w:r>
        <w:rPr>
          <w:rStyle w:val="Emphasis"/>
        </w:rPr>
        <w:t>sancţiunii</w:t>
      </w:r>
      <w:r>
        <w:rPr>
          <w:rStyle w:val="Emphasis"/>
        </w:rPr>
        <w:t xml:space="preserve"> are ca efect diminuarea patrimoniului reclamantei, însă Curtea observă că tocmai acesta este expresia caracterului punitiv al unei </w:t>
      </w:r>
      <w:r>
        <w:rPr>
          <w:rStyle w:val="Emphasis"/>
        </w:rPr>
        <w:t>sancţiuni</w:t>
      </w:r>
      <w:r>
        <w:rPr>
          <w:rStyle w:val="Emphasis"/>
        </w:rPr>
        <w:t xml:space="preserve">. Pentru ca acest efect negativ să constituie paguba iminentă în sensul legii, este necesar să fie îndeplinită </w:t>
      </w:r>
      <w:r>
        <w:rPr>
          <w:rStyle w:val="Emphasis"/>
        </w:rPr>
        <w:t>şi</w:t>
      </w:r>
      <w:r>
        <w:rPr>
          <w:rStyle w:val="Emphasis"/>
        </w:rPr>
        <w:t xml:space="preserve"> cealaltă </w:t>
      </w:r>
      <w:r>
        <w:rPr>
          <w:rStyle w:val="Emphasis"/>
        </w:rPr>
        <w:t>condiţie</w:t>
      </w:r>
      <w:r>
        <w:rPr>
          <w:rStyle w:val="Emphasis"/>
        </w:rPr>
        <w:t>, a cazului bine justificat [...]."</w:t>
      </w:r>
    </w:p>
    <w:p w:rsidR="00565124" w:rsidP="00565124" w14:paraId="376B1DFF" w14:textId="77777777">
      <w:pPr>
        <w:pStyle w:val="Style13"/>
        <w:widowControl/>
        <w:spacing w:line="240" w:lineRule="auto"/>
        <w:ind w:firstLine="993"/>
        <w:rPr>
          <w:rStyle w:val="Emphasis"/>
        </w:rPr>
      </w:pPr>
      <w:r>
        <w:rPr>
          <w:rStyle w:val="FontStyle37"/>
        </w:rPr>
        <w:t xml:space="preserve">Mai mult decât atât, în acord cu cele </w:t>
      </w:r>
      <w:r>
        <w:rPr>
          <w:rStyle w:val="FontStyle37"/>
        </w:rPr>
        <w:t>reţinute</w:t>
      </w:r>
      <w:r>
        <w:rPr>
          <w:rStyle w:val="FontStyle37"/>
        </w:rPr>
        <w:t xml:space="preserve"> de către </w:t>
      </w:r>
      <w:r>
        <w:rPr>
          <w:rStyle w:val="FontStyle37"/>
        </w:rPr>
        <w:t>aceeaşi</w:t>
      </w:r>
      <w:r>
        <w:rPr>
          <w:rStyle w:val="FontStyle37"/>
        </w:rPr>
        <w:t xml:space="preserve"> </w:t>
      </w:r>
      <w:r>
        <w:rPr>
          <w:rStyle w:val="FontStyle37"/>
        </w:rPr>
        <w:t>instanţă</w:t>
      </w:r>
      <w:r>
        <w:rPr>
          <w:rStyle w:val="FontStyle37"/>
        </w:rPr>
        <w:t xml:space="preserve"> prin </w:t>
      </w:r>
      <w:r>
        <w:rPr>
          <w:rStyle w:val="FontStyle37"/>
        </w:rPr>
        <w:t>sentinţa</w:t>
      </w:r>
      <w:r>
        <w:rPr>
          <w:rStyle w:val="FontStyle37"/>
        </w:rPr>
        <w:t xml:space="preserve"> nr. ......../01.07.2014, în </w:t>
      </w:r>
      <w:r>
        <w:rPr>
          <w:rStyle w:val="FontStyle37"/>
        </w:rPr>
        <w:t>situaţia</w:t>
      </w:r>
      <w:r>
        <w:rPr>
          <w:rStyle w:val="FontStyle37"/>
        </w:rPr>
        <w:t xml:space="preserve"> în care amenda a fost aplicată în limitele legale, </w:t>
      </w:r>
      <w:r>
        <w:rPr>
          <w:rStyle w:val="FontStyle39"/>
        </w:rPr>
        <w:t>„</w:t>
      </w:r>
      <w:r>
        <w:rPr>
          <w:rStyle w:val="Emphasis"/>
        </w:rPr>
        <w:t xml:space="preserve">nu se poate aprecia ca executarea amenzii ar fi de natură să provoace reclamantei un prejudiciu în sensul art. 2 lit. </w:t>
      </w:r>
      <w:r>
        <w:rPr>
          <w:rStyle w:val="Emphasis"/>
        </w:rPr>
        <w:t>ş</w:t>
      </w:r>
      <w:r>
        <w:rPr>
          <w:rStyle w:val="Emphasis"/>
        </w:rPr>
        <w:t xml:space="preserve">) din Legea contenciosului administrativ. Este adevărat că executarea </w:t>
      </w:r>
      <w:r>
        <w:rPr>
          <w:rStyle w:val="Emphasis"/>
        </w:rPr>
        <w:t>sancţiunii</w:t>
      </w:r>
      <w:r>
        <w:rPr>
          <w:rStyle w:val="Emphasis"/>
        </w:rPr>
        <w:t xml:space="preserve"> are ca efect diminuarea patrimoniului reclamantei, însă Curtea observă că tocmai acesta este expresia caracterului punitiv al unei </w:t>
      </w:r>
      <w:r>
        <w:rPr>
          <w:rStyle w:val="Emphasis"/>
        </w:rPr>
        <w:t>sancţiuni</w:t>
      </w:r>
      <w:r>
        <w:rPr>
          <w:rStyle w:val="Emphasis"/>
        </w:rPr>
        <w:t xml:space="preserve">. Pentru ca acest efect negativ să constituie paguba iminentă în sensul legii, este necesar să fie îndeplinită </w:t>
      </w:r>
      <w:r>
        <w:rPr>
          <w:rStyle w:val="Emphasis"/>
        </w:rPr>
        <w:t>şi</w:t>
      </w:r>
      <w:r>
        <w:rPr>
          <w:rStyle w:val="Emphasis"/>
        </w:rPr>
        <w:t xml:space="preserve"> cealaltă </w:t>
      </w:r>
      <w:r>
        <w:rPr>
          <w:rStyle w:val="Emphasis"/>
        </w:rPr>
        <w:t>condiţie</w:t>
      </w:r>
      <w:r>
        <w:rPr>
          <w:rStyle w:val="Emphasis"/>
        </w:rPr>
        <w:t>, a cazului bine justificat [...]."</w:t>
      </w:r>
    </w:p>
    <w:p w:rsidR="00565124" w:rsidP="00565124" w14:paraId="236A9415" w14:textId="77777777">
      <w:pPr>
        <w:pStyle w:val="Style10"/>
        <w:widowControl/>
        <w:spacing w:line="240" w:lineRule="auto"/>
        <w:ind w:firstLine="993"/>
        <w:rPr>
          <w:rStyle w:val="FontStyle37"/>
        </w:rPr>
      </w:pPr>
      <w:r>
        <w:t xml:space="preserve">Mai mult decât atât, în acord cu cele </w:t>
      </w:r>
      <w:r>
        <w:t>reţinute</w:t>
      </w:r>
      <w:r>
        <w:t xml:space="preserve"> de către </w:t>
      </w:r>
      <w:r>
        <w:t>aceeaşi</w:t>
      </w:r>
      <w:r>
        <w:t xml:space="preserve"> </w:t>
      </w:r>
      <w:r>
        <w:t>instanţă</w:t>
      </w:r>
      <w:r>
        <w:t xml:space="preserve"> prin </w:t>
      </w:r>
      <w:r>
        <w:t>sentinţa</w:t>
      </w:r>
      <w:r>
        <w:t xml:space="preserve"> nr. .........../30.06.2022, (…)</w:t>
      </w:r>
      <w:r>
        <w:rPr>
          <w:rStyle w:val="Emphasis"/>
        </w:rPr>
        <w:t>situaţia</w:t>
      </w:r>
      <w:r>
        <w:rPr>
          <w:rStyle w:val="Emphasis"/>
        </w:rPr>
        <w:t xml:space="preserve"> din prezent a reclamantei nu are </w:t>
      </w:r>
      <w:r>
        <w:rPr>
          <w:rStyle w:val="Emphasis"/>
        </w:rPr>
        <w:t>relevanţă</w:t>
      </w:r>
      <w:r>
        <w:rPr>
          <w:rStyle w:val="Emphasis"/>
        </w:rPr>
        <w:t xml:space="preserve"> câtă vreme amenda s-a aplicat la venituri care deja existau în patrimoniul reclamantei în anul 2021, fiind în responsabilitatea sa modul în care gestionează veniturile respective pentru asigurarea </w:t>
      </w:r>
      <w:r>
        <w:rPr>
          <w:rStyle w:val="Emphasis"/>
        </w:rPr>
        <w:t>plăţii</w:t>
      </w:r>
      <w:r>
        <w:rPr>
          <w:rStyle w:val="Emphasis"/>
        </w:rPr>
        <w:t xml:space="preserve"> amenzii, lipsa de diligentă neputând fi invocată în beneficiul său."</w:t>
      </w:r>
      <w:r>
        <w:rPr>
          <w:rStyle w:val="FontStyle39"/>
        </w:rPr>
        <w:t xml:space="preserve"> </w:t>
      </w:r>
      <w:r>
        <w:rPr>
          <w:rStyle w:val="FontStyle37"/>
        </w:rPr>
        <w:t xml:space="preserve">Lipsa de diligentă a </w:t>
      </w:r>
      <w:r>
        <w:rPr>
          <w:rStyle w:val="FontStyle37"/>
        </w:rPr>
        <w:t>reclamanteieste</w:t>
      </w:r>
      <w:r>
        <w:rPr>
          <w:rStyle w:val="FontStyle37"/>
        </w:rPr>
        <w:t xml:space="preserve"> cu atât mai evidentă în contextul în care, </w:t>
      </w:r>
      <w:r>
        <w:rPr>
          <w:rStyle w:val="FontStyle37"/>
        </w:rPr>
        <w:t>aşa</w:t>
      </w:r>
      <w:r>
        <w:rPr>
          <w:rStyle w:val="FontStyle37"/>
        </w:rPr>
        <w:t xml:space="preserve"> cum subliniam </w:t>
      </w:r>
      <w:r>
        <w:rPr>
          <w:rStyle w:val="Emphasis"/>
        </w:rPr>
        <w:t>supra,</w:t>
      </w:r>
      <w:r>
        <w:rPr>
          <w:rStyle w:val="FontStyle39"/>
        </w:rPr>
        <w:t xml:space="preserve"> </w:t>
      </w:r>
      <w:r>
        <w:rPr>
          <w:rStyle w:val="FontStyle37"/>
        </w:rPr>
        <w:t xml:space="preserve">aceasta nu a constituit provizioane, </w:t>
      </w:r>
      <w:r>
        <w:rPr>
          <w:rStyle w:val="FontStyle37"/>
        </w:rPr>
        <w:t>deşi</w:t>
      </w:r>
      <w:r>
        <w:rPr>
          <w:rStyle w:val="FontStyle37"/>
        </w:rPr>
        <w:t xml:space="preserve"> </w:t>
      </w:r>
      <w:r>
        <w:rPr>
          <w:rStyle w:val="FontStyle37"/>
        </w:rPr>
        <w:t>cunoştea</w:t>
      </w:r>
      <w:r>
        <w:rPr>
          <w:rStyle w:val="FontStyle37"/>
        </w:rPr>
        <w:t xml:space="preserve"> că este investigată de autoritatea de </w:t>
      </w:r>
      <w:r>
        <w:rPr>
          <w:rStyle w:val="FontStyle37"/>
        </w:rPr>
        <w:t>concurenţă</w:t>
      </w:r>
      <w:r>
        <w:rPr>
          <w:rStyle w:val="FontStyle37"/>
        </w:rPr>
        <w:t xml:space="preserve"> </w:t>
      </w:r>
      <w:r>
        <w:rPr>
          <w:rStyle w:val="FontStyle37"/>
        </w:rPr>
        <w:t>şi</w:t>
      </w:r>
      <w:r>
        <w:rPr>
          <w:rStyle w:val="FontStyle37"/>
        </w:rPr>
        <w:t xml:space="preserve"> este pasibilă de amendă.</w:t>
      </w:r>
    </w:p>
    <w:p w:rsidR="00565124" w:rsidP="00565124" w14:paraId="4ABFB84E" w14:textId="77777777">
      <w:pPr>
        <w:pStyle w:val="Style13"/>
        <w:widowControl/>
        <w:spacing w:line="240" w:lineRule="auto"/>
        <w:ind w:firstLine="993"/>
        <w:rPr>
          <w:rStyle w:val="FontStyle37"/>
        </w:rPr>
      </w:pPr>
      <w:r>
        <w:rPr>
          <w:rStyle w:val="FontStyle37"/>
        </w:rPr>
        <w:t>Aprecierea în concret a no</w:t>
      </w:r>
      <w:r>
        <w:rPr>
          <w:rStyle w:val="FontStyle37"/>
          <w:rFonts w:ascii="Arial Narrow" w:hAnsi="Arial Narrow"/>
        </w:rPr>
        <w:t>ț</w:t>
      </w:r>
      <w:r>
        <w:rPr>
          <w:rStyle w:val="FontStyle37"/>
        </w:rPr>
        <w:t>iunii de pagubă iminentă:</w:t>
      </w:r>
    </w:p>
    <w:p w:rsidR="00565124" w:rsidP="00565124" w14:paraId="380E5789" w14:textId="77777777">
      <w:pPr>
        <w:pStyle w:val="Style13"/>
        <w:widowControl/>
        <w:spacing w:line="240" w:lineRule="auto"/>
        <w:ind w:firstLine="993"/>
        <w:rPr>
          <w:rStyle w:val="FontStyle37"/>
        </w:rPr>
      </w:pPr>
      <w:r>
        <w:rPr>
          <w:rStyle w:val="FontStyle37"/>
        </w:rPr>
        <w:t>Noţiunea</w:t>
      </w:r>
      <w:r>
        <w:rPr>
          <w:rStyle w:val="FontStyle37"/>
        </w:rPr>
        <w:t xml:space="preserve"> de </w:t>
      </w:r>
      <w:r>
        <w:rPr>
          <w:rStyle w:val="FontStyle39"/>
        </w:rPr>
        <w:t>„</w:t>
      </w:r>
      <w:r>
        <w:rPr>
          <w:rStyle w:val="Emphasis"/>
        </w:rPr>
        <w:t>pagubă iminentă</w:t>
      </w:r>
      <w:r>
        <w:rPr>
          <w:rStyle w:val="FontStyle39"/>
        </w:rPr>
        <w:t xml:space="preserve">" </w:t>
      </w:r>
      <w:r>
        <w:rPr>
          <w:rStyle w:val="FontStyle37"/>
        </w:rPr>
        <w:t xml:space="preserve">nu este o </w:t>
      </w:r>
      <w:r>
        <w:rPr>
          <w:rStyle w:val="FontStyle37"/>
        </w:rPr>
        <w:t>noţiune</w:t>
      </w:r>
      <w:r>
        <w:rPr>
          <w:rStyle w:val="FontStyle37"/>
        </w:rPr>
        <w:t xml:space="preserve"> obiectivă, ci trebuie definită prin directă raportare la capacitatea financiară a întreprinderii, acesta fiind </w:t>
      </w:r>
      <w:r>
        <w:rPr>
          <w:rStyle w:val="FontStyle37"/>
        </w:rPr>
        <w:t>şi</w:t>
      </w:r>
      <w:r>
        <w:rPr>
          <w:rStyle w:val="FontStyle37"/>
        </w:rPr>
        <w:t xml:space="preserve"> spiritul </w:t>
      </w:r>
      <w:r>
        <w:rPr>
          <w:rStyle w:val="FontStyle37"/>
        </w:rPr>
        <w:t>dispoziţiilor</w:t>
      </w:r>
      <w:r>
        <w:rPr>
          <w:rStyle w:val="FontStyle37"/>
        </w:rPr>
        <w:t xml:space="preserve"> legale. Având în vedere faptul că suspendarea actului administrativ reprezintă o </w:t>
      </w:r>
      <w:r>
        <w:rPr>
          <w:rStyle w:val="FontStyle37"/>
        </w:rPr>
        <w:t>situaţie</w:t>
      </w:r>
      <w:r>
        <w:rPr>
          <w:rStyle w:val="FontStyle37"/>
        </w:rPr>
        <w:t xml:space="preserve"> de </w:t>
      </w:r>
      <w:r>
        <w:rPr>
          <w:rStyle w:val="FontStyle37"/>
        </w:rPr>
        <w:t>excepţie</w:t>
      </w:r>
      <w:r>
        <w:rPr>
          <w:rStyle w:val="FontStyle37"/>
        </w:rPr>
        <w:t xml:space="preserve">, este necesar ca întreprinderea să furnizeze dovezi concludente cu privire la </w:t>
      </w:r>
      <w:r>
        <w:rPr>
          <w:rStyle w:val="FontStyle37"/>
        </w:rPr>
        <w:t xml:space="preserve">capacitatea financiară reală, si, de asemenea, la impactul real pe care achitarea amenzii, în cuantumul stabilit, îl va avea asupra </w:t>
      </w:r>
      <w:r>
        <w:rPr>
          <w:rStyle w:val="FontStyle37"/>
        </w:rPr>
        <w:t>activităţii</w:t>
      </w:r>
      <w:r>
        <w:rPr>
          <w:rStyle w:val="FontStyle37"/>
        </w:rPr>
        <w:t xml:space="preserve"> sale.</w:t>
      </w:r>
    </w:p>
    <w:p w:rsidR="00565124" w:rsidP="00565124" w14:paraId="1940FC63" w14:textId="77777777">
      <w:pPr>
        <w:pStyle w:val="Style13"/>
        <w:widowControl/>
        <w:spacing w:line="240" w:lineRule="auto"/>
        <w:ind w:firstLine="993"/>
        <w:rPr>
          <w:rStyle w:val="FontStyle37"/>
        </w:rPr>
      </w:pPr>
      <w:r>
        <w:rPr>
          <w:rStyle w:val="FontStyle37"/>
        </w:rPr>
        <w:t xml:space="preserve">Sub acest aspect trebuie avut în vedere faptul că, în mod evident, plata oricărei amenzi reprezintă o diminuare a resurselor financiare, însă, pentru a proba </w:t>
      </w:r>
      <w:r>
        <w:rPr>
          <w:rStyle w:val="FontStyle37"/>
        </w:rPr>
        <w:t>existenţa</w:t>
      </w:r>
      <w:r>
        <w:rPr>
          <w:rStyle w:val="FontStyle37"/>
        </w:rPr>
        <w:t xml:space="preserve"> pagubei, este necesară o analiză a </w:t>
      </w:r>
      <w:r>
        <w:rPr>
          <w:rStyle w:val="FontStyle37"/>
        </w:rPr>
        <w:t>situaţiilor</w:t>
      </w:r>
      <w:r>
        <w:rPr>
          <w:rStyle w:val="FontStyle37"/>
        </w:rPr>
        <w:t xml:space="preserve"> financiare ale </w:t>
      </w:r>
      <w:r>
        <w:rPr>
          <w:rStyle w:val="FontStyle37"/>
        </w:rPr>
        <w:t>societăţii</w:t>
      </w:r>
      <w:r>
        <w:rPr>
          <w:rStyle w:val="FontStyle37"/>
        </w:rPr>
        <w:t xml:space="preserve"> care să conducă la concluzia unei afectări reale a </w:t>
      </w:r>
      <w:r>
        <w:rPr>
          <w:rStyle w:val="FontStyle37"/>
        </w:rPr>
        <w:t>activităţii</w:t>
      </w:r>
      <w:r>
        <w:rPr>
          <w:rStyle w:val="FontStyle37"/>
        </w:rPr>
        <w:t xml:space="preserve"> economice a întreprinderii, cauzate de plata amenzii, astfel încât să poată fi justificată o </w:t>
      </w:r>
      <w:r>
        <w:rPr>
          <w:rStyle w:val="Emphasis"/>
        </w:rPr>
        <w:t xml:space="preserve">măsură </w:t>
      </w:r>
      <w:r>
        <w:rPr>
          <w:rStyle w:val="Emphasis"/>
        </w:rPr>
        <w:t>excepţională</w:t>
      </w:r>
      <w:r>
        <w:rPr>
          <w:rStyle w:val="FontStyle39"/>
        </w:rPr>
        <w:t xml:space="preserve">, </w:t>
      </w:r>
      <w:r>
        <w:rPr>
          <w:rStyle w:val="FontStyle37"/>
        </w:rPr>
        <w:t>precum cea a suspendării executării unui act administrativ.</w:t>
      </w:r>
    </w:p>
    <w:p w:rsidR="00565124" w:rsidP="00565124" w14:paraId="6D1F1EBB" w14:textId="77777777">
      <w:pPr>
        <w:pStyle w:val="Style13"/>
        <w:widowControl/>
        <w:spacing w:line="240" w:lineRule="auto"/>
        <w:ind w:firstLine="993"/>
        <w:rPr>
          <w:rStyle w:val="FontStyle37"/>
        </w:rPr>
      </w:pPr>
      <w:r>
        <w:rPr>
          <w:rStyle w:val="FontStyle37"/>
        </w:rPr>
        <w:t xml:space="preserve">Ca atare, simpla invocare a unei </w:t>
      </w:r>
      <w:r>
        <w:rPr>
          <w:rStyle w:val="FontStyle37"/>
        </w:rPr>
        <w:t>situaţii</w:t>
      </w:r>
      <w:r>
        <w:rPr>
          <w:rStyle w:val="FontStyle37"/>
        </w:rPr>
        <w:t xml:space="preserve"> mai </w:t>
      </w:r>
      <w:r>
        <w:rPr>
          <w:rStyle w:val="FontStyle37"/>
        </w:rPr>
        <w:t>puţin</w:t>
      </w:r>
      <w:r>
        <w:rPr>
          <w:rStyle w:val="FontStyle37"/>
        </w:rPr>
        <w:t xml:space="preserve"> favorabile nu justifică o suspendare a </w:t>
      </w:r>
      <w:r>
        <w:rPr>
          <w:rStyle w:val="FontStyle37"/>
        </w:rPr>
        <w:t>plăţii</w:t>
      </w:r>
      <w:r>
        <w:rPr>
          <w:rStyle w:val="FontStyle37"/>
        </w:rPr>
        <w:t xml:space="preserve"> amenzii. Pentru orice amendă aplicată unui contravenient, este evident </w:t>
      </w:r>
      <w:r>
        <w:rPr>
          <w:rStyle w:val="FontStyle37"/>
        </w:rPr>
        <w:t>şi</w:t>
      </w:r>
      <w:r>
        <w:rPr>
          <w:rStyle w:val="FontStyle37"/>
        </w:rPr>
        <w:t xml:space="preserve"> implicit faptul că aceasta va avea efecte negative, tocmai aceste efecte fiind cele care generează </w:t>
      </w:r>
      <w:r>
        <w:rPr>
          <w:rStyle w:val="FontStyle37"/>
        </w:rPr>
        <w:t>şi</w:t>
      </w:r>
      <w:r>
        <w:rPr>
          <w:rStyle w:val="FontStyle37"/>
        </w:rPr>
        <w:t xml:space="preserve"> </w:t>
      </w:r>
      <w:r>
        <w:rPr>
          <w:rStyle w:val="FontStyle37"/>
        </w:rPr>
        <w:t>susţin</w:t>
      </w:r>
      <w:r>
        <w:rPr>
          <w:rStyle w:val="FontStyle37"/>
        </w:rPr>
        <w:t xml:space="preserve"> caracterul preventiv </w:t>
      </w:r>
      <w:r>
        <w:rPr>
          <w:rStyle w:val="FontStyle37"/>
        </w:rPr>
        <w:t>şi</w:t>
      </w:r>
      <w:r>
        <w:rPr>
          <w:rStyle w:val="FontStyle37"/>
        </w:rPr>
        <w:t xml:space="preserve"> corectiv al </w:t>
      </w:r>
      <w:r>
        <w:rPr>
          <w:rStyle w:val="FontStyle37"/>
        </w:rPr>
        <w:t>sancţiunii</w:t>
      </w:r>
      <w:r>
        <w:rPr>
          <w:rStyle w:val="FontStyle37"/>
        </w:rPr>
        <w:t>.</w:t>
      </w:r>
    </w:p>
    <w:p w:rsidR="00565124" w:rsidP="00565124" w14:paraId="5DEAD1AF" w14:textId="77777777">
      <w:pPr>
        <w:pStyle w:val="Style10"/>
        <w:widowControl/>
        <w:spacing w:line="240" w:lineRule="auto"/>
        <w:ind w:firstLine="993"/>
        <w:rPr>
          <w:rStyle w:val="FontStyle37"/>
        </w:rPr>
      </w:pPr>
      <w:r>
        <w:rPr>
          <w:rStyle w:val="FontStyle37"/>
        </w:rPr>
        <w:t xml:space="preserve">Pentru a solicita suspendarea aplicării deciziei Consiliului </w:t>
      </w:r>
      <w:r>
        <w:rPr>
          <w:rStyle w:val="FontStyle37"/>
        </w:rPr>
        <w:t>Concurenţei</w:t>
      </w:r>
      <w:r>
        <w:rPr>
          <w:rStyle w:val="FontStyle37"/>
        </w:rPr>
        <w:t xml:space="preserve">, reclamanta ar trebui să prezinte o analiză obiectivă complexă </w:t>
      </w:r>
      <w:r>
        <w:rPr>
          <w:rStyle w:val="FontStyle37"/>
        </w:rPr>
        <w:t>şi</w:t>
      </w:r>
      <w:r>
        <w:rPr>
          <w:rStyle w:val="FontStyle37"/>
        </w:rPr>
        <w:t xml:space="preserve"> completă privind </w:t>
      </w:r>
      <w:r>
        <w:rPr>
          <w:rStyle w:val="FontStyle37"/>
        </w:rPr>
        <w:t>situaţia</w:t>
      </w:r>
      <w:r>
        <w:rPr>
          <w:rStyle w:val="FontStyle37"/>
        </w:rPr>
        <w:t xml:space="preserve"> sa de ansamblu, precum </w:t>
      </w:r>
      <w:r>
        <w:rPr>
          <w:rStyle w:val="FontStyle37"/>
        </w:rPr>
        <w:t>şi</w:t>
      </w:r>
      <w:r>
        <w:rPr>
          <w:rStyle w:val="FontStyle37"/>
        </w:rPr>
        <w:t xml:space="preserve"> impactul real al amenzii asupra acestei </w:t>
      </w:r>
      <w:r>
        <w:rPr>
          <w:rStyle w:val="FontStyle37"/>
        </w:rPr>
        <w:t>situaţii</w:t>
      </w:r>
      <w:r>
        <w:rPr>
          <w:rStyle w:val="FontStyle37"/>
        </w:rPr>
        <w:t xml:space="preserve">. O astfel de suspendare se acordă în cazuri pur </w:t>
      </w:r>
      <w:r>
        <w:rPr>
          <w:rStyle w:val="FontStyle37"/>
        </w:rPr>
        <w:t>excepţionale</w:t>
      </w:r>
      <w:r>
        <w:rPr>
          <w:rStyle w:val="FontStyle37"/>
        </w:rPr>
        <w:t xml:space="preserve"> </w:t>
      </w:r>
      <w:r>
        <w:rPr>
          <w:rStyle w:val="FontStyle37"/>
        </w:rPr>
        <w:t>şi</w:t>
      </w:r>
      <w:r>
        <w:rPr>
          <w:rStyle w:val="FontStyle37"/>
        </w:rPr>
        <w:t xml:space="preserve"> necesită o </w:t>
      </w:r>
      <w:r>
        <w:rPr>
          <w:rStyle w:val="FontStyle37"/>
        </w:rPr>
        <w:t>demonstraţie</w:t>
      </w:r>
      <w:r>
        <w:rPr>
          <w:rStyle w:val="FontStyle37"/>
        </w:rPr>
        <w:t xml:space="preserve"> temeinică (dincolo de orice dubiu), care să </w:t>
      </w:r>
      <w:r>
        <w:rPr>
          <w:rStyle w:val="FontStyle37"/>
        </w:rPr>
        <w:t>conţină</w:t>
      </w:r>
      <w:r>
        <w:rPr>
          <w:rStyle w:val="FontStyle37"/>
        </w:rPr>
        <w:t xml:space="preserve"> argumente solide potrivit cărora executarea amenzii în sine este cea care va pune în pericol </w:t>
      </w:r>
      <w:r>
        <w:rPr>
          <w:rStyle w:val="FontStyle37"/>
        </w:rPr>
        <w:t>existenţa</w:t>
      </w:r>
      <w:r>
        <w:rPr>
          <w:rStyle w:val="FontStyle37"/>
        </w:rPr>
        <w:t xml:space="preserve"> companiei pe </w:t>
      </w:r>
      <w:r>
        <w:rPr>
          <w:rStyle w:val="FontStyle37"/>
        </w:rPr>
        <w:t>piaţă</w:t>
      </w:r>
      <w:r>
        <w:rPr>
          <w:rStyle w:val="FontStyle37"/>
        </w:rPr>
        <w:t>, ceea ce în cazul X  nu se aplică.</w:t>
      </w:r>
    </w:p>
    <w:p w:rsidR="00565124" w:rsidP="00565124" w14:paraId="147B1A31" w14:textId="77777777">
      <w:pPr>
        <w:pStyle w:val="Style10"/>
        <w:widowControl/>
        <w:spacing w:line="240" w:lineRule="auto"/>
        <w:ind w:firstLine="993"/>
        <w:rPr>
          <w:rStyle w:val="FontStyle37"/>
        </w:rPr>
      </w:pPr>
      <w:r>
        <w:rPr>
          <w:rStyle w:val="FontStyle37"/>
        </w:rPr>
        <w:t xml:space="preserve">Pentru a putea fi considerate îndeplinită </w:t>
      </w:r>
      <w:r>
        <w:rPr>
          <w:rStyle w:val="FontStyle37"/>
        </w:rPr>
        <w:t>condiţia</w:t>
      </w:r>
      <w:r>
        <w:rPr>
          <w:rStyle w:val="FontStyle37"/>
        </w:rPr>
        <w:t xml:space="preserve"> pagubei iminente, această analiză ar fi trebuit să demonstreze că amenda impusă de autoritatea de </w:t>
      </w:r>
      <w:r>
        <w:rPr>
          <w:rStyle w:val="FontStyle37"/>
        </w:rPr>
        <w:t>concurenţă</w:t>
      </w:r>
      <w:r>
        <w:rPr>
          <w:rStyle w:val="FontStyle37"/>
        </w:rPr>
        <w:t xml:space="preserve"> ar reprezenta factorul definitoriu care ar face iminentă </w:t>
      </w:r>
      <w:r>
        <w:rPr>
          <w:rStyle w:val="FontStyle37"/>
        </w:rPr>
        <w:t>ieşirea</w:t>
      </w:r>
      <w:r>
        <w:rPr>
          <w:rStyle w:val="FontStyle37"/>
        </w:rPr>
        <w:t xml:space="preserve"> de pe </w:t>
      </w:r>
      <w:r>
        <w:rPr>
          <w:rStyle w:val="FontStyle37"/>
        </w:rPr>
        <w:t>piaţă</w:t>
      </w:r>
      <w:r>
        <w:rPr>
          <w:rStyle w:val="FontStyle37"/>
        </w:rPr>
        <w:t xml:space="preserve"> a companiei.</w:t>
      </w:r>
    </w:p>
    <w:p w:rsidR="00565124" w:rsidP="00565124" w14:paraId="51A887B1" w14:textId="77777777">
      <w:pPr>
        <w:pStyle w:val="Style10"/>
        <w:widowControl/>
        <w:spacing w:line="240" w:lineRule="auto"/>
        <w:ind w:firstLine="993"/>
        <w:rPr>
          <w:rStyle w:val="FontStyle37"/>
        </w:rPr>
      </w:pPr>
      <w:r>
        <w:rPr>
          <w:rStyle w:val="FontStyle37"/>
        </w:rPr>
        <w:t xml:space="preserve">Prin urmare, a considerat că X SRL nu demonstrează prin documentele prezentate </w:t>
      </w:r>
      <w:r>
        <w:rPr>
          <w:rStyle w:val="FontStyle37"/>
        </w:rPr>
        <w:t>condiţia</w:t>
      </w:r>
      <w:r>
        <w:rPr>
          <w:rStyle w:val="FontStyle37"/>
        </w:rPr>
        <w:t xml:space="preserve"> pagubei iminente ca urmare a aplicării deciziei Consiliului </w:t>
      </w:r>
      <w:r>
        <w:rPr>
          <w:rStyle w:val="FontStyle37"/>
        </w:rPr>
        <w:t>Concurenţei</w:t>
      </w:r>
      <w:r>
        <w:rPr>
          <w:rStyle w:val="FontStyle37"/>
        </w:rPr>
        <w:t>.</w:t>
      </w:r>
    </w:p>
    <w:p w:rsidR="00565124" w:rsidP="00565124" w14:paraId="496A6C7D" w14:textId="77777777">
      <w:pPr>
        <w:pStyle w:val="Style10"/>
        <w:widowControl/>
        <w:spacing w:line="240" w:lineRule="auto"/>
        <w:ind w:firstLine="993"/>
        <w:rPr>
          <w:rStyle w:val="FontStyle37"/>
          <w:b/>
          <w:i/>
        </w:rPr>
      </w:pPr>
      <w:r>
        <w:rPr>
          <w:rStyle w:val="FontStyle37"/>
          <w:i/>
        </w:rPr>
        <w:t>3. Aspecte procesuale</w:t>
      </w:r>
    </w:p>
    <w:p w:rsidR="00565124" w:rsidP="00565124" w14:paraId="12D0D36D" w14:textId="77777777">
      <w:pPr>
        <w:pStyle w:val="Style10"/>
        <w:widowControl/>
        <w:spacing w:line="240" w:lineRule="auto"/>
        <w:ind w:firstLine="993"/>
        <w:rPr>
          <w:rStyle w:val="FontStyle37"/>
        </w:rPr>
      </w:pPr>
      <w:r>
        <w:rPr>
          <w:rStyle w:val="FontStyle37"/>
        </w:rPr>
        <w:t>În temeiul dispozi</w:t>
      </w:r>
      <w:r>
        <w:rPr>
          <w:rStyle w:val="FontStyle37"/>
          <w:rFonts w:ascii="Arial Narrow" w:hAnsi="Arial Narrow"/>
        </w:rPr>
        <w:t>ț</w:t>
      </w:r>
      <w:r>
        <w:rPr>
          <w:rStyle w:val="FontStyle37"/>
        </w:rPr>
        <w:t xml:space="preserve">iilor art. 258 rap. la art. 255 </w:t>
      </w:r>
      <w:r>
        <w:rPr>
          <w:rStyle w:val="FontStyle37"/>
        </w:rPr>
        <w:t>C.pr.civ</w:t>
      </w:r>
      <w:r>
        <w:rPr>
          <w:rStyle w:val="FontStyle37"/>
        </w:rPr>
        <w:t>., a fost încuviin</w:t>
      </w:r>
      <w:r>
        <w:rPr>
          <w:rStyle w:val="FontStyle37"/>
          <w:rFonts w:ascii="Arial Narrow" w:hAnsi="Arial Narrow"/>
        </w:rPr>
        <w:t>ț</w:t>
      </w:r>
      <w:r>
        <w:rPr>
          <w:rStyle w:val="FontStyle37"/>
        </w:rPr>
        <w:t xml:space="preserve">ată proba cu înscrisuri ca fiind pertinentă, concludentă </w:t>
      </w:r>
      <w:r>
        <w:rPr>
          <w:rStyle w:val="FontStyle37"/>
          <w:rFonts w:ascii="Arial Narrow" w:hAnsi="Arial Narrow"/>
        </w:rPr>
        <w:t>ș</w:t>
      </w:r>
      <w:r>
        <w:rPr>
          <w:rStyle w:val="FontStyle37"/>
        </w:rPr>
        <w:t>i utilă solu</w:t>
      </w:r>
      <w:r>
        <w:rPr>
          <w:rStyle w:val="FontStyle37"/>
          <w:rFonts w:ascii="Arial Narrow" w:hAnsi="Arial Narrow"/>
        </w:rPr>
        <w:t>ț</w:t>
      </w:r>
      <w:r>
        <w:rPr>
          <w:rStyle w:val="FontStyle37"/>
        </w:rPr>
        <w:t xml:space="preserve">ionării cauzei, respectiv cele depuse de partea reclamantă în format </w:t>
      </w:r>
      <w:r>
        <w:rPr>
          <w:rStyle w:val="FontStyle37"/>
        </w:rPr>
        <w:t>letric</w:t>
      </w:r>
      <w:r>
        <w:rPr>
          <w:rStyle w:val="FontStyle37"/>
        </w:rPr>
        <w:t xml:space="preserve"> </w:t>
      </w:r>
      <w:r>
        <w:rPr>
          <w:rStyle w:val="FontStyle37"/>
        </w:rPr>
        <w:t>şi</w:t>
      </w:r>
      <w:r>
        <w:rPr>
          <w:rStyle w:val="FontStyle37"/>
        </w:rPr>
        <w:t xml:space="preserve"> cele depuse de pârât pe suport electronic.</w:t>
      </w:r>
    </w:p>
    <w:p w:rsidR="00565124" w:rsidP="00565124" w14:paraId="704BB22B" w14:textId="77777777">
      <w:pPr>
        <w:pStyle w:val="Style10"/>
        <w:widowControl/>
        <w:spacing w:line="240" w:lineRule="auto"/>
        <w:ind w:firstLine="993"/>
        <w:rPr>
          <w:rStyle w:val="FontStyle37"/>
        </w:rPr>
      </w:pPr>
      <w:r>
        <w:rPr>
          <w:rStyle w:val="FontStyle37"/>
        </w:rPr>
        <w:t>La data de 22.05.2023, reclamanta a depus la dosar note scrise, prin care a combătut apărările păr</w:t>
      </w:r>
      <w:r>
        <w:rPr>
          <w:rStyle w:val="FontStyle37"/>
          <w:rFonts w:ascii="Arial Narrow" w:hAnsi="Arial Narrow"/>
        </w:rPr>
        <w:t>ț</w:t>
      </w:r>
      <w:r>
        <w:rPr>
          <w:rStyle w:val="FontStyle37"/>
        </w:rPr>
        <w:t xml:space="preserve">ii pârâte </w:t>
      </w:r>
      <w:r>
        <w:rPr>
          <w:rStyle w:val="FontStyle37"/>
          <w:rFonts w:ascii="Arial Narrow" w:hAnsi="Arial Narrow"/>
        </w:rPr>
        <w:t>ș</w:t>
      </w:r>
      <w:r>
        <w:rPr>
          <w:rStyle w:val="FontStyle37"/>
        </w:rPr>
        <w:t>i a reiterat solicitarea de admitere a cererii de suspendare astfel cum a fost formulată.</w:t>
      </w:r>
    </w:p>
    <w:p w:rsidRPr="00D920DE" w:rsidR="00565124" w:rsidP="00565124" w14:paraId="22FF16F5" w14:textId="77777777">
      <w:pPr>
        <w:ind w:firstLine="993"/>
        <w:jc w:val="both"/>
        <w:rPr>
          <w:b/>
          <w:i/>
          <w:u w:val="single"/>
        </w:rPr>
      </w:pPr>
      <w:r w:rsidRPr="00D920DE">
        <w:rPr>
          <w:b/>
          <w:i/>
          <w:u w:val="single"/>
        </w:rPr>
        <w:t>4. Analizând actele dosarului, Curtea va constata următoarele:</w:t>
      </w:r>
    </w:p>
    <w:p w:rsidRPr="00D920DE" w:rsidR="00565124" w:rsidP="00565124" w14:paraId="2F2067E2" w14:textId="77777777">
      <w:pPr>
        <w:pStyle w:val="Style11"/>
        <w:widowControl/>
        <w:tabs>
          <w:tab w:val="left" w:pos="278"/>
        </w:tabs>
        <w:spacing w:line="240" w:lineRule="auto"/>
        <w:ind w:firstLine="993"/>
        <w:rPr>
          <w:rStyle w:val="FontStyle37"/>
        </w:rPr>
      </w:pPr>
      <w:r w:rsidRPr="00D920DE">
        <w:rPr>
          <w:rStyle w:val="FontStyle37"/>
        </w:rPr>
        <w:t xml:space="preserve">4.1. În fapt, prin ordinul </w:t>
      </w:r>
      <w:r w:rsidRPr="00D920DE">
        <w:rPr>
          <w:rStyle w:val="FontStyle37"/>
        </w:rPr>
        <w:t>Preşedintelui</w:t>
      </w:r>
      <w:r w:rsidRPr="00D920DE">
        <w:rPr>
          <w:rStyle w:val="FontStyle37"/>
        </w:rPr>
        <w:t xml:space="preserve"> Consiliului </w:t>
      </w:r>
      <w:r w:rsidRPr="00D920DE">
        <w:rPr>
          <w:rStyle w:val="FontStyle37"/>
        </w:rPr>
        <w:t>Concurenţei</w:t>
      </w:r>
      <w:r w:rsidRPr="00D920DE">
        <w:rPr>
          <w:rStyle w:val="FontStyle37"/>
        </w:rPr>
        <w:t xml:space="preserve"> nr. 1298/22.10.2018 (depus la dosar pe suport optic – f. 94 vol. II), a fost </w:t>
      </w:r>
      <w:r w:rsidRPr="00D920DE">
        <w:rPr>
          <w:rStyle w:val="FontStyle37"/>
        </w:rPr>
        <w:t>declanşată</w:t>
      </w:r>
      <w:r w:rsidRPr="00D920DE">
        <w:rPr>
          <w:rStyle w:val="FontStyle37"/>
        </w:rPr>
        <w:t xml:space="preserve"> o </w:t>
      </w:r>
      <w:r w:rsidRPr="00D920DE">
        <w:rPr>
          <w:rStyle w:val="FontStyle37"/>
        </w:rPr>
        <w:t>investigaţie</w:t>
      </w:r>
      <w:r w:rsidRPr="00D920DE">
        <w:rPr>
          <w:rStyle w:val="FontStyle37"/>
        </w:rPr>
        <w:t xml:space="preserve"> având ca obiect posibila încălcare a prevederilor art. 5 alin. 1 din Legea </w:t>
      </w:r>
      <w:r w:rsidRPr="00D920DE">
        <w:rPr>
          <w:rStyle w:val="FontStyle37"/>
        </w:rPr>
        <w:t>concurenţei</w:t>
      </w:r>
      <w:r w:rsidRPr="00D920DE">
        <w:rPr>
          <w:rStyle w:val="FontStyle37"/>
        </w:rPr>
        <w:t xml:space="preserve"> nr. 21/1996 </w:t>
      </w:r>
      <w:r w:rsidRPr="00D920DE">
        <w:rPr>
          <w:rStyle w:val="FontStyle37"/>
        </w:rPr>
        <w:t>şi</w:t>
      </w:r>
      <w:r w:rsidRPr="00D920DE">
        <w:rPr>
          <w:rStyle w:val="FontStyle37"/>
        </w:rPr>
        <w:t xml:space="preserve"> a prevederilor art. 101 alin. 1 din TFUE, prin </w:t>
      </w:r>
      <w:r w:rsidRPr="00D920DE">
        <w:rPr>
          <w:rStyle w:val="FontStyle37"/>
        </w:rPr>
        <w:t>împărţirea</w:t>
      </w:r>
      <w:r w:rsidRPr="00D920DE">
        <w:rPr>
          <w:rStyle w:val="FontStyle37"/>
        </w:rPr>
        <w:t xml:space="preserve"> de </w:t>
      </w:r>
      <w:r w:rsidRPr="00D920DE">
        <w:rPr>
          <w:rStyle w:val="FontStyle37"/>
        </w:rPr>
        <w:t>pieţe</w:t>
      </w:r>
      <w:r w:rsidRPr="00D920DE">
        <w:rPr>
          <w:rStyle w:val="FontStyle37"/>
        </w:rPr>
        <w:t xml:space="preserve"> </w:t>
      </w:r>
      <w:r w:rsidRPr="00D920DE">
        <w:rPr>
          <w:rStyle w:val="FontStyle37"/>
        </w:rPr>
        <w:t>şi</w:t>
      </w:r>
      <w:r w:rsidRPr="00D920DE">
        <w:rPr>
          <w:rStyle w:val="FontStyle37"/>
        </w:rPr>
        <w:t xml:space="preserve"> alocare de </w:t>
      </w:r>
      <w:r w:rsidRPr="00D920DE">
        <w:rPr>
          <w:rStyle w:val="FontStyle37"/>
        </w:rPr>
        <w:t>clienţi</w:t>
      </w:r>
      <w:r w:rsidRPr="00D920DE">
        <w:rPr>
          <w:rStyle w:val="FontStyle37"/>
        </w:rPr>
        <w:t xml:space="preserve">, de către Z  SRL, A SRL, T SRL </w:t>
      </w:r>
      <w:r w:rsidRPr="00D920DE">
        <w:rPr>
          <w:rStyle w:val="FontStyle37"/>
        </w:rPr>
        <w:t>şi</w:t>
      </w:r>
      <w:r w:rsidRPr="00D920DE">
        <w:rPr>
          <w:rStyle w:val="FontStyle37"/>
        </w:rPr>
        <w:t xml:space="preserve"> &amp; SRL, pe </w:t>
      </w:r>
      <w:r w:rsidRPr="00D920DE">
        <w:rPr>
          <w:rStyle w:val="FontStyle37"/>
        </w:rPr>
        <w:t>piaţa</w:t>
      </w:r>
      <w:r w:rsidRPr="00D920DE">
        <w:rPr>
          <w:rStyle w:val="FontStyle37"/>
        </w:rPr>
        <w:t xml:space="preserve"> comercializării de produse </w:t>
      </w:r>
      <w:r w:rsidRPr="00D920DE">
        <w:rPr>
          <w:rStyle w:val="FontStyle37"/>
        </w:rPr>
        <w:t>şi</w:t>
      </w:r>
      <w:r w:rsidRPr="00D920DE">
        <w:rPr>
          <w:rStyle w:val="FontStyle37"/>
        </w:rPr>
        <w:t xml:space="preserve"> echipamente din domeniul </w:t>
      </w:r>
      <w:r w:rsidRPr="00D920DE">
        <w:rPr>
          <w:rStyle w:val="FontStyle37"/>
        </w:rPr>
        <w:t>sănătăţii</w:t>
      </w:r>
      <w:r w:rsidRPr="00D920DE">
        <w:rPr>
          <w:rStyle w:val="FontStyle37"/>
        </w:rPr>
        <w:t xml:space="preserve"> </w:t>
      </w:r>
      <w:r w:rsidRPr="00D920DE">
        <w:rPr>
          <w:rStyle w:val="FontStyle37"/>
        </w:rPr>
        <w:t>şi</w:t>
      </w:r>
      <w:r w:rsidRPr="00D920DE">
        <w:rPr>
          <w:rStyle w:val="FontStyle37"/>
        </w:rPr>
        <w:t xml:space="preserve"> </w:t>
      </w:r>
      <w:r w:rsidRPr="00D920DE">
        <w:rPr>
          <w:rStyle w:val="FontStyle37"/>
        </w:rPr>
        <w:t>securităţii</w:t>
      </w:r>
      <w:r w:rsidRPr="00D920DE">
        <w:rPr>
          <w:rStyle w:val="FontStyle37"/>
        </w:rPr>
        <w:t xml:space="preserve"> în muncă din România.</w:t>
      </w:r>
    </w:p>
    <w:p w:rsidRPr="00D920DE" w:rsidR="00565124" w:rsidP="00565124" w14:paraId="093E0965" w14:textId="7F0629B0">
      <w:pPr>
        <w:pStyle w:val="Style10"/>
        <w:widowControl/>
        <w:spacing w:line="240" w:lineRule="auto"/>
        <w:ind w:firstLine="993"/>
        <w:rPr>
          <w:rStyle w:val="FontStyle37"/>
        </w:rPr>
      </w:pPr>
      <w:r w:rsidRPr="00D920DE">
        <w:rPr>
          <w:rStyle w:val="FontStyle37"/>
        </w:rPr>
        <w:t>Investigaţia</w:t>
      </w:r>
      <w:r w:rsidRPr="00D920DE">
        <w:rPr>
          <w:rStyle w:val="FontStyle37"/>
        </w:rPr>
        <w:t xml:space="preserve"> a fost extinsă prin ordinul </w:t>
      </w:r>
      <w:r w:rsidRPr="00D920DE">
        <w:rPr>
          <w:rStyle w:val="FontStyle37"/>
        </w:rPr>
        <w:t>Preşedintelui</w:t>
      </w:r>
      <w:r w:rsidRPr="00D920DE">
        <w:rPr>
          <w:rStyle w:val="FontStyle37"/>
        </w:rPr>
        <w:t xml:space="preserve"> Consiliului </w:t>
      </w:r>
      <w:r w:rsidRPr="00D920DE">
        <w:rPr>
          <w:rStyle w:val="FontStyle37"/>
        </w:rPr>
        <w:t>Concurenţei</w:t>
      </w:r>
      <w:r w:rsidRPr="00D920DE">
        <w:rPr>
          <w:rStyle w:val="FontStyle37"/>
        </w:rPr>
        <w:t xml:space="preserve"> nr. </w:t>
      </w:r>
      <w:r>
        <w:rPr>
          <w:rStyle w:val="FontStyle37"/>
        </w:rPr>
        <w:t>O1</w:t>
      </w:r>
      <w:r w:rsidRPr="00D920DE">
        <w:rPr>
          <w:rStyle w:val="FontStyle37"/>
        </w:rPr>
        <w:t xml:space="preserve">/27.10.20203 </w:t>
      </w:r>
      <w:r w:rsidRPr="00D920DE">
        <w:rPr>
          <w:rStyle w:val="FontStyle37"/>
        </w:rPr>
        <w:t>şi</w:t>
      </w:r>
      <w:r w:rsidRPr="00D920DE">
        <w:rPr>
          <w:rStyle w:val="FontStyle37"/>
        </w:rPr>
        <w:t xml:space="preserve"> la alte întreprinderi, respectiv M SRL, L SRL, D SRL, P SRL, X SRL </w:t>
      </w:r>
      <w:r w:rsidRPr="00D920DE">
        <w:rPr>
          <w:rStyle w:val="FontStyle37"/>
        </w:rPr>
        <w:t>şi</w:t>
      </w:r>
      <w:r w:rsidRPr="00D920DE">
        <w:rPr>
          <w:rStyle w:val="FontStyle37"/>
        </w:rPr>
        <w:t xml:space="preserve"> S SRL (f. 154 vol. I).</w:t>
      </w:r>
    </w:p>
    <w:p w:rsidRPr="00D920DE" w:rsidR="00565124" w:rsidP="00565124" w14:paraId="2BFB1553" w14:textId="0D16CFCD">
      <w:pPr>
        <w:tabs>
          <w:tab w:val="left" w:pos="8505"/>
        </w:tabs>
        <w:ind w:firstLine="993"/>
        <w:jc w:val="both"/>
      </w:pPr>
      <w:r w:rsidRPr="00D920DE">
        <w:t>Prin decizia nr. .</w:t>
      </w:r>
      <w:r>
        <w:t>D1/</w:t>
      </w:r>
      <w:r w:rsidRPr="00D920DE">
        <w:t xml:space="preserve">2022 (f. 24 vol. I), Consiliul </w:t>
      </w:r>
      <w:r w:rsidRPr="00D920DE">
        <w:t>Concurenţei</w:t>
      </w:r>
      <w:r w:rsidRPr="00D920DE">
        <w:t xml:space="preserve"> a constatat încălcarea art. 5 alin. 1 din Legea concurenței nr. 21/1996, republicată, cu modificările și completările ulterioare, dar </w:t>
      </w:r>
      <w:r w:rsidRPr="00D920DE">
        <w:t>şi</w:t>
      </w:r>
      <w:r w:rsidRPr="00D920DE">
        <w:t xml:space="preserve"> a art. 101 alin. 1 din Tratatul de </w:t>
      </w:r>
      <w:r w:rsidRPr="00D920DE">
        <w:t>Funcţionare</w:t>
      </w:r>
      <w:r w:rsidRPr="00D920DE">
        <w:t xml:space="preserve"> a Uniunii Europene prin încheierea unei </w:t>
      </w:r>
      <w:r w:rsidRPr="00D920DE">
        <w:t>înţelegeri</w:t>
      </w:r>
      <w:r w:rsidRPr="00D920DE">
        <w:t xml:space="preserve">/practici concertate de </w:t>
      </w:r>
      <w:r w:rsidRPr="00D920DE">
        <w:t>împărţire</w:t>
      </w:r>
      <w:r w:rsidRPr="00D920DE">
        <w:t xml:space="preserve"> a </w:t>
      </w:r>
      <w:r w:rsidRPr="00D920DE">
        <w:t>pieţei</w:t>
      </w:r>
      <w:r w:rsidRPr="00D920DE">
        <w:t xml:space="preserve">, prin alocarea </w:t>
      </w:r>
      <w:r w:rsidRPr="00D920DE">
        <w:t>clienţilor</w:t>
      </w:r>
      <w:r w:rsidRPr="00D920DE">
        <w:t xml:space="preserve"> </w:t>
      </w:r>
      <w:r w:rsidRPr="00D920DE">
        <w:t>şi</w:t>
      </w:r>
      <w:r w:rsidRPr="00D920DE">
        <w:t xml:space="preserve"> a produselor, cu elemente de coordonare a </w:t>
      </w:r>
      <w:r w:rsidRPr="00D920DE">
        <w:t>preţurilor</w:t>
      </w:r>
      <w:r w:rsidRPr="00D920DE">
        <w:t xml:space="preserve">, pe </w:t>
      </w:r>
      <w:r w:rsidRPr="00D920DE">
        <w:t>piaţa</w:t>
      </w:r>
      <w:r w:rsidRPr="00D920DE">
        <w:t xml:space="preserve"> comercializării de produse </w:t>
      </w:r>
      <w:r w:rsidRPr="00D920DE">
        <w:t>şi</w:t>
      </w:r>
      <w:r w:rsidRPr="00D920DE">
        <w:t xml:space="preserve"> echipamente din domeniul </w:t>
      </w:r>
      <w:r w:rsidRPr="00D920DE">
        <w:t>sănătăţii</w:t>
      </w:r>
      <w:r w:rsidRPr="00D920DE">
        <w:t xml:space="preserve"> </w:t>
      </w:r>
      <w:r w:rsidRPr="00D920DE">
        <w:t>şi</w:t>
      </w:r>
      <w:r w:rsidRPr="00D920DE">
        <w:t xml:space="preserve"> </w:t>
      </w:r>
      <w:r w:rsidRPr="00D920DE">
        <w:t>securităţii</w:t>
      </w:r>
      <w:r w:rsidRPr="00D920DE">
        <w:t xml:space="preserve"> în muncă din România, de către întreprinderile</w:t>
      </w:r>
      <w:r w:rsidRPr="00D920DE">
        <w:rPr>
          <w:rStyle w:val="FontStyle37"/>
        </w:rPr>
        <w:t xml:space="preserve"> Z   SRL, A SRL, T SRL, &amp; SRL, M SRL, L SRL, D SRL </w:t>
      </w:r>
      <w:r w:rsidRPr="00D920DE">
        <w:rPr>
          <w:rStyle w:val="FontStyle37"/>
        </w:rPr>
        <w:t>şi</w:t>
      </w:r>
      <w:r w:rsidRPr="00D920DE">
        <w:rPr>
          <w:rStyle w:val="FontStyle37"/>
        </w:rPr>
        <w:t xml:space="preserve"> X SRL</w:t>
      </w:r>
      <w:r w:rsidRPr="00D920DE">
        <w:t>.</w:t>
      </w:r>
    </w:p>
    <w:p w:rsidR="00565124" w:rsidP="00565124" w14:paraId="5A6DDC61" w14:textId="77777777">
      <w:pPr>
        <w:pStyle w:val="Style11"/>
        <w:widowControl/>
        <w:tabs>
          <w:tab w:val="left" w:pos="250"/>
        </w:tabs>
        <w:spacing w:line="240" w:lineRule="auto"/>
        <w:ind w:firstLine="993"/>
        <w:rPr>
          <w:rStyle w:val="FontStyle37"/>
        </w:rPr>
      </w:pPr>
      <w:r w:rsidRPr="00D920DE">
        <w:rPr>
          <w:rStyle w:val="FontStyle37"/>
        </w:rPr>
        <w:t xml:space="preserve">În temeiul art. 55 alin. (1) lit. a) din Legea </w:t>
      </w:r>
      <w:r w:rsidRPr="00D920DE">
        <w:rPr>
          <w:rStyle w:val="FontStyle37"/>
        </w:rPr>
        <w:t>concurenţei</w:t>
      </w:r>
      <w:r w:rsidRPr="00D920DE">
        <w:rPr>
          <w:rStyle w:val="FontStyle37"/>
        </w:rPr>
        <w:t xml:space="preserve"> nr. 21/1996, republicată, cu</w:t>
      </w:r>
      <w:r w:rsidRPr="00D920DE">
        <w:rPr>
          <w:rStyle w:val="FontStyle37"/>
        </w:rPr>
        <w:br/>
        <w:t xml:space="preserve">modificările </w:t>
      </w:r>
      <w:r w:rsidRPr="00D920DE">
        <w:rPr>
          <w:rStyle w:val="FontStyle37"/>
        </w:rPr>
        <w:t>şi</w:t>
      </w:r>
      <w:r w:rsidRPr="00D920DE">
        <w:rPr>
          <w:rStyle w:val="FontStyle37"/>
        </w:rPr>
        <w:t xml:space="preserve"> completările ulterioare, întreprinderile au fost </w:t>
      </w:r>
      <w:r w:rsidRPr="00D920DE">
        <w:rPr>
          <w:rStyle w:val="FontStyle37"/>
        </w:rPr>
        <w:t>sancţionate</w:t>
      </w:r>
      <w:r w:rsidRPr="00D920DE">
        <w:rPr>
          <w:rStyle w:val="FontStyle37"/>
        </w:rPr>
        <w:t xml:space="preserve"> cu amendă, reclamanta X  cu amendă în cuantum de 1.052.758,180 lei, reprezentând 2,248% din veniturile realizate în anul 2021.</w:t>
      </w:r>
    </w:p>
    <w:p w:rsidR="00565124" w:rsidP="00565124" w14:paraId="43AC5D2A" w14:textId="77777777">
      <w:pPr>
        <w:tabs>
          <w:tab w:val="left" w:pos="8505"/>
        </w:tabs>
        <w:ind w:firstLine="993"/>
        <w:jc w:val="both"/>
        <w:rPr>
          <w:rStyle w:val="FontStyle37"/>
        </w:rPr>
      </w:pPr>
      <w:r>
        <w:t xml:space="preserve">Actele dosarului </w:t>
      </w:r>
      <w:r>
        <w:t>şi</w:t>
      </w:r>
      <w:r>
        <w:t xml:space="preserve"> </w:t>
      </w:r>
      <w:r>
        <w:t>susţinerile</w:t>
      </w:r>
      <w:r>
        <w:t xml:space="preserve"> </w:t>
      </w:r>
      <w:r>
        <w:t>părţilor</w:t>
      </w:r>
      <w:r>
        <w:t xml:space="preserve"> relevă că, în aprecierea pârâtului Consiliul </w:t>
      </w:r>
      <w:r>
        <w:t>Concurenţei</w:t>
      </w:r>
      <w:r>
        <w:t xml:space="preserve">, </w:t>
      </w:r>
      <w:r>
        <w:rPr>
          <w:rStyle w:val="FontStyle37"/>
        </w:rPr>
        <w:t xml:space="preserve">a existat o </w:t>
      </w:r>
      <w:r>
        <w:rPr>
          <w:rStyle w:val="FontStyle37"/>
        </w:rPr>
        <w:t>înţelegere</w:t>
      </w:r>
      <w:r>
        <w:rPr>
          <w:rStyle w:val="FontStyle37"/>
        </w:rPr>
        <w:t xml:space="preserve"> / practică concertată care</w:t>
      </w:r>
      <w:r>
        <w:rPr>
          <w:rStyle w:val="FontStyle37"/>
        </w:rPr>
        <w:br/>
      </w:r>
      <w:r>
        <w:rPr>
          <w:rStyle w:val="FontStyle37"/>
        </w:rPr>
        <w:t>restricţionează</w:t>
      </w:r>
      <w:r>
        <w:rPr>
          <w:rStyle w:val="FontStyle37"/>
        </w:rPr>
        <w:t xml:space="preserve"> </w:t>
      </w:r>
      <w:r>
        <w:rPr>
          <w:rStyle w:val="FontStyle37"/>
        </w:rPr>
        <w:t>concurenţa</w:t>
      </w:r>
      <w:r>
        <w:rPr>
          <w:rStyle w:val="FontStyle37"/>
        </w:rPr>
        <w:t xml:space="preserve"> prin obiectul acesteia, respectiv de </w:t>
      </w:r>
      <w:r>
        <w:rPr>
          <w:rStyle w:val="FontStyle37"/>
        </w:rPr>
        <w:t>împărţire</w:t>
      </w:r>
      <w:r>
        <w:rPr>
          <w:rStyle w:val="FontStyle37"/>
        </w:rPr>
        <w:t xml:space="preserve"> a </w:t>
      </w:r>
      <w:r>
        <w:rPr>
          <w:rStyle w:val="FontStyle37"/>
        </w:rPr>
        <w:t>pieţei</w:t>
      </w:r>
      <w:r>
        <w:rPr>
          <w:rStyle w:val="FontStyle37"/>
        </w:rPr>
        <w:t xml:space="preserve"> prin</w:t>
      </w:r>
      <w:r>
        <w:rPr>
          <w:rStyle w:val="FontStyle37"/>
        </w:rPr>
        <w:br/>
        <w:t xml:space="preserve">alocarea </w:t>
      </w:r>
      <w:r>
        <w:rPr>
          <w:rStyle w:val="FontStyle37"/>
        </w:rPr>
        <w:t>clienţilor</w:t>
      </w:r>
      <w:r>
        <w:rPr>
          <w:rStyle w:val="FontStyle37"/>
        </w:rPr>
        <w:t xml:space="preserve">, cu elemente de </w:t>
      </w:r>
      <w:r>
        <w:rPr>
          <w:rStyle w:val="FontStyle37"/>
        </w:rPr>
        <w:t>împărţire</w:t>
      </w:r>
      <w:r>
        <w:rPr>
          <w:rStyle w:val="FontStyle37"/>
        </w:rPr>
        <w:t xml:space="preserve"> a produselor </w:t>
      </w:r>
      <w:r>
        <w:rPr>
          <w:rStyle w:val="FontStyle37"/>
        </w:rPr>
        <w:t>şi</w:t>
      </w:r>
      <w:r>
        <w:rPr>
          <w:rStyle w:val="FontStyle37"/>
        </w:rPr>
        <w:t xml:space="preserve"> de coordonare a </w:t>
      </w:r>
      <w:r>
        <w:rPr>
          <w:rStyle w:val="FontStyle37"/>
        </w:rPr>
        <w:t>preţurilor</w:t>
      </w:r>
      <w:r>
        <w:rPr>
          <w:rStyle w:val="FontStyle37"/>
        </w:rPr>
        <w:t xml:space="preserve">, aferente perioadei 15.09.2015-07.11.2018, susceptibilă să intre, astfel, sub </w:t>
      </w:r>
      <w:r>
        <w:rPr>
          <w:rStyle w:val="FontStyle37"/>
        </w:rPr>
        <w:t>incidenţa</w:t>
      </w:r>
      <w:r>
        <w:rPr>
          <w:rStyle w:val="FontStyle37"/>
        </w:rPr>
        <w:t xml:space="preserve"> prevederilor art. 5 alin. 1 din Legea </w:t>
      </w:r>
      <w:r>
        <w:rPr>
          <w:rStyle w:val="FontStyle37"/>
        </w:rPr>
        <w:t>concurenţei</w:t>
      </w:r>
      <w:r>
        <w:rPr>
          <w:rStyle w:val="FontStyle37"/>
        </w:rPr>
        <w:t xml:space="preserve"> </w:t>
      </w:r>
      <w:r>
        <w:rPr>
          <w:rStyle w:val="FontStyle37"/>
        </w:rPr>
        <w:t>şi</w:t>
      </w:r>
      <w:r>
        <w:rPr>
          <w:rStyle w:val="FontStyle37"/>
        </w:rPr>
        <w:t xml:space="preserve"> a art. 101 alin. </w:t>
      </w:r>
      <w:r>
        <w:rPr>
          <w:rStyle w:val="FontStyle42"/>
        </w:rPr>
        <w:t>1</w:t>
      </w:r>
      <w:r>
        <w:rPr>
          <w:rStyle w:val="FontStyle39"/>
        </w:rPr>
        <w:t xml:space="preserve"> </w:t>
      </w:r>
      <w:r>
        <w:rPr>
          <w:rStyle w:val="FontStyle37"/>
        </w:rPr>
        <w:t>din TFUE.</w:t>
      </w:r>
    </w:p>
    <w:p w:rsidR="00565124" w:rsidP="00565124" w14:paraId="467EEBA0" w14:textId="77777777">
      <w:pPr>
        <w:pStyle w:val="Style11"/>
        <w:widowControl/>
        <w:tabs>
          <w:tab w:val="left" w:pos="240"/>
        </w:tabs>
        <w:spacing w:line="240" w:lineRule="auto"/>
        <w:ind w:firstLine="993"/>
        <w:rPr>
          <w:rStyle w:val="FontStyle37"/>
        </w:rPr>
      </w:pPr>
      <w:r>
        <w:rPr>
          <w:rStyle w:val="FontStyle37"/>
        </w:rPr>
        <w:t xml:space="preserve">Consiliul </w:t>
      </w:r>
      <w:r>
        <w:rPr>
          <w:rStyle w:val="FontStyle37"/>
        </w:rPr>
        <w:t>Concurenţei</w:t>
      </w:r>
      <w:r>
        <w:rPr>
          <w:rStyle w:val="FontStyle37"/>
        </w:rPr>
        <w:t xml:space="preserve"> a mai </w:t>
      </w:r>
      <w:r>
        <w:rPr>
          <w:rStyle w:val="FontStyle37"/>
        </w:rPr>
        <w:t>reţinut</w:t>
      </w:r>
      <w:r>
        <w:rPr>
          <w:rStyle w:val="FontStyle37"/>
        </w:rPr>
        <w:t xml:space="preserve">, în ceea ce </w:t>
      </w:r>
      <w:r>
        <w:rPr>
          <w:rStyle w:val="FontStyle37"/>
        </w:rPr>
        <w:t>priveşte</w:t>
      </w:r>
      <w:r>
        <w:rPr>
          <w:rStyle w:val="FontStyle37"/>
        </w:rPr>
        <w:t xml:space="preserve"> </w:t>
      </w:r>
      <w:r>
        <w:rPr>
          <w:rStyle w:val="FontStyle37"/>
        </w:rPr>
        <w:t>împărţirea</w:t>
      </w:r>
      <w:r>
        <w:rPr>
          <w:rStyle w:val="FontStyle37"/>
        </w:rPr>
        <w:t xml:space="preserve"> </w:t>
      </w:r>
      <w:r>
        <w:rPr>
          <w:rStyle w:val="FontStyle37"/>
        </w:rPr>
        <w:t>clienţilor</w:t>
      </w:r>
      <w:r>
        <w:rPr>
          <w:rStyle w:val="FontStyle37"/>
        </w:rPr>
        <w:t xml:space="preserve">, că aceasta s-a realizat prin: a) </w:t>
      </w:r>
      <w:r>
        <w:rPr>
          <w:rStyle w:val="FontStyle37"/>
        </w:rPr>
        <w:t>neofertarea</w:t>
      </w:r>
      <w:r>
        <w:rPr>
          <w:rStyle w:val="FontStyle37"/>
        </w:rPr>
        <w:t xml:space="preserve"> reciprocă în </w:t>
      </w:r>
      <w:r>
        <w:rPr>
          <w:rStyle w:val="FontStyle37"/>
        </w:rPr>
        <w:t>privinţa</w:t>
      </w:r>
      <w:r>
        <w:rPr>
          <w:rStyle w:val="FontStyle37"/>
        </w:rPr>
        <w:t xml:space="preserve"> </w:t>
      </w:r>
      <w:r>
        <w:rPr>
          <w:rStyle w:val="FontStyle37"/>
        </w:rPr>
        <w:t>clienţilor</w:t>
      </w:r>
      <w:r>
        <w:rPr>
          <w:rStyle w:val="FontStyle37"/>
        </w:rPr>
        <w:t xml:space="preserve"> </w:t>
      </w:r>
      <w:r>
        <w:rPr>
          <w:rStyle w:val="FontStyle37"/>
        </w:rPr>
        <w:t>alocaţi</w:t>
      </w:r>
      <w:r>
        <w:rPr>
          <w:rStyle w:val="FontStyle37"/>
        </w:rPr>
        <w:t xml:space="preserve"> </w:t>
      </w:r>
      <w:r>
        <w:rPr>
          <w:rStyle w:val="FontStyle37"/>
        </w:rPr>
        <w:t>şi</w:t>
      </w:r>
      <w:r>
        <w:rPr>
          <w:rStyle w:val="FontStyle37"/>
        </w:rPr>
        <w:t xml:space="preserve">/sau retragerea ofertei, b) circularea unei liste cu </w:t>
      </w:r>
      <w:r>
        <w:rPr>
          <w:rStyle w:val="FontStyle37"/>
        </w:rPr>
        <w:t>clienţii</w:t>
      </w:r>
      <w:r>
        <w:rPr>
          <w:rStyle w:val="FontStyle37"/>
        </w:rPr>
        <w:t xml:space="preserve"> din anumite </w:t>
      </w:r>
      <w:r>
        <w:rPr>
          <w:rStyle w:val="FontStyle37"/>
        </w:rPr>
        <w:t>judeţe</w:t>
      </w:r>
      <w:r>
        <w:rPr>
          <w:rStyle w:val="FontStyle37"/>
        </w:rPr>
        <w:t xml:space="preserve">/zone </w:t>
      </w:r>
      <w:r>
        <w:rPr>
          <w:rStyle w:val="FontStyle37"/>
        </w:rPr>
        <w:t>şi</w:t>
      </w:r>
      <w:r>
        <w:rPr>
          <w:rStyle w:val="FontStyle37"/>
        </w:rPr>
        <w:t xml:space="preserve"> c) alocarea punctuală a unui client prin trucarea unei </w:t>
      </w:r>
      <w:r>
        <w:rPr>
          <w:rStyle w:val="FontStyle37"/>
        </w:rPr>
        <w:t>licitaţii</w:t>
      </w:r>
      <w:r>
        <w:rPr>
          <w:rStyle w:val="FontStyle37"/>
        </w:rPr>
        <w:t xml:space="preserve"> private.</w:t>
      </w:r>
    </w:p>
    <w:p w:rsidRPr="007D673F" w:rsidR="00565124" w:rsidP="00565124" w14:paraId="0E222B06" w14:textId="77777777">
      <w:pPr>
        <w:pStyle w:val="Style10"/>
        <w:widowControl/>
        <w:spacing w:line="240" w:lineRule="auto"/>
        <w:ind w:firstLine="993"/>
        <w:rPr>
          <w:rStyle w:val="FontStyle37"/>
        </w:rPr>
      </w:pPr>
      <w:r>
        <w:rPr>
          <w:rStyle w:val="FontStyle37"/>
        </w:rPr>
        <w:t xml:space="preserve">În concret, Z  nu contraoferta / </w:t>
      </w:r>
      <w:r>
        <w:rPr>
          <w:rStyle w:val="FontStyle37"/>
        </w:rPr>
        <w:t>suboferta</w:t>
      </w:r>
      <w:r>
        <w:rPr>
          <w:rStyle w:val="FontStyle37"/>
        </w:rPr>
        <w:t xml:space="preserve"> articolele din portofoliul Z  implementate de </w:t>
      </w:r>
      <w:r>
        <w:rPr>
          <w:rStyle w:val="FontStyle37"/>
        </w:rPr>
        <w:t>părţile</w:t>
      </w:r>
      <w:r>
        <w:rPr>
          <w:rStyle w:val="FontStyle37"/>
        </w:rPr>
        <w:t xml:space="preserve"> implicate la </w:t>
      </w:r>
      <w:r>
        <w:rPr>
          <w:rStyle w:val="FontStyle37"/>
        </w:rPr>
        <w:t>clienţii</w:t>
      </w:r>
      <w:r>
        <w:rPr>
          <w:rStyle w:val="FontStyle37"/>
        </w:rPr>
        <w:t xml:space="preserve"> finali. În mod similar, nici </w:t>
      </w:r>
      <w:r>
        <w:rPr>
          <w:rStyle w:val="FontStyle37"/>
        </w:rPr>
        <w:t>părţile</w:t>
      </w:r>
      <w:r>
        <w:rPr>
          <w:rStyle w:val="FontStyle37"/>
        </w:rPr>
        <w:t xml:space="preserve"> investigate nu </w:t>
      </w:r>
      <w:r>
        <w:rPr>
          <w:rStyle w:val="FontStyle37"/>
        </w:rPr>
        <w:t>contraofertau</w:t>
      </w:r>
      <w:r>
        <w:rPr>
          <w:rStyle w:val="FontStyle37"/>
        </w:rPr>
        <w:t xml:space="preserve"> / </w:t>
      </w:r>
      <w:r>
        <w:rPr>
          <w:rStyle w:val="FontStyle37"/>
        </w:rPr>
        <w:t>subofertau</w:t>
      </w:r>
      <w:r>
        <w:rPr>
          <w:rStyle w:val="FontStyle37"/>
        </w:rPr>
        <w:t xml:space="preserve"> articolele Z  implementate la </w:t>
      </w:r>
      <w:r>
        <w:rPr>
          <w:rStyle w:val="FontStyle37"/>
        </w:rPr>
        <w:t>clienţii</w:t>
      </w:r>
      <w:r>
        <w:rPr>
          <w:rStyle w:val="FontStyle37"/>
        </w:rPr>
        <w:t xml:space="preserve"> finali. În cazul </w:t>
      </w:r>
      <w:r>
        <w:rPr>
          <w:rStyle w:val="FontStyle37"/>
        </w:rPr>
        <w:t>contraofertării</w:t>
      </w:r>
      <w:r>
        <w:rPr>
          <w:rStyle w:val="FontStyle37"/>
        </w:rPr>
        <w:t xml:space="preserve">, Z  </w:t>
      </w:r>
      <w:r>
        <w:rPr>
          <w:rStyle w:val="FontStyle37"/>
        </w:rPr>
        <w:t>şi</w:t>
      </w:r>
      <w:r>
        <w:rPr>
          <w:rStyle w:val="FontStyle37"/>
        </w:rPr>
        <w:t xml:space="preserve"> întreprinderile </w:t>
      </w:r>
      <w:r w:rsidRPr="007D673F">
        <w:rPr>
          <w:rStyle w:val="FontStyle37"/>
        </w:rPr>
        <w:t xml:space="preserve">implicate s-au coordonat cu privire la </w:t>
      </w:r>
      <w:r w:rsidRPr="007D673F">
        <w:rPr>
          <w:rStyle w:val="FontStyle37"/>
        </w:rPr>
        <w:t>preţul</w:t>
      </w:r>
      <w:r w:rsidRPr="007D673F">
        <w:rPr>
          <w:rStyle w:val="FontStyle37"/>
        </w:rPr>
        <w:t xml:space="preserve"> de ofertare către clientul final, astfel încât oferta să fie </w:t>
      </w:r>
      <w:r w:rsidRPr="007D673F">
        <w:rPr>
          <w:rStyle w:val="FontStyle37"/>
        </w:rPr>
        <w:t>câştigată</w:t>
      </w:r>
      <w:r w:rsidRPr="007D673F">
        <w:rPr>
          <w:rStyle w:val="FontStyle37"/>
        </w:rPr>
        <w:t xml:space="preserve"> de întreprinderea care avea alocat clientul respectiv. </w:t>
      </w:r>
    </w:p>
    <w:p w:rsidR="00565124" w:rsidP="00565124" w14:paraId="4FD94D1C" w14:textId="77777777">
      <w:pPr>
        <w:pStyle w:val="Style10"/>
        <w:widowControl/>
        <w:spacing w:line="240" w:lineRule="auto"/>
        <w:ind w:firstLine="993"/>
        <w:rPr>
          <w:rStyle w:val="FontStyle37"/>
        </w:rPr>
      </w:pPr>
      <w:r w:rsidRPr="007D673F">
        <w:rPr>
          <w:rStyle w:val="FontStyle37"/>
        </w:rPr>
        <w:t xml:space="preserve">A mai </w:t>
      </w:r>
      <w:r w:rsidRPr="007D673F">
        <w:rPr>
          <w:rStyle w:val="FontStyle37"/>
        </w:rPr>
        <w:t>reţinut</w:t>
      </w:r>
      <w:r w:rsidRPr="007D673F">
        <w:rPr>
          <w:rStyle w:val="FontStyle37"/>
        </w:rPr>
        <w:t xml:space="preserve"> totodată pârâtul că Z  a trimis întreprinderilor T, &amp;, D, M </w:t>
      </w:r>
      <w:r w:rsidRPr="007D673F">
        <w:rPr>
          <w:rStyle w:val="FontStyle37"/>
        </w:rPr>
        <w:t>şi</w:t>
      </w:r>
      <w:r w:rsidRPr="007D673F">
        <w:rPr>
          <w:rStyle w:val="FontStyle37"/>
        </w:rPr>
        <w:t xml:space="preserve"> L, prin e-mail, planuri de </w:t>
      </w:r>
      <w:r w:rsidRPr="007D673F">
        <w:rPr>
          <w:rStyle w:val="FontStyle37"/>
        </w:rPr>
        <w:t>acţiuni</w:t>
      </w:r>
      <w:r w:rsidRPr="007D673F">
        <w:rPr>
          <w:rStyle w:val="FontStyle37"/>
        </w:rPr>
        <w:t xml:space="preserve"> </w:t>
      </w:r>
      <w:r w:rsidRPr="007D673F">
        <w:rPr>
          <w:rStyle w:val="FontStyle37"/>
        </w:rPr>
        <w:t>conţinând</w:t>
      </w:r>
      <w:r w:rsidRPr="007D673F">
        <w:rPr>
          <w:rStyle w:val="FontStyle37"/>
        </w:rPr>
        <w:t xml:space="preserve"> lista </w:t>
      </w:r>
      <w:r w:rsidRPr="007D673F">
        <w:rPr>
          <w:rStyle w:val="FontStyle37"/>
        </w:rPr>
        <w:t>clienţilor</w:t>
      </w:r>
      <w:r w:rsidRPr="007D673F">
        <w:rPr>
          <w:rStyle w:val="FontStyle37"/>
        </w:rPr>
        <w:t xml:space="preserve"> actuali </w:t>
      </w:r>
      <w:r w:rsidRPr="007D673F">
        <w:rPr>
          <w:rStyle w:val="FontStyle37"/>
        </w:rPr>
        <w:t>şi</w:t>
      </w:r>
      <w:r w:rsidRPr="007D673F">
        <w:rPr>
          <w:rStyle w:val="FontStyle37"/>
        </w:rPr>
        <w:t xml:space="preserve"> </w:t>
      </w:r>
      <w:r w:rsidRPr="007D673F">
        <w:rPr>
          <w:rStyle w:val="FontStyle37"/>
        </w:rPr>
        <w:t>potenţiali</w:t>
      </w:r>
      <w:r w:rsidRPr="007D673F">
        <w:rPr>
          <w:rStyle w:val="FontStyle37"/>
        </w:rPr>
        <w:t xml:space="preserve">, cu scopul de a nu se suprapune cu privire la </w:t>
      </w:r>
      <w:r w:rsidRPr="007D673F">
        <w:rPr>
          <w:rStyle w:val="FontStyle37"/>
        </w:rPr>
        <w:t>clienţi</w:t>
      </w:r>
      <w:r w:rsidRPr="007D673F">
        <w:rPr>
          <w:rStyle w:val="FontStyle37"/>
        </w:rPr>
        <w:t xml:space="preserve"> </w:t>
      </w:r>
      <w:r w:rsidRPr="007D673F">
        <w:rPr>
          <w:rStyle w:val="FontStyle37"/>
        </w:rPr>
        <w:t>şi</w:t>
      </w:r>
      <w:r w:rsidRPr="007D673F">
        <w:rPr>
          <w:rStyle w:val="FontStyle37"/>
        </w:rPr>
        <w:t xml:space="preserve"> a solicitat întâlniri sau </w:t>
      </w:r>
      <w:r w:rsidRPr="007D673F">
        <w:rPr>
          <w:rStyle w:val="FontStyle37"/>
        </w:rPr>
        <w:t>discuţii</w:t>
      </w:r>
      <w:r w:rsidRPr="007D673F">
        <w:rPr>
          <w:rStyle w:val="FontStyle37"/>
        </w:rPr>
        <w:t xml:space="preserve"> telefonice în acest sens. Z  </w:t>
      </w:r>
      <w:r w:rsidRPr="007D673F">
        <w:rPr>
          <w:rStyle w:val="FontStyle37"/>
        </w:rPr>
        <w:t>menţionează</w:t>
      </w:r>
      <w:r w:rsidRPr="007D673F">
        <w:rPr>
          <w:rStyle w:val="FontStyle37"/>
        </w:rPr>
        <w:t xml:space="preserve">, în </w:t>
      </w:r>
      <w:r w:rsidRPr="007D673F">
        <w:rPr>
          <w:rStyle w:val="FontStyle37"/>
        </w:rPr>
        <w:t>aplicaţia</w:t>
      </w:r>
      <w:r w:rsidRPr="007D673F">
        <w:rPr>
          <w:rStyle w:val="FontStyle37"/>
        </w:rPr>
        <w:t xml:space="preserve"> pentru </w:t>
      </w:r>
      <w:r w:rsidRPr="007D673F">
        <w:rPr>
          <w:rStyle w:val="FontStyle37"/>
        </w:rPr>
        <w:t>clemenţă</w:t>
      </w:r>
      <w:r w:rsidRPr="007D673F">
        <w:rPr>
          <w:rStyle w:val="FontStyle37"/>
        </w:rPr>
        <w:t xml:space="preserve">, că acele întâlniri sau convorbiri telefonice solicitate au avut loc cu întreprinderile care au răspuns </w:t>
      </w:r>
      <w:r w:rsidRPr="007D673F">
        <w:rPr>
          <w:rStyle w:val="FontStyle37"/>
        </w:rPr>
        <w:t>invitaţiei</w:t>
      </w:r>
      <w:r w:rsidRPr="007D673F">
        <w:rPr>
          <w:rStyle w:val="FontStyle37"/>
        </w:rPr>
        <w:t xml:space="preserve"> Z  de a </w:t>
      </w:r>
      <w:r w:rsidRPr="007D673F">
        <w:rPr>
          <w:rStyle w:val="FontStyle37"/>
        </w:rPr>
        <w:t>împărţi</w:t>
      </w:r>
      <w:r w:rsidRPr="007D673F">
        <w:rPr>
          <w:rStyle w:val="FontStyle37"/>
        </w:rPr>
        <w:t xml:space="preserve"> </w:t>
      </w:r>
      <w:r w:rsidRPr="007D673F">
        <w:rPr>
          <w:rStyle w:val="FontStyle37"/>
        </w:rPr>
        <w:t>clienţii</w:t>
      </w:r>
      <w:r w:rsidRPr="007D673F">
        <w:rPr>
          <w:rStyle w:val="FontStyle37"/>
        </w:rPr>
        <w:t xml:space="preserve">. Listele transmise de Z  </w:t>
      </w:r>
      <w:r w:rsidRPr="007D673F">
        <w:rPr>
          <w:rStyle w:val="FontStyle37"/>
        </w:rPr>
        <w:t>conţineau</w:t>
      </w:r>
      <w:r w:rsidRPr="007D673F">
        <w:rPr>
          <w:rStyle w:val="FontStyle37"/>
        </w:rPr>
        <w:t xml:space="preserve"> câte o coloană denumită „Comentariu Z " sau „Client Z " în care erau </w:t>
      </w:r>
      <w:r w:rsidRPr="007D673F">
        <w:rPr>
          <w:rStyle w:val="FontStyle37"/>
        </w:rPr>
        <w:t>prezentaţi</w:t>
      </w:r>
      <w:r w:rsidRPr="007D673F">
        <w:rPr>
          <w:rStyle w:val="FontStyle37"/>
        </w:rPr>
        <w:t xml:space="preserve"> </w:t>
      </w:r>
      <w:r w:rsidRPr="007D673F">
        <w:rPr>
          <w:rStyle w:val="FontStyle37"/>
        </w:rPr>
        <w:t>clienţii</w:t>
      </w:r>
      <w:r w:rsidRPr="007D673F">
        <w:rPr>
          <w:rStyle w:val="FontStyle37"/>
        </w:rPr>
        <w:t xml:space="preserve"> Z . O serie de întreprinderi au completat coloanele respective, arătând care sunt </w:t>
      </w:r>
      <w:r w:rsidRPr="007D673F">
        <w:rPr>
          <w:rStyle w:val="FontStyle37"/>
        </w:rPr>
        <w:t>clienţii</w:t>
      </w:r>
      <w:r w:rsidRPr="007D673F">
        <w:rPr>
          <w:rStyle w:val="FontStyle37"/>
        </w:rPr>
        <w:t xml:space="preserve"> lor/</w:t>
      </w:r>
      <w:r w:rsidRPr="007D673F">
        <w:rPr>
          <w:rStyle w:val="FontStyle37"/>
        </w:rPr>
        <w:t>clienţii</w:t>
      </w:r>
      <w:r w:rsidRPr="007D673F">
        <w:rPr>
          <w:rStyle w:val="FontStyle37"/>
        </w:rPr>
        <w:t xml:space="preserve"> comuni cu Z . Ca urmare a acestui mecanism, </w:t>
      </w:r>
      <w:r w:rsidRPr="007D673F">
        <w:rPr>
          <w:rStyle w:val="FontStyle37"/>
        </w:rPr>
        <w:t>clienţii</w:t>
      </w:r>
      <w:r w:rsidRPr="007D673F">
        <w:rPr>
          <w:rStyle w:val="FontStyle37"/>
        </w:rPr>
        <w:t xml:space="preserve"> mici au fost </w:t>
      </w:r>
      <w:r w:rsidRPr="007D673F">
        <w:rPr>
          <w:rStyle w:val="FontStyle37"/>
        </w:rPr>
        <w:t>alocaţi</w:t>
      </w:r>
      <w:r>
        <w:rPr>
          <w:rStyle w:val="FontStyle37"/>
        </w:rPr>
        <w:t xml:space="preserve"> întreprinderilor </w:t>
      </w:r>
      <w:r>
        <w:rPr>
          <w:rStyle w:val="FontStyle37"/>
        </w:rPr>
        <w:t xml:space="preserve">respective, iar </w:t>
      </w:r>
      <w:r>
        <w:rPr>
          <w:rStyle w:val="FontStyle37"/>
        </w:rPr>
        <w:t>clienţii</w:t>
      </w:r>
      <w:r>
        <w:rPr>
          <w:rStyle w:val="FontStyle37"/>
        </w:rPr>
        <w:t xml:space="preserve"> </w:t>
      </w:r>
      <w:r>
        <w:rPr>
          <w:rStyle w:val="FontStyle37"/>
        </w:rPr>
        <w:t>importanţi</w:t>
      </w:r>
      <w:r>
        <w:rPr>
          <w:rStyle w:val="FontStyle37"/>
        </w:rPr>
        <w:t xml:space="preserve"> au rămas la Z . Au existat, însă, </w:t>
      </w:r>
      <w:r>
        <w:rPr>
          <w:rStyle w:val="FontStyle37"/>
        </w:rPr>
        <w:t>şi</w:t>
      </w:r>
      <w:r>
        <w:rPr>
          <w:rStyle w:val="FontStyle37"/>
        </w:rPr>
        <w:t xml:space="preserve"> </w:t>
      </w:r>
      <w:r>
        <w:rPr>
          <w:rStyle w:val="FontStyle37"/>
        </w:rPr>
        <w:t>situaţii</w:t>
      </w:r>
      <w:r>
        <w:rPr>
          <w:rStyle w:val="FontStyle37"/>
        </w:rPr>
        <w:t xml:space="preserve"> în care </w:t>
      </w:r>
      <w:r>
        <w:rPr>
          <w:rStyle w:val="FontStyle37"/>
        </w:rPr>
        <w:t>clienţii</w:t>
      </w:r>
      <w:r>
        <w:rPr>
          <w:rStyle w:val="FontStyle37"/>
        </w:rPr>
        <w:t xml:space="preserve"> erau </w:t>
      </w:r>
      <w:r>
        <w:rPr>
          <w:rStyle w:val="FontStyle37"/>
        </w:rPr>
        <w:t>alocaţi</w:t>
      </w:r>
      <w:r>
        <w:rPr>
          <w:rStyle w:val="FontStyle37"/>
        </w:rPr>
        <w:t xml:space="preserve"> atât în portofoliul întreprinderilor în cauză, cât </w:t>
      </w:r>
      <w:r>
        <w:rPr>
          <w:rStyle w:val="FontStyle37"/>
        </w:rPr>
        <w:t>şi</w:t>
      </w:r>
      <w:r>
        <w:rPr>
          <w:rStyle w:val="FontStyle37"/>
        </w:rPr>
        <w:t xml:space="preserve"> al Z , caz în care </w:t>
      </w:r>
      <w:r>
        <w:rPr>
          <w:rStyle w:val="FontStyle37"/>
        </w:rPr>
        <w:t>aceştia</w:t>
      </w:r>
      <w:r>
        <w:rPr>
          <w:rStyle w:val="FontStyle37"/>
        </w:rPr>
        <w:t xml:space="preserve"> deveneau </w:t>
      </w:r>
      <w:r>
        <w:rPr>
          <w:rStyle w:val="FontStyle37"/>
        </w:rPr>
        <w:t>clienţi</w:t>
      </w:r>
      <w:r>
        <w:rPr>
          <w:rStyle w:val="FontStyle37"/>
        </w:rPr>
        <w:t xml:space="preserve"> comuni. Cu privire la </w:t>
      </w:r>
      <w:r>
        <w:rPr>
          <w:rStyle w:val="FontStyle37"/>
        </w:rPr>
        <w:t>clienţii</w:t>
      </w:r>
      <w:r>
        <w:rPr>
          <w:rStyle w:val="FontStyle37"/>
        </w:rPr>
        <w:t xml:space="preserve"> comuni, strategia </w:t>
      </w:r>
      <w:r>
        <w:rPr>
          <w:rStyle w:val="FontStyle37"/>
        </w:rPr>
        <w:t>părţilor</w:t>
      </w:r>
      <w:r>
        <w:rPr>
          <w:rStyle w:val="FontStyle37"/>
        </w:rPr>
        <w:t xml:space="preserve"> implicate era de a </w:t>
      </w:r>
      <w:r>
        <w:rPr>
          <w:rStyle w:val="FontStyle37"/>
        </w:rPr>
        <w:t>împărţi</w:t>
      </w:r>
      <w:r>
        <w:rPr>
          <w:rStyle w:val="FontStyle37"/>
        </w:rPr>
        <w:t xml:space="preserve"> produsele.</w:t>
      </w:r>
    </w:p>
    <w:p w:rsidR="00565124" w:rsidP="00565124" w14:paraId="5E701365" w14:textId="77777777">
      <w:pPr>
        <w:pStyle w:val="Style10"/>
        <w:widowControl/>
        <w:spacing w:line="240" w:lineRule="auto"/>
        <w:ind w:firstLine="993"/>
        <w:rPr>
          <w:rStyle w:val="FontStyle37"/>
        </w:rPr>
      </w:pPr>
      <w:r>
        <w:rPr>
          <w:rStyle w:val="FontStyle37"/>
        </w:rPr>
        <w:t>4.2. Împotriva acestei decizii, reclamanta a formulat cerere de suspendare a executării invocând în drept prevederile art. 15 din Legea nr. 554/2004.</w:t>
      </w:r>
    </w:p>
    <w:p w:rsidR="00565124" w:rsidP="00565124" w14:paraId="0CA4FCEF" w14:textId="77777777">
      <w:pPr>
        <w:pStyle w:val="Style10"/>
        <w:widowControl/>
        <w:spacing w:line="240" w:lineRule="auto"/>
        <w:ind w:firstLine="993"/>
      </w:pPr>
      <w:r>
        <w:t xml:space="preserve">Din punctul de vedere al </w:t>
      </w:r>
      <w:r>
        <w:t>admisibilităţii</w:t>
      </w:r>
      <w:r>
        <w:t xml:space="preserve"> cererii de suspendare a executării actului administrativ, din analiza prevederilor art. 15 rap la art. 14 din Legea nr. 554/2004, cu modificările </w:t>
      </w:r>
      <w:r>
        <w:t>şi</w:t>
      </w:r>
      <w:r>
        <w:t xml:space="preserve"> completările ulterioare, rezultă că trebuie îndeplinite cumulativ următoarele </w:t>
      </w:r>
      <w:r>
        <w:t>condiţii</w:t>
      </w:r>
      <w:r>
        <w:t xml:space="preserve">: </w:t>
      </w:r>
      <w:r>
        <w:t>existenţa</w:t>
      </w:r>
      <w:r>
        <w:t xml:space="preserve"> unui act administrativ, promovarea </w:t>
      </w:r>
      <w:r>
        <w:t>acţiunii</w:t>
      </w:r>
      <w:r>
        <w:t xml:space="preserve"> în anulare, </w:t>
      </w:r>
      <w:r>
        <w:t>prezenţa</w:t>
      </w:r>
      <w:r>
        <w:t xml:space="preserve"> unui caz bine justificat </w:t>
      </w:r>
      <w:r>
        <w:t>şi</w:t>
      </w:r>
      <w:r>
        <w:t xml:space="preserve"> prevenirea unei pagube iminente.</w:t>
      </w:r>
    </w:p>
    <w:p w:rsidR="00565124" w:rsidP="00565124" w14:paraId="30881E3D" w14:textId="77777777">
      <w:pPr>
        <w:tabs>
          <w:tab w:val="left" w:pos="8505"/>
        </w:tabs>
        <w:ind w:firstLine="993"/>
        <w:jc w:val="both"/>
      </w:pPr>
      <w:r>
        <w:t xml:space="preserve">La acestea se adaugă, având în vedere natura actului a cărui suspendare se solicită în prezenta cauză, </w:t>
      </w:r>
      <w:r>
        <w:t>cerinţa</w:t>
      </w:r>
      <w:r>
        <w:t xml:space="preserve"> depunerii unei </w:t>
      </w:r>
      <w:r>
        <w:t>cauţiuni</w:t>
      </w:r>
      <w:r>
        <w:t xml:space="preserve">, prevăzută de art. 51 alin. 2 din Legea nr. 21/1996 raportat la prev. art. 278 din Legea nr. 207/2015 privind Codul de procedură fiscală, cu modificările </w:t>
      </w:r>
      <w:r>
        <w:t>şi</w:t>
      </w:r>
      <w:r>
        <w:t xml:space="preserve"> completările ulterioare, cu privire la </w:t>
      </w:r>
      <w:r>
        <w:t>creanţele</w:t>
      </w:r>
      <w:r>
        <w:t xml:space="preserve"> bugetare.</w:t>
      </w:r>
    </w:p>
    <w:p w:rsidR="00565124" w:rsidP="00565124" w14:paraId="70FCD396" w14:textId="77777777">
      <w:pPr>
        <w:tabs>
          <w:tab w:val="left" w:pos="8505"/>
        </w:tabs>
        <w:ind w:firstLine="993"/>
        <w:jc w:val="both"/>
      </w:pPr>
      <w:r>
        <w:t xml:space="preserve">În </w:t>
      </w:r>
      <w:r>
        <w:t>speţă</w:t>
      </w:r>
      <w:r>
        <w:t xml:space="preserve">, Curtea va constata că este îndeplinită prima </w:t>
      </w:r>
      <w:r>
        <w:t>condiţie</w:t>
      </w:r>
      <w:r>
        <w:t xml:space="preserve"> prevăzută de art. 15 rap. la art. 14 din Legea nr. 554/2004, respectiv decizia de </w:t>
      </w:r>
      <w:r>
        <w:t>sancţionare</w:t>
      </w:r>
      <w:r>
        <w:t xml:space="preserve"> pentru încălcări ale Legii </w:t>
      </w:r>
      <w:r>
        <w:t>concurenţei</w:t>
      </w:r>
      <w:r>
        <w:t xml:space="preserve"> este, în mod indiscutabil, </w:t>
      </w:r>
      <w:r>
        <w:rPr>
          <w:i/>
          <w:u w:val="single"/>
        </w:rPr>
        <w:t>un act administrativ cu caracter individual</w:t>
      </w:r>
      <w:r>
        <w:t xml:space="preserve">, în raport de </w:t>
      </w:r>
      <w:r>
        <w:t>conţinutul</w:t>
      </w:r>
      <w:r>
        <w:t xml:space="preserve"> său.</w:t>
      </w:r>
    </w:p>
    <w:p w:rsidR="00565124" w:rsidP="00565124" w14:paraId="2E4E21FF" w14:textId="77777777">
      <w:pPr>
        <w:tabs>
          <w:tab w:val="left" w:pos="8505"/>
        </w:tabs>
        <w:ind w:firstLine="993"/>
        <w:jc w:val="both"/>
      </w:pPr>
      <w:r>
        <w:t xml:space="preserve">De asemenea, </w:t>
      </w:r>
      <w:r>
        <w:rPr>
          <w:i/>
          <w:u w:val="single"/>
        </w:rPr>
        <w:t xml:space="preserve">este îndeplinită </w:t>
      </w:r>
      <w:r>
        <w:rPr>
          <w:i/>
          <w:u w:val="single"/>
        </w:rPr>
        <w:t>cerinţa</w:t>
      </w:r>
      <w:r>
        <w:rPr>
          <w:i/>
          <w:u w:val="single"/>
        </w:rPr>
        <w:t xml:space="preserve"> depunerii </w:t>
      </w:r>
      <w:r>
        <w:rPr>
          <w:i/>
          <w:u w:val="single"/>
        </w:rPr>
        <w:t>cauţiunii</w:t>
      </w:r>
      <w:r>
        <w:t xml:space="preserve">, în cuantum de 14.552,75 lei, dovada consemnării fiind depusă la dosar – cu număr de </w:t>
      </w:r>
      <w:r>
        <w:t>referinţă</w:t>
      </w:r>
      <w:r>
        <w:t xml:space="preserve"> 363456536, OP nr. 2534/11.04.2023 (f. 64 vol. II).</w:t>
      </w:r>
    </w:p>
    <w:p w:rsidR="00565124" w:rsidP="00565124" w14:paraId="067AFAE6" w14:textId="77777777">
      <w:pPr>
        <w:tabs>
          <w:tab w:val="left" w:pos="8505"/>
        </w:tabs>
        <w:ind w:firstLine="993"/>
        <w:jc w:val="both"/>
      </w:pPr>
      <w:r>
        <w:t xml:space="preserve">Nu </w:t>
      </w:r>
      <w:r>
        <w:t>aceeaşi</w:t>
      </w:r>
      <w:r>
        <w:t xml:space="preserve"> este </w:t>
      </w:r>
      <w:r>
        <w:t>soluţia</w:t>
      </w:r>
      <w:r>
        <w:t xml:space="preserve"> cu privire la </w:t>
      </w:r>
      <w:r>
        <w:t>condiţia</w:t>
      </w:r>
      <w:r>
        <w:t xml:space="preserve"> formulării cererii în anularea actului, respectiv cu privire la </w:t>
      </w:r>
      <w:r>
        <w:t>condiţiile</w:t>
      </w:r>
      <w:r>
        <w:t xml:space="preserve"> îndeplinirii cazului bine justificat </w:t>
      </w:r>
      <w:r>
        <w:t>şi</w:t>
      </w:r>
      <w:r>
        <w:t xml:space="preserve"> a pagubei iminente.</w:t>
      </w:r>
    </w:p>
    <w:p w:rsidR="00565124" w:rsidP="00565124" w14:paraId="36F7F311" w14:textId="77777777">
      <w:pPr>
        <w:tabs>
          <w:tab w:val="left" w:pos="8505"/>
        </w:tabs>
        <w:ind w:firstLine="993"/>
        <w:jc w:val="both"/>
        <w:rPr>
          <w:i/>
        </w:rPr>
      </w:pPr>
      <w:r>
        <w:t xml:space="preserve">Cu privire la prima chestiune, necesitatea probării </w:t>
      </w:r>
      <w:r>
        <w:rPr>
          <w:i/>
          <w:u w:val="single"/>
        </w:rPr>
        <w:t>formulării cererii în anularea actului</w:t>
      </w:r>
      <w:r>
        <w:t xml:space="preserve">, Curtea va constata că potrivit prevederilor art. 15 alin. 1 din Legea nr. 554/2004, </w:t>
      </w:r>
      <w:r>
        <w:rPr>
          <w:i/>
        </w:rPr>
        <w:t xml:space="preserve">„Suspendarea executării actului administrativ unilateral poate fi solicitată de reclamant, pentru motivele prevăzute la art. 14, </w:t>
      </w:r>
      <w:r>
        <w:rPr>
          <w:i/>
        </w:rPr>
        <w:t>şi</w:t>
      </w:r>
      <w:r>
        <w:rPr>
          <w:i/>
        </w:rPr>
        <w:t xml:space="preserve"> prin cererea adresată </w:t>
      </w:r>
      <w:r>
        <w:rPr>
          <w:i/>
        </w:rPr>
        <w:t>instanţei</w:t>
      </w:r>
      <w:r>
        <w:rPr>
          <w:i/>
        </w:rPr>
        <w:t xml:space="preserve"> competente pentru anularea, în tot sau în parte, a actului atacat. În acest caz, </w:t>
      </w:r>
      <w:r>
        <w:rPr>
          <w:i/>
        </w:rPr>
        <w:t>instanţa</w:t>
      </w:r>
      <w:r>
        <w:rPr>
          <w:i/>
        </w:rPr>
        <w:t xml:space="preserve"> poate dispune suspendarea actului administrativ atacat, până la </w:t>
      </w:r>
      <w:r>
        <w:rPr>
          <w:i/>
        </w:rPr>
        <w:t>soluţionarea</w:t>
      </w:r>
      <w:r>
        <w:rPr>
          <w:i/>
        </w:rPr>
        <w:t xml:space="preserve"> definitivă a cauzei. Cererea de suspendare se poate formula odată cu </w:t>
      </w:r>
      <w:r>
        <w:rPr>
          <w:i/>
        </w:rPr>
        <w:t>acţiunea</w:t>
      </w:r>
      <w:r>
        <w:rPr>
          <w:i/>
        </w:rPr>
        <w:t xml:space="preserve"> principală sau printr-o </w:t>
      </w:r>
      <w:r>
        <w:rPr>
          <w:i/>
        </w:rPr>
        <w:t>acţiune</w:t>
      </w:r>
      <w:r>
        <w:rPr>
          <w:i/>
        </w:rPr>
        <w:t xml:space="preserve"> separată, în termen de maximum 60 de zile de la introducerea </w:t>
      </w:r>
      <w:r>
        <w:rPr>
          <w:i/>
        </w:rPr>
        <w:t>acţiunii</w:t>
      </w:r>
      <w:r>
        <w:rPr>
          <w:i/>
        </w:rPr>
        <w:t xml:space="preserve"> principale”.</w:t>
      </w:r>
    </w:p>
    <w:p w:rsidR="00565124" w:rsidP="00565124" w14:paraId="61349EC7" w14:textId="77777777">
      <w:pPr>
        <w:tabs>
          <w:tab w:val="left" w:pos="8505"/>
        </w:tabs>
        <w:ind w:firstLine="993"/>
        <w:jc w:val="both"/>
      </w:pPr>
      <w:r>
        <w:t xml:space="preserve">Textul legal, invocat în </w:t>
      </w:r>
      <w:r>
        <w:t>susţinerea</w:t>
      </w:r>
      <w:r>
        <w:t xml:space="preserve"> cererii de chenare în judecată (atât prin indicarea expresă a normei legale, cât </w:t>
      </w:r>
      <w:r>
        <w:t>şi</w:t>
      </w:r>
      <w:r>
        <w:t xml:space="preserve"> prin </w:t>
      </w:r>
      <w:r>
        <w:t>menţionarea</w:t>
      </w:r>
      <w:r>
        <w:t xml:space="preserve"> limitării temporale, respectiv că se solicită suspendarea executării până la </w:t>
      </w:r>
      <w:r>
        <w:t>soluţionarea</w:t>
      </w:r>
      <w:r>
        <w:t xml:space="preserve"> definitivă a </w:t>
      </w:r>
      <w:r>
        <w:t>acţiunii</w:t>
      </w:r>
      <w:r>
        <w:t xml:space="preserve"> în anulare), prevede în mod expres necesitatea promovării unei </w:t>
      </w:r>
      <w:r>
        <w:t>acţiunii</w:t>
      </w:r>
      <w:r>
        <w:t xml:space="preserve"> în anularea actului vizat de cererea de suspendare, fie în cadrul </w:t>
      </w:r>
      <w:r>
        <w:t>aceluiaşi</w:t>
      </w:r>
      <w:r>
        <w:t xml:space="preserve"> dosar, fie în cadrul unui dosar distinct.</w:t>
      </w:r>
    </w:p>
    <w:p w:rsidR="00565124" w:rsidP="00565124" w14:paraId="3ABC1CB3" w14:textId="3175F3E9">
      <w:pPr>
        <w:tabs>
          <w:tab w:val="left" w:pos="8505"/>
        </w:tabs>
        <w:ind w:firstLine="993"/>
        <w:jc w:val="both"/>
      </w:pPr>
      <w:r>
        <w:t xml:space="preserve">Or, reclamanta nu a depus la dosar o dovadă a înregistrării separate a </w:t>
      </w:r>
      <w:r>
        <w:t>acţiunii</w:t>
      </w:r>
      <w:r>
        <w:t xml:space="preserve"> în anulare, iar, din verificarea în sistem </w:t>
      </w:r>
      <w:r>
        <w:t>Ecris</w:t>
      </w:r>
      <w:r>
        <w:t xml:space="preserve">, nu se identifică decât dosarul nr. .............., având ca obiect </w:t>
      </w:r>
      <w:r>
        <w:t>acţiunea</w:t>
      </w:r>
      <w:r>
        <w:t xml:space="preserve"> în anularea ordinului nr. </w:t>
      </w:r>
      <w:r>
        <w:t>O1</w:t>
      </w:r>
      <w:r>
        <w:t>/27.10.2020.</w:t>
      </w:r>
    </w:p>
    <w:p w:rsidR="00565124" w:rsidP="00565124" w14:paraId="5DA5C1C9" w14:textId="77777777">
      <w:pPr>
        <w:tabs>
          <w:tab w:val="left" w:pos="8505"/>
        </w:tabs>
        <w:ind w:firstLine="993"/>
        <w:jc w:val="both"/>
      </w:pPr>
      <w:r>
        <w:t xml:space="preserve">În continuare, analizând </w:t>
      </w:r>
      <w:r>
        <w:t>pretenţiile</w:t>
      </w:r>
      <w:r>
        <w:t xml:space="preserve"> deduse </w:t>
      </w:r>
      <w:r>
        <w:t>judecăţii</w:t>
      </w:r>
      <w:r>
        <w:t xml:space="preserve"> prin raportare la prevederile art. 14 din Legea nr. 554/2004, </w:t>
      </w:r>
      <w:r>
        <w:rPr>
          <w:i/>
          <w:u w:val="single"/>
        </w:rPr>
        <w:t xml:space="preserve">referitor la </w:t>
      </w:r>
      <w:r>
        <w:rPr>
          <w:i/>
          <w:u w:val="single"/>
        </w:rPr>
        <w:t>condiţia</w:t>
      </w:r>
      <w:r>
        <w:rPr>
          <w:i/>
          <w:u w:val="single"/>
        </w:rPr>
        <w:t xml:space="preserve"> cazului bine justificat</w:t>
      </w:r>
      <w:r>
        <w:t xml:space="preserve">, Curtea va </w:t>
      </w:r>
      <w:r>
        <w:t>menţiona</w:t>
      </w:r>
      <w:r>
        <w:t xml:space="preserve"> că suspendarea executării actului administrativ constituie o măsură </w:t>
      </w:r>
      <w:r>
        <w:t>excepţională</w:t>
      </w:r>
      <w:r>
        <w:t xml:space="preserve"> prin care </w:t>
      </w:r>
      <w:r>
        <w:t>instanţa</w:t>
      </w:r>
      <w:r>
        <w:t xml:space="preserve"> de judecată înlătură caracterul executoriu din oficiu a actului administrativ, astfel că luarea acestei măsuri presupune dovedirea </w:t>
      </w:r>
      <w:r>
        <w:t>existenţei</w:t>
      </w:r>
      <w:r>
        <w:t xml:space="preserve"> acelor împrejurări care sunt de natură să creeze o îndoială serioasă în </w:t>
      </w:r>
      <w:r>
        <w:t>privinţa</w:t>
      </w:r>
      <w:r>
        <w:t xml:space="preserve"> </w:t>
      </w:r>
      <w:r>
        <w:t>legalităţii</w:t>
      </w:r>
      <w:r>
        <w:t xml:space="preserve"> actului administrativ dar mai ales a </w:t>
      </w:r>
      <w:r>
        <w:t>necesităţii</w:t>
      </w:r>
      <w:r>
        <w:t xml:space="preserve"> înlăturării temporare a caracterului executoriu al actului pentru a preveni o pagubă iminentă.</w:t>
      </w:r>
    </w:p>
    <w:p w:rsidR="00565124" w:rsidP="00565124" w14:paraId="3B083627" w14:textId="77777777">
      <w:pPr>
        <w:tabs>
          <w:tab w:val="left" w:pos="8505"/>
        </w:tabs>
        <w:ind w:firstLine="993"/>
        <w:contextualSpacing/>
        <w:jc w:val="both"/>
      </w:pPr>
      <w:r>
        <w:t xml:space="preserve">Astfel cum s-a </w:t>
      </w:r>
      <w:r>
        <w:t>reţinut</w:t>
      </w:r>
      <w:r>
        <w:t xml:space="preserve"> în mod constant în </w:t>
      </w:r>
      <w:r>
        <w:t>jurisprudenţa</w:t>
      </w:r>
      <w:r>
        <w:t xml:space="preserve"> </w:t>
      </w:r>
      <w:r>
        <w:t>instanţelor</w:t>
      </w:r>
      <w:r>
        <w:t xml:space="preserve"> de contencios administrativ, analizarea </w:t>
      </w:r>
      <w:r>
        <w:t>condiţiei</w:t>
      </w:r>
      <w:r>
        <w:t xml:space="preserve"> cazului bine justificat nu poate presupune examinarea criticilor la adresa </w:t>
      </w:r>
      <w:r>
        <w:t>legalităţii</w:t>
      </w:r>
      <w:r>
        <w:t xml:space="preserve"> actului administrativ, căci altfel </w:t>
      </w:r>
      <w:r>
        <w:t>instanţa</w:t>
      </w:r>
      <w:r>
        <w:t xml:space="preserve"> învestită cu </w:t>
      </w:r>
      <w:r>
        <w:t>acţiunea</w:t>
      </w:r>
      <w:r>
        <w:t xml:space="preserve"> întemeiată pe </w:t>
      </w:r>
      <w:r>
        <w:t>dispoziţiile</w:t>
      </w:r>
      <w:r>
        <w:t xml:space="preserve"> art. 14 sau 15 din Legea nr. 554/2004 s-ar substitui în mod nepermis </w:t>
      </w:r>
      <w:r>
        <w:t>instanţei</w:t>
      </w:r>
      <w:r>
        <w:t xml:space="preserve"> fondului.</w:t>
      </w:r>
    </w:p>
    <w:p w:rsidR="00565124" w:rsidP="00565124" w14:paraId="451252DB" w14:textId="77777777">
      <w:pPr>
        <w:tabs>
          <w:tab w:val="left" w:pos="8505"/>
        </w:tabs>
        <w:ind w:firstLine="993"/>
        <w:contextualSpacing/>
        <w:jc w:val="both"/>
      </w:pPr>
      <w:r>
        <w:t xml:space="preserve">Semnificativă, în acest sens, este decizia nr. 442/2013, </w:t>
      </w:r>
      <w:r>
        <w:t>pronunţată</w:t>
      </w:r>
      <w:r>
        <w:t xml:space="preserve"> de Înalta Curte de Casație și Justiție – Secția de contencios administrativ și fiscal, în cuprinsul căreia se arată că pentru conturarea cazului temeinic justificat care să impună suspendarea unui act administrativ, </w:t>
      </w:r>
      <w:r>
        <w:t>instanța nu trebuie să procedeze la analizarea criticilor de nelegalitate pe care se întemeiază însăși cererea de anulare a actului administrativ, ci trebuie să-și limiteze verificarea doar la acele împrejurări vădite de fapt și/sau de drept care au capacitatea să producă o îndoială serioasă asupra prezumției de legalitate de care se bucură un act administrativ.</w:t>
      </w:r>
    </w:p>
    <w:p w:rsidR="00565124" w:rsidP="00565124" w14:paraId="6B01697B" w14:textId="77777777">
      <w:pPr>
        <w:tabs>
          <w:tab w:val="left" w:pos="8505"/>
        </w:tabs>
        <w:ind w:firstLine="993"/>
        <w:contextualSpacing/>
        <w:jc w:val="both"/>
      </w:pPr>
      <w:r>
        <w:t>Astfel de împrejurări vădite, de fapt sau/și de drept care sunt de natură să producă o îndoială serioasă cu privire la legalitatea unui act administrativ au fost reținute de Înalta Curte ca fiind: emiterea unui act administrativ de către un organ necompetent sau cu depășirea competenței, actul administrativ emis în temeiul unor dispoziții legale declarate neconstituționale, nemotivarea actului administrativ, modificarea importantă a actului administrativ în calea recursului administrativ.</w:t>
      </w:r>
    </w:p>
    <w:p w:rsidR="00565124" w:rsidP="00565124" w14:paraId="3038904A" w14:textId="476F5E6B">
      <w:pPr>
        <w:tabs>
          <w:tab w:val="left" w:pos="8505"/>
        </w:tabs>
        <w:ind w:firstLine="993"/>
        <w:contextualSpacing/>
        <w:jc w:val="both"/>
      </w:pPr>
      <w:r>
        <w:t xml:space="preserve">Raportând aceste </w:t>
      </w:r>
      <w:r>
        <w:t>consideraţii</w:t>
      </w:r>
      <w:r>
        <w:t xml:space="preserve"> la </w:t>
      </w:r>
      <w:r>
        <w:t>speţă</w:t>
      </w:r>
      <w:r>
        <w:t xml:space="preserve">, Curtea va observa că reclamanta nu a expus decât o singură critică ce ar putea fi analizată din perspectiva unei </w:t>
      </w:r>
      <w:r>
        <w:rPr>
          <w:i/>
        </w:rPr>
        <w:t xml:space="preserve">împrejurări legate de starea de fapt </w:t>
      </w:r>
      <w:r>
        <w:rPr>
          <w:i/>
        </w:rPr>
        <w:t>şi</w:t>
      </w:r>
      <w:r>
        <w:rPr>
          <w:i/>
        </w:rPr>
        <w:t xml:space="preserve"> de drept, care să fie de natură să creeze o îndoială serioasă în </w:t>
      </w:r>
      <w:r>
        <w:rPr>
          <w:i/>
        </w:rPr>
        <w:t>privinţa</w:t>
      </w:r>
      <w:r>
        <w:rPr>
          <w:i/>
        </w:rPr>
        <w:t xml:space="preserve"> </w:t>
      </w:r>
      <w:r>
        <w:rPr>
          <w:i/>
        </w:rPr>
        <w:t>legalităţii</w:t>
      </w:r>
      <w:r>
        <w:rPr>
          <w:i/>
        </w:rPr>
        <w:t xml:space="preserve"> actului administrativ</w:t>
      </w:r>
      <w:r>
        <w:t xml:space="preserve">, după cum cer prevederile art. 14 raportat la art. 2 lit. t) din Legea nr. 554/2004, </w:t>
      </w:r>
      <w:r>
        <w:t>şi</w:t>
      </w:r>
      <w:r>
        <w:t xml:space="preserve"> anume, </w:t>
      </w:r>
      <w:r>
        <w:t>susţinerea</w:t>
      </w:r>
      <w:r>
        <w:t xml:space="preserve"> potrivit căreia ordinul de extindere a </w:t>
      </w:r>
      <w:r>
        <w:t>investigaţiei</w:t>
      </w:r>
      <w:r>
        <w:t xml:space="preserve"> nr. </w:t>
      </w:r>
      <w:r>
        <w:t>O1</w:t>
      </w:r>
      <w:r>
        <w:t xml:space="preserve">/27.10.2020 a fost emis fără ca </w:t>
      </w:r>
      <w:r>
        <w:t>Preşedintele</w:t>
      </w:r>
      <w:r>
        <w:t xml:space="preserve"> Consiliului </w:t>
      </w:r>
      <w:r>
        <w:t>Concurenţei</w:t>
      </w:r>
      <w:r>
        <w:t xml:space="preserve"> să aibă mandat valabil.</w:t>
      </w:r>
    </w:p>
    <w:p w:rsidR="00565124" w:rsidP="00565124" w14:paraId="0504436C" w14:textId="31F17E4B">
      <w:pPr>
        <w:tabs>
          <w:tab w:val="left" w:pos="8505"/>
        </w:tabs>
        <w:ind w:firstLine="993"/>
        <w:contextualSpacing/>
        <w:jc w:val="both"/>
      </w:pPr>
      <w:r>
        <w:t xml:space="preserve">Curtea va constata, în temeiul unei analize efectuate la nivel de </w:t>
      </w:r>
      <w:r>
        <w:t>aparenţă</w:t>
      </w:r>
      <w:r>
        <w:t xml:space="preserve">, că ordinul nr. </w:t>
      </w:r>
      <w:r>
        <w:t>O1</w:t>
      </w:r>
      <w:r>
        <w:t xml:space="preserve"> a fost emis la data de 27.10.2020, în timp ce Decizia nr. 58 a </w:t>
      </w:r>
      <w:r>
        <w:t>Curţii</w:t>
      </w:r>
      <w:r>
        <w:t xml:space="preserve"> </w:t>
      </w:r>
      <w:r>
        <w:t>Constituţionale</w:t>
      </w:r>
      <w:r>
        <w:t xml:space="preserve">, invocată în </w:t>
      </w:r>
      <w:r>
        <w:t>susţinerea</w:t>
      </w:r>
      <w:r>
        <w:t xml:space="preserve"> considerentului reclamantei, a fost adoptată la data de 26.01.2021 </w:t>
      </w:r>
      <w:r>
        <w:t>şi</w:t>
      </w:r>
      <w:r>
        <w:t xml:space="preserve"> publicată în Monitorul Oficial nr. 465 din data de 04.05.2021.</w:t>
      </w:r>
    </w:p>
    <w:p w:rsidR="00565124" w:rsidP="00565124" w14:paraId="0F9B463A" w14:textId="77777777">
      <w:pPr>
        <w:ind w:firstLine="993"/>
        <w:jc w:val="both"/>
        <w:rPr>
          <w:i/>
        </w:rPr>
      </w:pPr>
      <w:r>
        <w:t xml:space="preserve">Potrivit prevederilor art. 147 alin. 1 </w:t>
      </w:r>
      <w:r>
        <w:t>şi</w:t>
      </w:r>
      <w:r>
        <w:t xml:space="preserve"> 4 din </w:t>
      </w:r>
      <w:r>
        <w:t>Constituţia</w:t>
      </w:r>
      <w:r>
        <w:t xml:space="preserve"> României, revizuită,</w:t>
      </w:r>
      <w:r>
        <w:rPr>
          <w:i/>
        </w:rPr>
        <w:t xml:space="preserve"> „(1) (1) </w:t>
      </w:r>
      <w:r>
        <w:rPr>
          <w:i/>
        </w:rPr>
        <w:t>Dispoziţiile</w:t>
      </w:r>
      <w:r>
        <w:rPr>
          <w:i/>
        </w:rPr>
        <w:t xml:space="preserve"> din legile </w:t>
      </w:r>
      <w:r>
        <w:rPr>
          <w:i/>
        </w:rPr>
        <w:t>şi</w:t>
      </w:r>
      <w:r>
        <w:rPr>
          <w:i/>
        </w:rPr>
        <w:t xml:space="preserve"> </w:t>
      </w:r>
      <w:r>
        <w:rPr>
          <w:i/>
        </w:rPr>
        <w:t>ordonanţele</w:t>
      </w:r>
      <w:r>
        <w:rPr>
          <w:i/>
        </w:rPr>
        <w:t xml:space="preserve"> în vigoare, precum </w:t>
      </w:r>
      <w:r>
        <w:rPr>
          <w:i/>
        </w:rPr>
        <w:t>şi</w:t>
      </w:r>
      <w:r>
        <w:rPr>
          <w:i/>
        </w:rPr>
        <w:t xml:space="preserve"> cele din regulamente, constatate ca fiind </w:t>
      </w:r>
      <w:r>
        <w:rPr>
          <w:i/>
        </w:rPr>
        <w:t>neconstituţionale</w:t>
      </w:r>
      <w:r>
        <w:rPr>
          <w:i/>
        </w:rPr>
        <w:t xml:space="preserve">, </w:t>
      </w:r>
      <w:r>
        <w:rPr>
          <w:i/>
        </w:rPr>
        <w:t>îşi</w:t>
      </w:r>
      <w:r>
        <w:rPr>
          <w:i/>
        </w:rPr>
        <w:t xml:space="preserve"> încetează efectele juridice la 45 de zile de la publicarea deciziei </w:t>
      </w:r>
      <w:r>
        <w:rPr>
          <w:i/>
        </w:rPr>
        <w:t>Curţii</w:t>
      </w:r>
      <w:r>
        <w:rPr>
          <w:i/>
        </w:rPr>
        <w:t xml:space="preserve"> </w:t>
      </w:r>
      <w:r>
        <w:rPr>
          <w:i/>
        </w:rPr>
        <w:t>Constituţionale</w:t>
      </w:r>
      <w:r>
        <w:rPr>
          <w:i/>
        </w:rPr>
        <w:t xml:space="preserve"> dacă, în acest interval, Parlamentul sau Guvernul, după caz, nu pun de acord prevederile </w:t>
      </w:r>
      <w:r>
        <w:rPr>
          <w:i/>
        </w:rPr>
        <w:t>neconstituţionale</w:t>
      </w:r>
      <w:r>
        <w:rPr>
          <w:i/>
        </w:rPr>
        <w:t xml:space="preserve"> cu </w:t>
      </w:r>
      <w:r>
        <w:rPr>
          <w:i/>
        </w:rPr>
        <w:t>dispoziţiile</w:t>
      </w:r>
      <w:r>
        <w:rPr>
          <w:i/>
        </w:rPr>
        <w:t xml:space="preserve"> </w:t>
      </w:r>
      <w:r>
        <w:rPr>
          <w:i/>
        </w:rPr>
        <w:t>Constituţiei</w:t>
      </w:r>
      <w:r>
        <w:rPr>
          <w:i/>
        </w:rPr>
        <w:t xml:space="preserve">. Pe durata acestui termen, </w:t>
      </w:r>
      <w:r>
        <w:rPr>
          <w:i/>
        </w:rPr>
        <w:t>dispoziţiile</w:t>
      </w:r>
      <w:r>
        <w:rPr>
          <w:i/>
        </w:rPr>
        <w:t xml:space="preserve"> constatate ca fiind </w:t>
      </w:r>
      <w:r>
        <w:rPr>
          <w:i/>
        </w:rPr>
        <w:t>neconstituţionale</w:t>
      </w:r>
      <w:r>
        <w:rPr>
          <w:i/>
        </w:rPr>
        <w:t xml:space="preserve"> sunt suspendate de drept. (4) Deciziile </w:t>
      </w:r>
      <w:r>
        <w:rPr>
          <w:i/>
        </w:rPr>
        <w:t>Curţii</w:t>
      </w:r>
      <w:r>
        <w:rPr>
          <w:i/>
        </w:rPr>
        <w:t xml:space="preserve"> </w:t>
      </w:r>
      <w:r>
        <w:rPr>
          <w:i/>
        </w:rPr>
        <w:t>Constituţionale</w:t>
      </w:r>
      <w:r>
        <w:rPr>
          <w:i/>
        </w:rPr>
        <w:t xml:space="preserve"> se publică în Monitorul Oficial al României. De la data publicării, deciziile sunt general obligatorii </w:t>
      </w:r>
      <w:r>
        <w:rPr>
          <w:i/>
        </w:rPr>
        <w:t>şi</w:t>
      </w:r>
      <w:r>
        <w:rPr>
          <w:i/>
        </w:rPr>
        <w:t xml:space="preserve"> au putere numai pentru viitor”. </w:t>
      </w:r>
    </w:p>
    <w:p w:rsidR="00565124" w:rsidP="00565124" w14:paraId="52E1D731" w14:textId="77777777">
      <w:pPr>
        <w:ind w:firstLine="993"/>
        <w:jc w:val="both"/>
        <w:rPr>
          <w:i/>
        </w:rPr>
      </w:pPr>
      <w:r>
        <w:t xml:space="preserve">Totodată, conform prevederilor art. 31 alin. 1-3 din Legea nr. 47/1992 privind organizarea </w:t>
      </w:r>
      <w:r>
        <w:t>şi</w:t>
      </w:r>
      <w:r>
        <w:t xml:space="preserve"> </w:t>
      </w:r>
      <w:r>
        <w:t>funcţionarea</w:t>
      </w:r>
      <w:r>
        <w:t xml:space="preserve"> </w:t>
      </w:r>
      <w:r>
        <w:t>Curţii</w:t>
      </w:r>
      <w:r>
        <w:t xml:space="preserve"> </w:t>
      </w:r>
      <w:r>
        <w:t>Constituţionale</w:t>
      </w:r>
      <w:r>
        <w:t xml:space="preserve">, </w:t>
      </w:r>
      <w:r>
        <w:rPr>
          <w:i/>
        </w:rPr>
        <w:t xml:space="preserve">„(1) Decizia prin care se constată </w:t>
      </w:r>
      <w:r>
        <w:rPr>
          <w:i/>
        </w:rPr>
        <w:t>neconstituţionalitatea</w:t>
      </w:r>
      <w:r>
        <w:rPr>
          <w:i/>
        </w:rPr>
        <w:t xml:space="preserve"> unei legi sau </w:t>
      </w:r>
      <w:r>
        <w:rPr>
          <w:i/>
        </w:rPr>
        <w:t>ordonanţe</w:t>
      </w:r>
      <w:r>
        <w:rPr>
          <w:i/>
        </w:rPr>
        <w:t xml:space="preserve"> ori a unei </w:t>
      </w:r>
      <w:r>
        <w:rPr>
          <w:i/>
        </w:rPr>
        <w:t>dispoziţii</w:t>
      </w:r>
      <w:r>
        <w:rPr>
          <w:i/>
        </w:rPr>
        <w:t xml:space="preserve"> dintr-o lege sau dintr-o </w:t>
      </w:r>
      <w:r>
        <w:rPr>
          <w:i/>
        </w:rPr>
        <w:t>ordonanţă</w:t>
      </w:r>
      <w:r>
        <w:rPr>
          <w:i/>
        </w:rPr>
        <w:t xml:space="preserve"> în vigoare*) este definitivă </w:t>
      </w:r>
      <w:r>
        <w:rPr>
          <w:i/>
        </w:rPr>
        <w:t>şi</w:t>
      </w:r>
      <w:r>
        <w:rPr>
          <w:i/>
        </w:rPr>
        <w:t xml:space="preserve"> obligatorie. (2) În caz de admitere a </w:t>
      </w:r>
      <w:r>
        <w:rPr>
          <w:i/>
        </w:rPr>
        <w:t>excepţiei</w:t>
      </w:r>
      <w:r>
        <w:rPr>
          <w:i/>
        </w:rPr>
        <w:t xml:space="preserve">, Curtea se va </w:t>
      </w:r>
      <w:r>
        <w:rPr>
          <w:i/>
        </w:rPr>
        <w:t>pronunţa</w:t>
      </w:r>
      <w:r>
        <w:rPr>
          <w:i/>
        </w:rPr>
        <w:t xml:space="preserve"> </w:t>
      </w:r>
      <w:r>
        <w:rPr>
          <w:i/>
        </w:rPr>
        <w:t>şi</w:t>
      </w:r>
      <w:r>
        <w:rPr>
          <w:i/>
        </w:rPr>
        <w:t xml:space="preserve"> asupra </w:t>
      </w:r>
      <w:r>
        <w:rPr>
          <w:i/>
        </w:rPr>
        <w:t>constituţionalităţii</w:t>
      </w:r>
      <w:r>
        <w:rPr>
          <w:i/>
        </w:rPr>
        <w:t xml:space="preserve"> altor prevederi din actul atacat, de care, în mod necesar </w:t>
      </w:r>
      <w:r>
        <w:rPr>
          <w:i/>
        </w:rPr>
        <w:t>şi</w:t>
      </w:r>
      <w:r>
        <w:rPr>
          <w:i/>
        </w:rPr>
        <w:t xml:space="preserve"> evident, nu pot fi disociate prevederile </w:t>
      </w:r>
      <w:r>
        <w:rPr>
          <w:i/>
        </w:rPr>
        <w:t>menţionate</w:t>
      </w:r>
      <w:r>
        <w:rPr>
          <w:i/>
        </w:rPr>
        <w:t xml:space="preserve"> în sesizare. (3) </w:t>
      </w:r>
      <w:r>
        <w:rPr>
          <w:i/>
        </w:rPr>
        <w:t>Dispoziţiile</w:t>
      </w:r>
      <w:r>
        <w:rPr>
          <w:i/>
        </w:rPr>
        <w:t xml:space="preserve"> din legile </w:t>
      </w:r>
      <w:r>
        <w:rPr>
          <w:i/>
        </w:rPr>
        <w:t>şi</w:t>
      </w:r>
      <w:r>
        <w:rPr>
          <w:i/>
        </w:rPr>
        <w:t xml:space="preserve"> </w:t>
      </w:r>
      <w:r>
        <w:rPr>
          <w:i/>
        </w:rPr>
        <w:t>ordonanţele</w:t>
      </w:r>
      <w:r>
        <w:rPr>
          <w:i/>
        </w:rPr>
        <w:t xml:space="preserve"> în vigoare constatate ca fiind </w:t>
      </w:r>
      <w:r>
        <w:rPr>
          <w:i/>
        </w:rPr>
        <w:t>neconstituţionale</w:t>
      </w:r>
      <w:r>
        <w:rPr>
          <w:i/>
        </w:rPr>
        <w:t xml:space="preserve"> </w:t>
      </w:r>
      <w:r>
        <w:rPr>
          <w:i/>
        </w:rPr>
        <w:t>îşi</w:t>
      </w:r>
      <w:r>
        <w:rPr>
          <w:i/>
        </w:rPr>
        <w:t xml:space="preserve"> încetează efectele juridice la 45 de zile de la publicarea deciziei </w:t>
      </w:r>
      <w:r>
        <w:rPr>
          <w:i/>
        </w:rPr>
        <w:t>Curţii</w:t>
      </w:r>
      <w:r>
        <w:rPr>
          <w:i/>
        </w:rPr>
        <w:t xml:space="preserve"> </w:t>
      </w:r>
      <w:r>
        <w:rPr>
          <w:i/>
        </w:rPr>
        <w:t>Constituţionale</w:t>
      </w:r>
      <w:r>
        <w:rPr>
          <w:i/>
        </w:rPr>
        <w:t xml:space="preserve">, dacă, în acest interval, Parlamentul sau Guvernul, după caz, nu pune de acord prevederile </w:t>
      </w:r>
      <w:r>
        <w:rPr>
          <w:i/>
        </w:rPr>
        <w:t>neconstituţionale</w:t>
      </w:r>
      <w:r>
        <w:rPr>
          <w:i/>
        </w:rPr>
        <w:t xml:space="preserve"> cu </w:t>
      </w:r>
      <w:r>
        <w:rPr>
          <w:i/>
        </w:rPr>
        <w:t>dispoziţiile</w:t>
      </w:r>
      <w:r>
        <w:rPr>
          <w:i/>
        </w:rPr>
        <w:t xml:space="preserve"> </w:t>
      </w:r>
      <w:r>
        <w:rPr>
          <w:i/>
        </w:rPr>
        <w:t>Constituţiei</w:t>
      </w:r>
      <w:r>
        <w:rPr>
          <w:i/>
        </w:rPr>
        <w:t xml:space="preserve">. Pe durata acestui termen, </w:t>
      </w:r>
      <w:r>
        <w:rPr>
          <w:i/>
        </w:rPr>
        <w:t>dispoziţiile</w:t>
      </w:r>
      <w:r>
        <w:rPr>
          <w:i/>
        </w:rPr>
        <w:t xml:space="preserve"> constatate ca fiind </w:t>
      </w:r>
      <w:r>
        <w:rPr>
          <w:i/>
        </w:rPr>
        <w:t>neconstituţionale</w:t>
      </w:r>
      <w:r>
        <w:rPr>
          <w:i/>
        </w:rPr>
        <w:t xml:space="preserve"> sunt suspendate de drept”.</w:t>
      </w:r>
    </w:p>
    <w:p w:rsidR="00565124" w:rsidP="00565124" w14:paraId="3D094E83" w14:textId="77777777">
      <w:pPr>
        <w:tabs>
          <w:tab w:val="left" w:pos="8505"/>
        </w:tabs>
        <w:ind w:firstLine="993"/>
        <w:contextualSpacing/>
        <w:jc w:val="both"/>
      </w:pPr>
      <w:r>
        <w:t xml:space="preserve">În interpretarea acestor prevederi legale, Curtea va considera că Decizia </w:t>
      </w:r>
      <w:r>
        <w:t>Curţii</w:t>
      </w:r>
      <w:r>
        <w:t xml:space="preserve"> </w:t>
      </w:r>
      <w:r>
        <w:t>Constituţionale</w:t>
      </w:r>
      <w:r>
        <w:t xml:space="preserve"> nr. 58/2021, prin care a fost admisă </w:t>
      </w:r>
      <w:r>
        <w:t>excepţia</w:t>
      </w:r>
      <w:r>
        <w:t xml:space="preserve"> de </w:t>
      </w:r>
      <w:r>
        <w:t>neconstituţionalitate</w:t>
      </w:r>
      <w:r>
        <w:t xml:space="preserve"> a </w:t>
      </w:r>
      <w:r>
        <w:t>dispoziţiilor</w:t>
      </w:r>
      <w:r>
        <w:t xml:space="preserve"> art. 18 alin. 3 din Legea </w:t>
      </w:r>
      <w:r>
        <w:t>concurenţei</w:t>
      </w:r>
      <w:r>
        <w:t xml:space="preserve"> nr. 21/1996, nu a produs efecte decât din momentul publicării în Monitorul Oficial al României, pentru viitor, considerent pentru care trebuie admis faptul că, anterior, la data de 27.10.2020, textul legal era în vigoare </w:t>
      </w:r>
      <w:r>
        <w:t>şi</w:t>
      </w:r>
      <w:r>
        <w:t xml:space="preserve"> producea efecte.</w:t>
      </w:r>
    </w:p>
    <w:p w:rsidR="00565124" w:rsidP="00565124" w14:paraId="2915DE05" w14:textId="7A02088B">
      <w:pPr>
        <w:tabs>
          <w:tab w:val="left" w:pos="8505"/>
        </w:tabs>
        <w:ind w:firstLine="993"/>
        <w:contextualSpacing/>
        <w:jc w:val="both"/>
      </w:pPr>
      <w:r>
        <w:t>Aşadar</w:t>
      </w:r>
      <w:r>
        <w:t xml:space="preserve">, în mod corect </w:t>
      </w:r>
      <w:r>
        <w:t>susţine</w:t>
      </w:r>
      <w:r>
        <w:t xml:space="preserve"> pârâtul caracterul legal al deciziei nr. .</w:t>
      </w:r>
      <w:r>
        <w:t>D1/</w:t>
      </w:r>
      <w:r>
        <w:t xml:space="preserve">2022 în considerarea faptului că la data emiterii ordinului nr. </w:t>
      </w:r>
      <w:r>
        <w:t>O1</w:t>
      </w:r>
      <w:r>
        <w:t xml:space="preserve">/27.10.2020, textul art. 18 alin. 3 din Legea nr. 21/1996 era în vigoare, astfel că în </w:t>
      </w:r>
      <w:r>
        <w:t>privinţa</w:t>
      </w:r>
      <w:r>
        <w:t xml:space="preserve"> celor două acte nu poate fi </w:t>
      </w:r>
      <w:r>
        <w:t>reţinut</w:t>
      </w:r>
      <w:r>
        <w:t xml:space="preserve"> niciun viciu de nelegalitate, orice interpretare contrară fiind de natură să contravină textelor legale evocate </w:t>
      </w:r>
      <w:r>
        <w:t>şi</w:t>
      </w:r>
      <w:r>
        <w:t xml:space="preserve"> principiului </w:t>
      </w:r>
      <w:r>
        <w:t>constituţional</w:t>
      </w:r>
      <w:r>
        <w:t xml:space="preserve"> al </w:t>
      </w:r>
      <w:r>
        <w:t>neretroactivităţii</w:t>
      </w:r>
      <w:r>
        <w:t xml:space="preserve"> legii noi (prevăzut de art. 15 alin. 2 din </w:t>
      </w:r>
      <w:r>
        <w:t>Constituţia</w:t>
      </w:r>
      <w:r>
        <w:t xml:space="preserve"> României), precum </w:t>
      </w:r>
      <w:r>
        <w:t>şi</w:t>
      </w:r>
      <w:r>
        <w:t xml:space="preserve"> principiului certitudinii </w:t>
      </w:r>
      <w:r>
        <w:t>şi</w:t>
      </w:r>
      <w:r>
        <w:t xml:space="preserve"> </w:t>
      </w:r>
      <w:r>
        <w:t>securităţii</w:t>
      </w:r>
      <w:r>
        <w:t xml:space="preserve"> raporturilor juridice.</w:t>
      </w:r>
    </w:p>
    <w:p w:rsidR="00565124" w:rsidP="00565124" w14:paraId="46F324E8" w14:textId="77777777">
      <w:pPr>
        <w:tabs>
          <w:tab w:val="left" w:pos="8505"/>
        </w:tabs>
        <w:ind w:firstLine="993"/>
        <w:contextualSpacing/>
        <w:jc w:val="both"/>
      </w:pPr>
      <w:r>
        <w:t xml:space="preserve">Celelalte </w:t>
      </w:r>
      <w:r>
        <w:t>susţineri</w:t>
      </w:r>
      <w:r>
        <w:t xml:space="preserve"> ale </w:t>
      </w:r>
      <w:r>
        <w:t>părţii</w:t>
      </w:r>
      <w:r>
        <w:t xml:space="preserve"> reclamante reprezintă veritabile critici de nelegalitate, ce nu pot fi dezlegate decât de </w:t>
      </w:r>
      <w:r>
        <w:t>instanţa</w:t>
      </w:r>
      <w:r>
        <w:t xml:space="preserve"> fondului.</w:t>
      </w:r>
    </w:p>
    <w:p w:rsidR="00565124" w:rsidP="00565124" w14:paraId="78DBAFDF" w14:textId="3C593428">
      <w:pPr>
        <w:tabs>
          <w:tab w:val="left" w:pos="8505"/>
        </w:tabs>
        <w:ind w:firstLine="993"/>
        <w:contextualSpacing/>
        <w:jc w:val="both"/>
      </w:pPr>
      <w:r>
        <w:t xml:space="preserve">Astfel, reclamanta </w:t>
      </w:r>
      <w:r>
        <w:t>susţine</w:t>
      </w:r>
      <w:r>
        <w:t xml:space="preserve"> că decizia nr. .</w:t>
      </w:r>
      <w:r>
        <w:t>D1/</w:t>
      </w:r>
      <w:r>
        <w:t>2022 ar fi nelegală deoarece:</w:t>
      </w:r>
    </w:p>
    <w:p w:rsidR="00565124" w:rsidP="00565124" w14:paraId="1EF6E4D1" w14:textId="77777777">
      <w:pPr>
        <w:tabs>
          <w:tab w:val="left" w:pos="8505"/>
        </w:tabs>
        <w:ind w:firstLine="993"/>
        <w:contextualSpacing/>
        <w:jc w:val="both"/>
      </w:pPr>
      <w:r>
        <w:t xml:space="preserve">a) analiza efectuată în decizie ignoră </w:t>
      </w:r>
      <w:r>
        <w:t>existenţa</w:t>
      </w:r>
      <w:r>
        <w:t xml:space="preserve"> </w:t>
      </w:r>
      <w:r>
        <w:t>distribuţiei</w:t>
      </w:r>
      <w:r>
        <w:t xml:space="preserve"> duale care obligă autoritatea la verificarea </w:t>
      </w:r>
      <w:r>
        <w:t>incidenţei</w:t>
      </w:r>
      <w:r>
        <w:t xml:space="preserve"> exceptărilor prevăzute în Regulamentul (UE) nr. 720/2022,</w:t>
      </w:r>
    </w:p>
    <w:p w:rsidR="00565124" w:rsidP="00565124" w14:paraId="00B4E17F" w14:textId="77777777">
      <w:pPr>
        <w:tabs>
          <w:tab w:val="left" w:pos="8505"/>
        </w:tabs>
        <w:ind w:firstLine="993"/>
        <w:contextualSpacing/>
        <w:jc w:val="both"/>
      </w:pPr>
      <w:r>
        <w:t xml:space="preserve">b) în decizie nu este </w:t>
      </w:r>
      <w:r>
        <w:t>reţinută</w:t>
      </w:r>
      <w:r>
        <w:t xml:space="preserve"> în mod corect o încălcare prin obiect,</w:t>
      </w:r>
    </w:p>
    <w:p w:rsidR="00565124" w:rsidP="00565124" w14:paraId="363B8820" w14:textId="77777777">
      <w:pPr>
        <w:tabs>
          <w:tab w:val="left" w:pos="8505"/>
        </w:tabs>
        <w:ind w:firstLine="993"/>
        <w:contextualSpacing/>
        <w:jc w:val="both"/>
      </w:pPr>
      <w:r>
        <w:t>c) decizia nu conferă certitudine asupra caracterului unic al faptei constatate.</w:t>
      </w:r>
    </w:p>
    <w:p w:rsidR="00565124" w:rsidP="00565124" w14:paraId="24E1F5F1" w14:textId="77777777">
      <w:pPr>
        <w:tabs>
          <w:tab w:val="left" w:pos="8505"/>
        </w:tabs>
        <w:ind w:firstLine="993"/>
        <w:contextualSpacing/>
        <w:jc w:val="both"/>
      </w:pPr>
      <w:r>
        <w:t xml:space="preserve">Reiese cu </w:t>
      </w:r>
      <w:r>
        <w:t>evidenţă</w:t>
      </w:r>
      <w:r>
        <w:t xml:space="preserve">, atât din criticile efectiv formulate cât </w:t>
      </w:r>
      <w:r>
        <w:t>şi</w:t>
      </w:r>
      <w:r>
        <w:t xml:space="preserve"> din argumentele expuse în dezvoltarea lor, că nu sunt invocate împrejurări care să poată fi analizate din perspectiva cazului bine justificat deoarece nu sunt împrejurări de natură a crea o îndoială serioasă în </w:t>
      </w:r>
      <w:r>
        <w:t>privinţa</w:t>
      </w:r>
      <w:r>
        <w:t xml:space="preserve"> </w:t>
      </w:r>
      <w:r>
        <w:t>legalităţii</w:t>
      </w:r>
      <w:r>
        <w:t xml:space="preserve"> actului administrativ, ci sunt motive de nelegalitate </w:t>
      </w:r>
      <w:r>
        <w:t>şi</w:t>
      </w:r>
      <w:r>
        <w:t xml:space="preserve"> de netemeinicie, de fond, ce presupun o analiză efectivă, prin raportare la </w:t>
      </w:r>
      <w:r>
        <w:t>legislaţia</w:t>
      </w:r>
      <w:r>
        <w:t xml:space="preserve"> incidentă, la actele dosarului </w:t>
      </w:r>
      <w:r>
        <w:t>şi</w:t>
      </w:r>
      <w:r>
        <w:t xml:space="preserve"> la apărările pârâtului, ce excedează examenului de </w:t>
      </w:r>
      <w:r>
        <w:t>suprafaţă</w:t>
      </w:r>
      <w:r>
        <w:t xml:space="preserve"> posibil a fi efectuat în procedura suspendării executării silite a actului administrativ.</w:t>
      </w:r>
    </w:p>
    <w:p w:rsidR="00565124" w:rsidP="00565124" w14:paraId="0BA4D3FA" w14:textId="77777777">
      <w:pPr>
        <w:tabs>
          <w:tab w:val="left" w:pos="8505"/>
        </w:tabs>
        <w:ind w:firstLine="993"/>
        <w:contextualSpacing/>
        <w:jc w:val="both"/>
      </w:pPr>
      <w:r>
        <w:t xml:space="preserve">Nu se poate răspunde deci </w:t>
      </w:r>
      <w:r>
        <w:t>susţinerilor</w:t>
      </w:r>
      <w:r>
        <w:t xml:space="preserve"> reclamantei decât dacă se decide, motivat, în sensul </w:t>
      </w:r>
      <w:r>
        <w:t>existenţei</w:t>
      </w:r>
      <w:r>
        <w:t xml:space="preserve"> ori </w:t>
      </w:r>
      <w:r>
        <w:t>inexistenţei</w:t>
      </w:r>
      <w:r>
        <w:t xml:space="preserve"> unei încălcări a prevederilor art. 5 alin. 1 din Legea nr. 21/1996 </w:t>
      </w:r>
      <w:r>
        <w:t>şi</w:t>
      </w:r>
      <w:r>
        <w:t xml:space="preserve"> a prevederilor art. 101 alin. 1 TFUE, prin încheierea unei </w:t>
      </w:r>
      <w:r>
        <w:t>înţelegeri</w:t>
      </w:r>
      <w:r>
        <w:t xml:space="preserve">/practici concertate de </w:t>
      </w:r>
      <w:r>
        <w:t>împărţire</w:t>
      </w:r>
      <w:r>
        <w:t xml:space="preserve"> a </w:t>
      </w:r>
      <w:r>
        <w:t>pieţei</w:t>
      </w:r>
      <w:r>
        <w:t xml:space="preserve">, prin alocarea </w:t>
      </w:r>
      <w:r>
        <w:t>clienţilor</w:t>
      </w:r>
      <w:r>
        <w:t xml:space="preserve"> </w:t>
      </w:r>
      <w:r>
        <w:t>şi</w:t>
      </w:r>
      <w:r>
        <w:t xml:space="preserve"> a produselor, cu elemente de coordonare a </w:t>
      </w:r>
      <w:r>
        <w:t>preţurilor</w:t>
      </w:r>
      <w:r>
        <w:t xml:space="preserve">, pe </w:t>
      </w:r>
      <w:r>
        <w:t>piaţa</w:t>
      </w:r>
      <w:r>
        <w:t xml:space="preserve"> comercializării de produse </w:t>
      </w:r>
      <w:r>
        <w:t>şi</w:t>
      </w:r>
      <w:r>
        <w:t xml:space="preserve"> echipamente din domeniul </w:t>
      </w:r>
      <w:r>
        <w:t>sănătăţii</w:t>
      </w:r>
      <w:r>
        <w:t xml:space="preserve"> </w:t>
      </w:r>
      <w:r>
        <w:t>şi</w:t>
      </w:r>
      <w:r>
        <w:t xml:space="preserve"> </w:t>
      </w:r>
      <w:r>
        <w:t>securităţii</w:t>
      </w:r>
      <w:r>
        <w:t xml:space="preserve"> în muncă din România.</w:t>
      </w:r>
    </w:p>
    <w:p w:rsidR="00565124" w:rsidP="00565124" w14:paraId="4D64E4DA" w14:textId="77777777">
      <w:pPr>
        <w:tabs>
          <w:tab w:val="left" w:pos="8505"/>
        </w:tabs>
        <w:ind w:firstLine="993"/>
        <w:contextualSpacing/>
        <w:jc w:val="both"/>
      </w:pPr>
      <w:r>
        <w:t xml:space="preserve">Ceea ce se poate observa este că decizia litigioasă a fost motivată în fapt </w:t>
      </w:r>
      <w:r>
        <w:t>şi</w:t>
      </w:r>
      <w:r>
        <w:t xml:space="preserve"> în drept, pârâtul prezentând argumentele sale pentru care a considerat că există o încălcare a </w:t>
      </w:r>
      <w:r>
        <w:t>menţionatelor</w:t>
      </w:r>
      <w:r>
        <w:t xml:space="preserve"> prevederi legale, urmând ca, pe baza probatoriului complex impus de </w:t>
      </w:r>
      <w:r>
        <w:t>speţă</w:t>
      </w:r>
      <w:r>
        <w:t xml:space="preserve">, </w:t>
      </w:r>
      <w:r>
        <w:t>instanţa</w:t>
      </w:r>
      <w:r>
        <w:t xml:space="preserve"> de fond să examineze </w:t>
      </w:r>
      <w:r>
        <w:t>susţinerile</w:t>
      </w:r>
      <w:r>
        <w:t xml:space="preserve"> </w:t>
      </w:r>
      <w:r>
        <w:t>părţilor</w:t>
      </w:r>
      <w:r>
        <w:t xml:space="preserve"> </w:t>
      </w:r>
      <w:r>
        <w:t>şi</w:t>
      </w:r>
      <w:r>
        <w:t xml:space="preserve"> să decidă cu privire la temeinicia acestora.</w:t>
      </w:r>
    </w:p>
    <w:p w:rsidR="00565124" w:rsidP="00565124" w14:paraId="32AC6087" w14:textId="77777777">
      <w:pPr>
        <w:pStyle w:val="Style33"/>
        <w:widowControl/>
        <w:spacing w:before="5" w:line="240" w:lineRule="auto"/>
        <w:ind w:firstLine="993"/>
        <w:rPr>
          <w:rStyle w:val="FontStyle80"/>
          <w:rFonts w:ascii="Times New Roman" w:hAnsi="Times New Roman"/>
        </w:rPr>
      </w:pPr>
      <w:r>
        <w:rPr>
          <w:rStyle w:val="FontStyle80"/>
          <w:rFonts w:ascii="Times New Roman" w:hAnsi="Times New Roman"/>
        </w:rPr>
        <w:t xml:space="preserve">Exemplificativ, reclamanta contestă calificarea </w:t>
      </w:r>
      <w:r>
        <w:rPr>
          <w:rStyle w:val="FontStyle80"/>
          <w:rFonts w:ascii="Times New Roman" w:hAnsi="Times New Roman"/>
        </w:rPr>
        <w:t>modalităţii</w:t>
      </w:r>
      <w:r>
        <w:rPr>
          <w:rStyle w:val="FontStyle80"/>
          <w:rFonts w:ascii="Times New Roman" w:hAnsi="Times New Roman"/>
        </w:rPr>
        <w:t xml:space="preserve"> de colaborare dintre X  </w:t>
      </w:r>
      <w:r>
        <w:rPr>
          <w:rStyle w:val="FontStyle80"/>
          <w:rFonts w:ascii="Times New Roman" w:hAnsi="Times New Roman"/>
        </w:rPr>
        <w:t>şi</w:t>
      </w:r>
      <w:r>
        <w:rPr>
          <w:rStyle w:val="FontStyle80"/>
          <w:rFonts w:ascii="Times New Roman" w:hAnsi="Times New Roman"/>
        </w:rPr>
        <w:t xml:space="preserve"> Z , respectiv </w:t>
      </w:r>
      <w:r>
        <w:rPr>
          <w:rStyle w:val="FontStyle80"/>
          <w:rFonts w:ascii="Times New Roman" w:hAnsi="Times New Roman"/>
        </w:rPr>
        <w:t>corespondenţa</w:t>
      </w:r>
      <w:r>
        <w:rPr>
          <w:rStyle w:val="FontStyle80"/>
          <w:rFonts w:ascii="Times New Roman" w:hAnsi="Times New Roman"/>
        </w:rPr>
        <w:t xml:space="preserve"> realizată în contextul </w:t>
      </w:r>
      <w:r>
        <w:rPr>
          <w:rStyle w:val="FontStyle80"/>
          <w:rFonts w:ascii="Times New Roman" w:hAnsi="Times New Roman"/>
        </w:rPr>
        <w:t>relaţiei</w:t>
      </w:r>
      <w:r>
        <w:rPr>
          <w:rStyle w:val="FontStyle80"/>
          <w:rFonts w:ascii="Times New Roman" w:hAnsi="Times New Roman"/>
        </w:rPr>
        <w:t xml:space="preserve"> de </w:t>
      </w:r>
      <w:r>
        <w:rPr>
          <w:rStyle w:val="FontStyle80"/>
          <w:rFonts w:ascii="Times New Roman" w:hAnsi="Times New Roman"/>
        </w:rPr>
        <w:t>distribuţie</w:t>
      </w:r>
      <w:r>
        <w:rPr>
          <w:rStyle w:val="FontStyle80"/>
          <w:rFonts w:ascii="Times New Roman" w:hAnsi="Times New Roman"/>
        </w:rPr>
        <w:t xml:space="preserve"> între cele două ca fiind parte dintr-o </w:t>
      </w:r>
      <w:r>
        <w:rPr>
          <w:rStyle w:val="FontStyle80"/>
          <w:rFonts w:ascii="Times New Roman" w:hAnsi="Times New Roman"/>
        </w:rPr>
        <w:t>înţelegere</w:t>
      </w:r>
      <w:r>
        <w:rPr>
          <w:rStyle w:val="FontStyle80"/>
          <w:rFonts w:ascii="Times New Roman" w:hAnsi="Times New Roman"/>
        </w:rPr>
        <w:t xml:space="preserve">/practică concertată între </w:t>
      </w:r>
      <w:r>
        <w:rPr>
          <w:rStyle w:val="FontStyle80"/>
          <w:rFonts w:ascii="Times New Roman" w:hAnsi="Times New Roman"/>
        </w:rPr>
        <w:t>concurenţi</w:t>
      </w:r>
      <w:r>
        <w:rPr>
          <w:rStyle w:val="FontStyle80"/>
          <w:rFonts w:ascii="Times New Roman" w:hAnsi="Times New Roman"/>
        </w:rPr>
        <w:t xml:space="preserve"> (</w:t>
      </w:r>
      <w:r>
        <w:rPr>
          <w:rStyle w:val="FontStyle80"/>
          <w:rFonts w:ascii="Times New Roman" w:hAnsi="Times New Roman"/>
        </w:rPr>
        <w:t>înţelegere</w:t>
      </w:r>
      <w:r>
        <w:rPr>
          <w:rStyle w:val="FontStyle80"/>
          <w:rFonts w:ascii="Times New Roman" w:hAnsi="Times New Roman"/>
        </w:rPr>
        <w:t xml:space="preserve"> orizontală), învederând că pârâtul </w:t>
      </w:r>
      <w:r>
        <w:rPr>
          <w:rStyle w:val="FontStyle80"/>
          <w:rFonts w:ascii="Times New Roman" w:hAnsi="Times New Roman"/>
        </w:rPr>
        <w:t>nesocoteşte</w:t>
      </w:r>
      <w:r>
        <w:rPr>
          <w:rStyle w:val="FontStyle80"/>
          <w:rFonts w:ascii="Times New Roman" w:hAnsi="Times New Roman"/>
        </w:rPr>
        <w:t xml:space="preserve"> faptul că </w:t>
      </w:r>
      <w:r>
        <w:rPr>
          <w:rStyle w:val="FontStyle80"/>
          <w:rFonts w:ascii="Times New Roman" w:hAnsi="Times New Roman"/>
        </w:rPr>
        <w:t>părţile</w:t>
      </w:r>
      <w:r>
        <w:rPr>
          <w:rStyle w:val="FontStyle80"/>
          <w:rFonts w:ascii="Times New Roman" w:hAnsi="Times New Roman"/>
        </w:rPr>
        <w:t xml:space="preserve"> se află într-un sistem de </w:t>
      </w:r>
      <w:r>
        <w:rPr>
          <w:rStyle w:val="FontStyle80"/>
          <w:rFonts w:ascii="Times New Roman" w:hAnsi="Times New Roman"/>
        </w:rPr>
        <w:t>distribuţie</w:t>
      </w:r>
      <w:r>
        <w:rPr>
          <w:rStyle w:val="FontStyle80"/>
          <w:rFonts w:ascii="Times New Roman" w:hAnsi="Times New Roman"/>
        </w:rPr>
        <w:t xml:space="preserve"> duală, care necesită analiza </w:t>
      </w:r>
      <w:r>
        <w:rPr>
          <w:rStyle w:val="FontStyle80"/>
          <w:rFonts w:ascii="Times New Roman" w:hAnsi="Times New Roman"/>
        </w:rPr>
        <w:t>relaţiilor</w:t>
      </w:r>
      <w:r>
        <w:rPr>
          <w:rStyle w:val="FontStyle80"/>
          <w:rFonts w:ascii="Times New Roman" w:hAnsi="Times New Roman"/>
        </w:rPr>
        <w:t xml:space="preserve"> comerciale existente între </w:t>
      </w:r>
      <w:r>
        <w:rPr>
          <w:rStyle w:val="FontStyle80"/>
          <w:rFonts w:ascii="Times New Roman" w:hAnsi="Times New Roman"/>
        </w:rPr>
        <w:t>aceştia</w:t>
      </w:r>
      <w:r>
        <w:rPr>
          <w:rStyle w:val="FontStyle80"/>
          <w:rFonts w:ascii="Times New Roman" w:hAnsi="Times New Roman"/>
        </w:rPr>
        <w:t xml:space="preserve"> din perspectivă verticală (</w:t>
      </w:r>
      <w:r>
        <w:rPr>
          <w:rStyle w:val="FontStyle80"/>
          <w:rFonts w:ascii="Times New Roman" w:hAnsi="Times New Roman"/>
        </w:rPr>
        <w:t>şi</w:t>
      </w:r>
      <w:r>
        <w:rPr>
          <w:rStyle w:val="FontStyle80"/>
          <w:rFonts w:ascii="Times New Roman" w:hAnsi="Times New Roman"/>
        </w:rPr>
        <w:t xml:space="preserve"> nu orizontală).</w:t>
      </w:r>
    </w:p>
    <w:p w:rsidR="00565124" w:rsidP="00565124" w14:paraId="19FFF303" w14:textId="77777777">
      <w:pPr>
        <w:pStyle w:val="Style33"/>
        <w:widowControl/>
        <w:spacing w:before="14" w:line="240" w:lineRule="auto"/>
        <w:ind w:firstLine="993"/>
        <w:rPr>
          <w:rStyle w:val="FontStyle80"/>
          <w:rFonts w:ascii="Times New Roman" w:hAnsi="Times New Roman"/>
        </w:rPr>
      </w:pPr>
      <w:r>
        <w:t xml:space="preserve">De asemenea, </w:t>
      </w:r>
      <w:r>
        <w:rPr>
          <w:rStyle w:val="FontStyle80"/>
          <w:rFonts w:ascii="Times New Roman" w:hAnsi="Times New Roman"/>
        </w:rPr>
        <w:t xml:space="preserve">reclamanta mai contestă </w:t>
      </w:r>
      <w:r>
        <w:rPr>
          <w:rStyle w:val="FontStyle80"/>
          <w:rFonts w:ascii="Times New Roman" w:hAnsi="Times New Roman"/>
        </w:rPr>
        <w:t>şi</w:t>
      </w:r>
      <w:r>
        <w:rPr>
          <w:rStyle w:val="FontStyle80"/>
          <w:rFonts w:ascii="Times New Roman" w:hAnsi="Times New Roman"/>
        </w:rPr>
        <w:t xml:space="preserve"> motivul pentru care a fost </w:t>
      </w:r>
      <w:r>
        <w:rPr>
          <w:rStyle w:val="FontStyle80"/>
          <w:rFonts w:ascii="Times New Roman" w:hAnsi="Times New Roman"/>
        </w:rPr>
        <w:t>reţinută</w:t>
      </w:r>
      <w:r>
        <w:rPr>
          <w:rStyle w:val="FontStyle80"/>
          <w:rFonts w:ascii="Times New Roman" w:hAnsi="Times New Roman"/>
        </w:rPr>
        <w:t xml:space="preserve"> răspunderea X , respectiv că ar fi </w:t>
      </w:r>
      <w:r>
        <w:rPr>
          <w:rStyle w:val="FontStyle84"/>
          <w:rFonts w:ascii="Times New Roman" w:hAnsi="Times New Roman"/>
        </w:rPr>
        <w:t>"</w:t>
      </w:r>
      <w:r>
        <w:rPr>
          <w:rStyle w:val="FontStyle84"/>
          <w:rFonts w:ascii="Times New Roman" w:hAnsi="Times New Roman"/>
        </w:rPr>
        <w:t>împărţit</w:t>
      </w:r>
      <w:r>
        <w:rPr>
          <w:rStyle w:val="FontStyle84"/>
          <w:rFonts w:ascii="Times New Roman" w:hAnsi="Times New Roman"/>
        </w:rPr>
        <w:t xml:space="preserve">” </w:t>
      </w:r>
      <w:r>
        <w:rPr>
          <w:rStyle w:val="FontStyle80"/>
          <w:rFonts w:ascii="Times New Roman" w:hAnsi="Times New Roman"/>
        </w:rPr>
        <w:t>anumiţi</w:t>
      </w:r>
      <w:r>
        <w:rPr>
          <w:rStyle w:val="FontStyle80"/>
          <w:rFonts w:ascii="Times New Roman" w:hAnsi="Times New Roman"/>
        </w:rPr>
        <w:t xml:space="preserve"> </w:t>
      </w:r>
      <w:r>
        <w:rPr>
          <w:rStyle w:val="FontStyle80"/>
          <w:rFonts w:ascii="Times New Roman" w:hAnsi="Times New Roman"/>
        </w:rPr>
        <w:t>clienţi</w:t>
      </w:r>
      <w:r>
        <w:rPr>
          <w:rStyle w:val="FontStyle80"/>
          <w:rFonts w:ascii="Times New Roman" w:hAnsi="Times New Roman"/>
        </w:rPr>
        <w:t xml:space="preserve"> cu producătorul/furnizorul Z , învederând că, în realitate, nu a existat o astfel de </w:t>
      </w:r>
      <w:r>
        <w:rPr>
          <w:rStyle w:val="FontStyle80"/>
          <w:rFonts w:ascii="Times New Roman" w:hAnsi="Times New Roman"/>
        </w:rPr>
        <w:t>împărţire</w:t>
      </w:r>
      <w:r>
        <w:rPr>
          <w:rStyle w:val="FontStyle80"/>
          <w:rFonts w:ascii="Times New Roman" w:hAnsi="Times New Roman"/>
        </w:rPr>
        <w:t xml:space="preserve">, iar analiza </w:t>
      </w:r>
      <w:r>
        <w:rPr>
          <w:rStyle w:val="FontStyle80"/>
          <w:rFonts w:ascii="Times New Roman" w:hAnsi="Times New Roman"/>
        </w:rPr>
        <w:t>autorităţii</w:t>
      </w:r>
      <w:r>
        <w:rPr>
          <w:rStyle w:val="FontStyle80"/>
          <w:rFonts w:ascii="Times New Roman" w:hAnsi="Times New Roman"/>
        </w:rPr>
        <w:t xml:space="preserve"> este eronată tocmai pentru că ignoră </w:t>
      </w:r>
      <w:r>
        <w:rPr>
          <w:rStyle w:val="FontStyle80"/>
          <w:rFonts w:ascii="Times New Roman" w:hAnsi="Times New Roman"/>
        </w:rPr>
        <w:t>relaţia</w:t>
      </w:r>
      <w:r>
        <w:rPr>
          <w:rStyle w:val="FontStyle80"/>
          <w:rFonts w:ascii="Times New Roman" w:hAnsi="Times New Roman"/>
        </w:rPr>
        <w:t xml:space="preserve"> verticală dintre cele două întreprinderi. Dacă această </w:t>
      </w:r>
      <w:r>
        <w:rPr>
          <w:rStyle w:val="FontStyle80"/>
          <w:rFonts w:ascii="Times New Roman" w:hAnsi="Times New Roman"/>
        </w:rPr>
        <w:t>relaţie</w:t>
      </w:r>
      <w:r>
        <w:rPr>
          <w:rStyle w:val="FontStyle80"/>
          <w:rFonts w:ascii="Times New Roman" w:hAnsi="Times New Roman"/>
        </w:rPr>
        <w:t xml:space="preserve"> ar fi fost avută în vedere, se putea observa că respectiva </w:t>
      </w:r>
      <w:r>
        <w:rPr>
          <w:rStyle w:val="FontStyle84"/>
          <w:rFonts w:ascii="Times New Roman" w:hAnsi="Times New Roman"/>
        </w:rPr>
        <w:t>"</w:t>
      </w:r>
      <w:r>
        <w:rPr>
          <w:rStyle w:val="FontStyle84"/>
          <w:rFonts w:ascii="Times New Roman" w:hAnsi="Times New Roman"/>
        </w:rPr>
        <w:t>împărţire</w:t>
      </w:r>
      <w:r>
        <w:rPr>
          <w:rStyle w:val="FontStyle84"/>
          <w:rFonts w:ascii="Times New Roman" w:hAnsi="Times New Roman"/>
        </w:rPr>
        <w:t xml:space="preserve">" </w:t>
      </w:r>
      <w:r>
        <w:rPr>
          <w:rStyle w:val="FontStyle80"/>
          <w:rFonts w:ascii="Times New Roman" w:hAnsi="Times New Roman"/>
        </w:rPr>
        <w:t xml:space="preserve">a </w:t>
      </w:r>
      <w:r>
        <w:rPr>
          <w:rStyle w:val="FontStyle80"/>
          <w:rFonts w:ascii="Times New Roman" w:hAnsi="Times New Roman"/>
        </w:rPr>
        <w:t>clienţilor</w:t>
      </w:r>
      <w:r>
        <w:rPr>
          <w:rStyle w:val="FontStyle80"/>
          <w:rFonts w:ascii="Times New Roman" w:hAnsi="Times New Roman"/>
        </w:rPr>
        <w:t xml:space="preserve"> reprezintă, în fapt, un </w:t>
      </w:r>
      <w:r>
        <w:rPr>
          <w:rStyle w:val="FontStyle84"/>
          <w:rFonts w:ascii="Times New Roman" w:hAnsi="Times New Roman"/>
        </w:rPr>
        <w:t xml:space="preserve">"sistem de </w:t>
      </w:r>
      <w:r>
        <w:rPr>
          <w:rStyle w:val="FontStyle84"/>
          <w:rFonts w:ascii="Times New Roman" w:hAnsi="Times New Roman"/>
        </w:rPr>
        <w:t>protecţie</w:t>
      </w:r>
      <w:r>
        <w:rPr>
          <w:rStyle w:val="FontStyle84"/>
          <w:rFonts w:ascii="Times New Roman" w:hAnsi="Times New Roman"/>
        </w:rPr>
        <w:t xml:space="preserve"> </w:t>
      </w:r>
      <w:r>
        <w:rPr>
          <w:rStyle w:val="FontStyle84"/>
          <w:rFonts w:ascii="Times New Roman" w:hAnsi="Times New Roman"/>
        </w:rPr>
        <w:t>parţială</w:t>
      </w:r>
      <w:r>
        <w:rPr>
          <w:rStyle w:val="FontStyle84"/>
          <w:rFonts w:ascii="Times New Roman" w:hAnsi="Times New Roman"/>
        </w:rPr>
        <w:t xml:space="preserve">", </w:t>
      </w:r>
      <w:r>
        <w:rPr>
          <w:rStyle w:val="FontStyle80"/>
          <w:rFonts w:ascii="Times New Roman" w:hAnsi="Times New Roman"/>
        </w:rPr>
        <w:t xml:space="preserve">astfel cum a fost definit la nivel doctrinar. </w:t>
      </w:r>
    </w:p>
    <w:p w:rsidR="00565124" w:rsidP="00565124" w14:paraId="0B1A7703" w14:textId="77777777">
      <w:pPr>
        <w:pStyle w:val="Style33"/>
        <w:widowControl/>
        <w:spacing w:before="14" w:line="240" w:lineRule="auto"/>
        <w:ind w:firstLine="993"/>
        <w:rPr>
          <w:rStyle w:val="FontStyle80"/>
          <w:rFonts w:ascii="Times New Roman" w:hAnsi="Times New Roman"/>
        </w:rPr>
      </w:pPr>
      <w:r>
        <w:rPr>
          <w:rStyle w:val="FontStyle80"/>
          <w:rFonts w:ascii="Times New Roman" w:hAnsi="Times New Roman"/>
        </w:rPr>
        <w:t xml:space="preserve">În </w:t>
      </w:r>
      <w:r>
        <w:rPr>
          <w:rStyle w:val="FontStyle80"/>
          <w:rFonts w:ascii="Times New Roman" w:hAnsi="Times New Roman"/>
        </w:rPr>
        <w:t>sfârşit</w:t>
      </w:r>
      <w:r>
        <w:rPr>
          <w:rStyle w:val="FontStyle80"/>
          <w:rFonts w:ascii="Times New Roman" w:hAnsi="Times New Roman"/>
        </w:rPr>
        <w:t xml:space="preserve">, </w:t>
      </w:r>
      <w:r>
        <w:rPr>
          <w:rStyle w:val="FontStyle80"/>
          <w:rFonts w:ascii="Times New Roman" w:hAnsi="Times New Roman"/>
        </w:rPr>
        <w:t>susţine</w:t>
      </w:r>
      <w:r>
        <w:rPr>
          <w:rStyle w:val="FontStyle80"/>
          <w:rFonts w:ascii="Times New Roman" w:hAnsi="Times New Roman"/>
        </w:rPr>
        <w:t xml:space="preserve"> reclamanta că decizia nu conferă certitudine juridică asupra caracterului unic al faptei constatate, nefiind clar dacă în </w:t>
      </w:r>
      <w:r>
        <w:rPr>
          <w:rStyle w:val="FontStyle80"/>
          <w:rFonts w:ascii="Times New Roman" w:hAnsi="Times New Roman"/>
        </w:rPr>
        <w:t>speţă</w:t>
      </w:r>
      <w:r>
        <w:rPr>
          <w:rStyle w:val="FontStyle80"/>
          <w:rFonts w:ascii="Times New Roman" w:hAnsi="Times New Roman"/>
        </w:rPr>
        <w:t xml:space="preserve"> există mai multe „</w:t>
      </w:r>
      <w:r>
        <w:rPr>
          <w:rStyle w:val="FontStyle80"/>
          <w:rFonts w:ascii="Times New Roman" w:hAnsi="Times New Roman"/>
        </w:rPr>
        <w:t>împărţiri</w:t>
      </w:r>
      <w:r>
        <w:rPr>
          <w:rStyle w:val="FontStyle80"/>
          <w:rFonts w:ascii="Times New Roman" w:hAnsi="Times New Roman"/>
        </w:rPr>
        <w:t xml:space="preserve">” de </w:t>
      </w:r>
      <w:r>
        <w:rPr>
          <w:rStyle w:val="FontStyle80"/>
          <w:rFonts w:ascii="Times New Roman" w:hAnsi="Times New Roman"/>
        </w:rPr>
        <w:t>clienţi</w:t>
      </w:r>
      <w:r>
        <w:rPr>
          <w:rStyle w:val="FontStyle80"/>
          <w:rFonts w:ascii="Times New Roman" w:hAnsi="Times New Roman"/>
        </w:rPr>
        <w:t xml:space="preserve"> între Z  </w:t>
      </w:r>
      <w:r>
        <w:rPr>
          <w:rStyle w:val="FontStyle80"/>
          <w:rFonts w:ascii="Times New Roman" w:hAnsi="Times New Roman"/>
        </w:rPr>
        <w:t>şi</w:t>
      </w:r>
      <w:r>
        <w:rPr>
          <w:rStyle w:val="FontStyle80"/>
          <w:rFonts w:ascii="Times New Roman" w:hAnsi="Times New Roman"/>
        </w:rPr>
        <w:t xml:space="preserve"> fiecare distribuitor sin </w:t>
      </w:r>
      <w:r>
        <w:rPr>
          <w:rStyle w:val="FontStyle80"/>
          <w:rFonts w:ascii="Times New Roman" w:hAnsi="Times New Roman"/>
        </w:rPr>
        <w:t>piaţa</w:t>
      </w:r>
      <w:r>
        <w:rPr>
          <w:rStyle w:val="FontStyle80"/>
          <w:rFonts w:ascii="Times New Roman" w:hAnsi="Times New Roman"/>
        </w:rPr>
        <w:t xml:space="preserve"> din aval sau o singură faptă la care au participat toate întreprinderile; pentru această ipoteză, standardul de probă impune ca </w:t>
      </w:r>
      <w:r>
        <w:rPr>
          <w:rStyle w:val="FontStyle80"/>
          <w:rFonts w:ascii="Times New Roman" w:hAnsi="Times New Roman"/>
        </w:rPr>
        <w:t>părţile</w:t>
      </w:r>
      <w:r>
        <w:rPr>
          <w:rStyle w:val="FontStyle80"/>
          <w:rFonts w:ascii="Times New Roman" w:hAnsi="Times New Roman"/>
        </w:rPr>
        <w:t xml:space="preserve"> să fi cunoscut sau să fi putut </w:t>
      </w:r>
      <w:r>
        <w:rPr>
          <w:rStyle w:val="FontStyle80"/>
          <w:rFonts w:ascii="Times New Roman" w:hAnsi="Times New Roman"/>
        </w:rPr>
        <w:t>cunoaşte</w:t>
      </w:r>
      <w:r>
        <w:rPr>
          <w:rStyle w:val="FontStyle80"/>
          <w:rFonts w:ascii="Times New Roman" w:hAnsi="Times New Roman"/>
        </w:rPr>
        <w:t xml:space="preserve"> planul de ansamblu, acest standard nefiind îndeplinit în cauză.</w:t>
      </w:r>
    </w:p>
    <w:p w:rsidR="00565124" w:rsidP="00565124" w14:paraId="1154550E" w14:textId="77777777">
      <w:pPr>
        <w:pStyle w:val="Style33"/>
        <w:widowControl/>
        <w:spacing w:before="14" w:line="240" w:lineRule="auto"/>
        <w:ind w:firstLine="993"/>
        <w:rPr>
          <w:rStyle w:val="FontStyle80"/>
        </w:rPr>
      </w:pPr>
      <w:r>
        <w:rPr>
          <w:rStyle w:val="FontStyle80"/>
          <w:rFonts w:ascii="Times New Roman" w:hAnsi="Times New Roman"/>
        </w:rPr>
        <w:t xml:space="preserve">Este fără îndoială că reclamanta evocă împrejurări ce </w:t>
      </w:r>
      <w:r>
        <w:rPr>
          <w:rStyle w:val="FontStyle80"/>
          <w:rFonts w:ascii="Times New Roman" w:hAnsi="Times New Roman"/>
        </w:rPr>
        <w:t>ţin</w:t>
      </w:r>
      <w:r>
        <w:rPr>
          <w:rStyle w:val="FontStyle80"/>
          <w:rFonts w:ascii="Times New Roman" w:hAnsi="Times New Roman"/>
        </w:rPr>
        <w:t xml:space="preserve"> de fondul litigiului dintre </w:t>
      </w:r>
      <w:r>
        <w:rPr>
          <w:rStyle w:val="FontStyle80"/>
          <w:rFonts w:ascii="Times New Roman" w:hAnsi="Times New Roman"/>
        </w:rPr>
        <w:t>părţi</w:t>
      </w:r>
      <w:r>
        <w:rPr>
          <w:rStyle w:val="FontStyle80"/>
          <w:rFonts w:ascii="Times New Roman" w:hAnsi="Times New Roman"/>
        </w:rPr>
        <w:t xml:space="preserve">, considerent pentru care Curtea va conchide în sensul neîndeplinirii </w:t>
      </w:r>
      <w:r>
        <w:rPr>
          <w:rStyle w:val="FontStyle80"/>
          <w:rFonts w:ascii="Times New Roman" w:hAnsi="Times New Roman"/>
        </w:rPr>
        <w:t>condiţiei</w:t>
      </w:r>
      <w:r>
        <w:rPr>
          <w:rStyle w:val="FontStyle80"/>
          <w:rFonts w:ascii="Times New Roman" w:hAnsi="Times New Roman"/>
        </w:rPr>
        <w:t xml:space="preserve"> cazului bine justificat.</w:t>
      </w:r>
    </w:p>
    <w:p w:rsidR="00565124" w:rsidP="00565124" w14:paraId="6B4FBEF1" w14:textId="77777777">
      <w:pPr>
        <w:tabs>
          <w:tab w:val="left" w:pos="8505"/>
        </w:tabs>
        <w:ind w:firstLine="993"/>
        <w:jc w:val="both"/>
      </w:pPr>
      <w:r>
        <w:t xml:space="preserve">Cu privire la </w:t>
      </w:r>
      <w:r>
        <w:t>cerinţa</w:t>
      </w:r>
      <w:r>
        <w:t xml:space="preserve"> </w:t>
      </w:r>
      <w:r>
        <w:rPr>
          <w:i/>
          <w:u w:val="single"/>
        </w:rPr>
        <w:t>necesităţii</w:t>
      </w:r>
      <w:r>
        <w:rPr>
          <w:i/>
          <w:u w:val="single"/>
        </w:rPr>
        <w:t xml:space="preserve"> prevenirii unei</w:t>
      </w:r>
      <w:r>
        <w:rPr>
          <w:u w:val="single"/>
        </w:rPr>
        <w:t xml:space="preserve"> </w:t>
      </w:r>
      <w:r>
        <w:rPr>
          <w:i/>
          <w:u w:val="single"/>
        </w:rPr>
        <w:t>pagube iminente</w:t>
      </w:r>
      <w:r>
        <w:t>, adică a unui</w:t>
      </w:r>
      <w:r>
        <w:rPr>
          <w:i/>
        </w:rPr>
        <w:t xml:space="preserve"> prejudiciu material viitor </w:t>
      </w:r>
      <w:r>
        <w:rPr>
          <w:i/>
        </w:rPr>
        <w:t>şi</w:t>
      </w:r>
      <w:r>
        <w:rPr>
          <w:i/>
        </w:rPr>
        <w:t xml:space="preserve"> previzibil</w:t>
      </w:r>
      <w:r>
        <w:t xml:space="preserve"> în sensul art. 2 alin. 1 lit. </w:t>
      </w:r>
      <w:r>
        <w:t>ş</w:t>
      </w:r>
      <w:r>
        <w:t>) din Legea nr. 554/2004, Curtea va aprecia că aceasta este îndeplinită.</w:t>
      </w:r>
    </w:p>
    <w:p w:rsidR="00565124" w:rsidP="00565124" w14:paraId="6D5D20FA" w14:textId="77777777">
      <w:pPr>
        <w:tabs>
          <w:tab w:val="left" w:pos="8505"/>
        </w:tabs>
        <w:ind w:firstLine="993"/>
        <w:jc w:val="both"/>
      </w:pPr>
      <w:r>
        <w:t xml:space="preserve">Astfel, raportat la cifra de afaceri, la valoarea cheltuielilor </w:t>
      </w:r>
      <w:r>
        <w:t>şi</w:t>
      </w:r>
      <w:r>
        <w:t xml:space="preserve"> a veniturilor realizate în ultima perioadă, aspecte ce reies din actele prezentate anexat cererii de chemare în judecată (f. 157-199 vol. I, f. 2-60 vol. II), executarea amenzii în cuantum de 1.052.7581,180 lei, anterior </w:t>
      </w:r>
      <w:r>
        <w:t>soluţionării</w:t>
      </w:r>
      <w:r>
        <w:t xml:space="preserve"> cererii în anulare, poate fi de natură a prejudicia reclamanta în sensul de a-i crea o </w:t>
      </w:r>
      <w:r>
        <w:t>situaţie</w:t>
      </w:r>
      <w:r>
        <w:t xml:space="preserve"> financiară dificilă, respectiv un prejudiciu material imposibil ori foarte greu de reparat, prin eventuala creare a unor </w:t>
      </w:r>
      <w:r>
        <w:rPr>
          <w:color w:val="000000"/>
        </w:rPr>
        <w:t xml:space="preserve">blocaje temporare în activitatea </w:t>
      </w:r>
      <w:r>
        <w:rPr>
          <w:color w:val="000000"/>
        </w:rPr>
        <w:t>societăţii</w:t>
      </w:r>
      <w:r>
        <w:rPr>
          <w:color w:val="000000"/>
        </w:rPr>
        <w:t xml:space="preserve">, ceea ce poate fi de natură să afecteze bunul mers al </w:t>
      </w:r>
      <w:r>
        <w:rPr>
          <w:color w:val="000000"/>
        </w:rPr>
        <w:t>societăţii</w:t>
      </w:r>
      <w:r>
        <w:rPr>
          <w:color w:val="000000"/>
        </w:rPr>
        <w:t xml:space="preserve">, perturbând-o în mod grav </w:t>
      </w:r>
      <w:r>
        <w:rPr>
          <w:color w:val="000000"/>
        </w:rPr>
        <w:t>şi</w:t>
      </w:r>
      <w:r>
        <w:rPr>
          <w:color w:val="000000"/>
        </w:rPr>
        <w:t xml:space="preserve"> generând prejudicii certe, cu</w:t>
      </w:r>
      <w:r>
        <w:t xml:space="preserve"> un impact decisiv asupra modalității de îndeplinire a </w:t>
      </w:r>
      <w:r>
        <w:t>obligaţiilor</w:t>
      </w:r>
      <w:r>
        <w:t xml:space="preserve"> patrimoniale ale reclamantei, față de bugetul de stat, de </w:t>
      </w:r>
      <w:r>
        <w:t>angajaţi</w:t>
      </w:r>
      <w:r>
        <w:t xml:space="preserve">, de colaboratori ori în virtutea altor angajamente asumate. </w:t>
      </w:r>
    </w:p>
    <w:p w:rsidR="00565124" w:rsidP="00565124" w14:paraId="28C719B9" w14:textId="77777777">
      <w:pPr>
        <w:tabs>
          <w:tab w:val="left" w:pos="8505"/>
        </w:tabs>
        <w:ind w:firstLine="993"/>
        <w:jc w:val="both"/>
      </w:pPr>
      <w:r>
        <w:t>Faţă</w:t>
      </w:r>
      <w:r>
        <w:t xml:space="preserve"> de </w:t>
      </w:r>
      <w:r>
        <w:t>situaţia</w:t>
      </w:r>
      <w:r>
        <w:t xml:space="preserve"> financiară concretă a </w:t>
      </w:r>
      <w:r>
        <w:t>societăţii</w:t>
      </w:r>
      <w:r>
        <w:t xml:space="preserve"> reclamante, nu se vor putea valida </w:t>
      </w:r>
      <w:r>
        <w:t>susţinerile</w:t>
      </w:r>
      <w:r>
        <w:t xml:space="preserve"> pârâtului privind o pretinsă solvabilitate a întreprinderii, care, la data de 31.12.2022, era profitabilă, înregistrând o </w:t>
      </w:r>
      <w:r>
        <w:t>evoluţie</w:t>
      </w:r>
      <w:r>
        <w:t xml:space="preserve"> pozitivă a cifrei de afaceri </w:t>
      </w:r>
      <w:r>
        <w:t>şi</w:t>
      </w:r>
      <w:r>
        <w:t xml:space="preserve"> a activelor totale, profitul net rezultat în urma încheierii </w:t>
      </w:r>
      <w:r>
        <w:t>exerciţiului</w:t>
      </w:r>
      <w:r>
        <w:t xml:space="preserve"> financiar aferent anului 2022 reprezentând aproximativ 90% în raport cu amenda impusă de autoritatea de </w:t>
      </w:r>
      <w:r>
        <w:t>concurenţă</w:t>
      </w:r>
      <w:r>
        <w:t>.</w:t>
      </w:r>
    </w:p>
    <w:p w:rsidR="00565124" w:rsidP="00565124" w14:paraId="79328E44" w14:textId="77777777">
      <w:pPr>
        <w:tabs>
          <w:tab w:val="left" w:pos="8505"/>
        </w:tabs>
        <w:ind w:firstLine="993"/>
        <w:jc w:val="both"/>
      </w:pPr>
      <w:r>
        <w:t xml:space="preserve">În acest sens, Curtea va </w:t>
      </w:r>
      <w:r>
        <w:t>reţine</w:t>
      </w:r>
      <w:r>
        <w:t xml:space="preserve"> că pentru considerarea ca îndeplinită a </w:t>
      </w:r>
      <w:r>
        <w:t>condiţiei</w:t>
      </w:r>
      <w:r>
        <w:t xml:space="preserve"> legale în analiză, nu trebuie demonstrată starea de insolvabilitate, ci posibilitatea cauzării unui </w:t>
      </w:r>
      <w:r>
        <w:t xml:space="preserve">prejudiciu material viitor </w:t>
      </w:r>
      <w:r>
        <w:t>şi</w:t>
      </w:r>
      <w:r>
        <w:t xml:space="preserve"> previzibil (sau perturbarea previzibilă gravă a </w:t>
      </w:r>
      <w:r>
        <w:t>funcţionării</w:t>
      </w:r>
      <w:r>
        <w:t xml:space="preserve"> unei </w:t>
      </w:r>
      <w:r>
        <w:t>autorităţi</w:t>
      </w:r>
      <w:r>
        <w:t xml:space="preserve"> publice sau a unui serviciu public). </w:t>
      </w:r>
    </w:p>
    <w:p w:rsidR="00565124" w:rsidP="00565124" w14:paraId="2388D285" w14:textId="77777777">
      <w:pPr>
        <w:tabs>
          <w:tab w:val="left" w:pos="8505"/>
        </w:tabs>
        <w:ind w:firstLine="993"/>
        <w:jc w:val="both"/>
      </w:pPr>
      <w:r>
        <w:t xml:space="preserve">Cu privire la cel de-al doilea aspect, Curtea nu poate primi apărarea pârâtului, </w:t>
      </w:r>
      <w:r>
        <w:t>reţinând</w:t>
      </w:r>
      <w:r>
        <w:t xml:space="preserve"> împrejurarea că profitul realizat de întreprinderea reclamantă este în cuantum inferior amenzii aplicate, deci, o imposibilitate obiectivă a achitării debitului exclusiv din profit.</w:t>
      </w:r>
    </w:p>
    <w:p w:rsidR="00565124" w:rsidP="00565124" w14:paraId="5301100E" w14:textId="77777777">
      <w:pPr>
        <w:tabs>
          <w:tab w:val="left" w:pos="8505"/>
        </w:tabs>
        <w:ind w:firstLine="993"/>
        <w:jc w:val="both"/>
      </w:pPr>
      <w:r>
        <w:t xml:space="preserve">Referitor la neconstituirea de provizioane de către reclamantă </w:t>
      </w:r>
      <w:r>
        <w:t>deşi</w:t>
      </w:r>
      <w:r>
        <w:t xml:space="preserve"> </w:t>
      </w:r>
      <w:r>
        <w:t>cunoştea</w:t>
      </w:r>
      <w:r>
        <w:t xml:space="preserve"> că este sub </w:t>
      </w:r>
      <w:r>
        <w:t>investigaţie</w:t>
      </w:r>
      <w:r>
        <w:t xml:space="preserve">, Curtea va aprecia că această chestiune poate fi examinată din perspectiva </w:t>
      </w:r>
      <w:r>
        <w:t>diligenţelor</w:t>
      </w:r>
      <w:r>
        <w:t xml:space="preserve"> ce ar fi trebuit să fie întreprinse de societate, </w:t>
      </w:r>
      <w:r>
        <w:t>ţinând</w:t>
      </w:r>
      <w:r>
        <w:t xml:space="preserve"> de un bun management, dar nu poate fi analizată din perspectiva îndeplinirii sau nu a </w:t>
      </w:r>
      <w:r>
        <w:t>condiţiei</w:t>
      </w:r>
      <w:r>
        <w:t xml:space="preserve"> pagubei iminente.</w:t>
      </w:r>
    </w:p>
    <w:p w:rsidR="00565124" w:rsidP="00565124" w14:paraId="6AD1DDD2" w14:textId="77777777">
      <w:pPr>
        <w:tabs>
          <w:tab w:val="left" w:pos="851"/>
        </w:tabs>
        <w:ind w:firstLine="1080"/>
        <w:jc w:val="both"/>
      </w:pPr>
    </w:p>
    <w:p w:rsidR="00565124" w:rsidP="00565124" w14:paraId="1037C158" w14:textId="77777777">
      <w:pPr>
        <w:tabs>
          <w:tab w:val="left" w:pos="851"/>
        </w:tabs>
        <w:ind w:firstLine="1080"/>
        <w:jc w:val="both"/>
      </w:pPr>
      <w:r>
        <w:t xml:space="preserve">Cu toate acestea însă, cererea de suspendare a executării nu poate fi admisă deoarece </w:t>
      </w:r>
      <w:r>
        <w:t>condiţiile</w:t>
      </w:r>
      <w:r>
        <w:t xml:space="preserve"> cazului bine justificat </w:t>
      </w:r>
      <w:r>
        <w:t>şi</w:t>
      </w:r>
      <w:r>
        <w:t xml:space="preserve"> a pagubei iminente sunt cumulative, astfel cum reiese din interpretarea logică a prevederilor art. 14 </w:t>
      </w:r>
      <w:r>
        <w:t>şi</w:t>
      </w:r>
      <w:r>
        <w:t xml:space="preserve"> art. 15 din Legea nr. 554/2004, iar, conform argumentelor ce preced, </w:t>
      </w:r>
      <w:r>
        <w:t>condiţia</w:t>
      </w:r>
      <w:r>
        <w:t xml:space="preserve"> cazului bine justificat nu este îndeplinită.</w:t>
      </w:r>
    </w:p>
    <w:p w:rsidR="00565124" w:rsidP="00565124" w14:paraId="460110C7" w14:textId="77777777">
      <w:pPr>
        <w:tabs>
          <w:tab w:val="left" w:pos="8505"/>
        </w:tabs>
        <w:ind w:firstLine="993"/>
        <w:jc w:val="both"/>
      </w:pPr>
      <w:r>
        <w:t xml:space="preserve">Pentru considerentele ce preced, </w:t>
      </w:r>
      <w:r>
        <w:t>reţinând</w:t>
      </w:r>
      <w:r>
        <w:t xml:space="preserve"> că cererea de suspendare nu </w:t>
      </w:r>
      <w:r>
        <w:t>îndeplineşte</w:t>
      </w:r>
      <w:r>
        <w:t xml:space="preserve"> </w:t>
      </w:r>
      <w:r>
        <w:t>condiţiile</w:t>
      </w:r>
      <w:r>
        <w:t xml:space="preserve"> prevăzute de lege, Curtea o va respinge ca neîntemeiată.</w:t>
      </w:r>
    </w:p>
    <w:p w:rsidR="00565124" w:rsidP="00565124" w14:paraId="31ED8AE5" w14:textId="77777777">
      <w:pPr>
        <w:tabs>
          <w:tab w:val="left" w:pos="993"/>
          <w:tab w:val="left" w:pos="8505"/>
        </w:tabs>
        <w:ind w:firstLine="993"/>
        <w:jc w:val="both"/>
      </w:pPr>
      <w:r>
        <w:t>Faţă</w:t>
      </w:r>
      <w:r>
        <w:t xml:space="preserve"> de </w:t>
      </w:r>
      <w:r>
        <w:t>soluţia</w:t>
      </w:r>
      <w:r>
        <w:t xml:space="preserve"> de respingere a cererii de suspendare în primă </w:t>
      </w:r>
      <w:r>
        <w:t>instanţă</w:t>
      </w:r>
      <w:r>
        <w:t xml:space="preserve">, Curtea va face aplicarea prevederilor art. 1064 alin. 4 </w:t>
      </w:r>
      <w:r>
        <w:t>C.pr.civ</w:t>
      </w:r>
      <w:r>
        <w:t xml:space="preserve">., respectiv va dispune restituirea </w:t>
      </w:r>
      <w:r>
        <w:t>cauţiunii</w:t>
      </w:r>
      <w:r>
        <w:t xml:space="preserve"> achitate către reclamantă.</w:t>
      </w:r>
    </w:p>
    <w:p w:rsidR="00565124" w:rsidP="00565124" w14:paraId="00F63C8D" w14:textId="77777777">
      <w:pPr>
        <w:pStyle w:val="Style11"/>
        <w:widowControl/>
        <w:tabs>
          <w:tab w:val="left" w:pos="250"/>
        </w:tabs>
        <w:spacing w:line="240" w:lineRule="auto"/>
        <w:ind w:firstLine="993"/>
        <w:rPr>
          <w:rStyle w:val="FontStyle37"/>
        </w:rPr>
      </w:pPr>
    </w:p>
    <w:p w:rsidR="00565124" w:rsidP="00565124" w14:paraId="017D9A09" w14:textId="77777777">
      <w:pPr>
        <w:spacing w:after="37"/>
        <w:ind w:right="-2" w:firstLine="993"/>
        <w:contextualSpacing/>
        <w:jc w:val="both"/>
        <w:rPr>
          <w:color w:val="000000"/>
        </w:rPr>
      </w:pPr>
    </w:p>
    <w:p w:rsidR="00565124" w:rsidP="00565124" w14:paraId="4A8AF036" w14:textId="77777777">
      <w:pPr>
        <w:ind w:firstLine="993"/>
        <w:jc w:val="center"/>
        <w:rPr>
          <w:b/>
        </w:rPr>
      </w:pPr>
      <w:r>
        <w:rPr>
          <w:b/>
        </w:rPr>
        <w:t>PENTRU ACESTE MOTIVE,</w:t>
      </w:r>
    </w:p>
    <w:p w:rsidR="00565124" w:rsidP="00565124" w14:paraId="4F2E1BA5" w14:textId="77777777">
      <w:pPr>
        <w:ind w:firstLine="993"/>
        <w:jc w:val="center"/>
        <w:rPr>
          <w:b/>
        </w:rPr>
      </w:pPr>
      <w:r>
        <w:rPr>
          <w:b/>
        </w:rPr>
        <w:t>ÎN NUMELE LEGII,</w:t>
      </w:r>
    </w:p>
    <w:p w:rsidR="00565124" w:rsidP="00565124" w14:paraId="36E77A3C" w14:textId="77777777">
      <w:pPr>
        <w:ind w:firstLine="993"/>
        <w:jc w:val="center"/>
        <w:rPr>
          <w:b/>
        </w:rPr>
      </w:pPr>
      <w:r>
        <w:rPr>
          <w:b/>
        </w:rPr>
        <w:t>HOTĂRĂŞTE:</w:t>
      </w:r>
    </w:p>
    <w:p w:rsidR="00565124" w:rsidP="00565124" w14:paraId="69491BD9" w14:textId="77777777">
      <w:pPr>
        <w:ind w:firstLine="993"/>
        <w:jc w:val="center"/>
        <w:rPr>
          <w:b/>
        </w:rPr>
      </w:pPr>
    </w:p>
    <w:p w:rsidR="00565124" w:rsidP="00565124" w14:paraId="34BE3BAF" w14:textId="77777777">
      <w:pPr>
        <w:ind w:firstLine="993"/>
        <w:jc w:val="center"/>
        <w:rPr>
          <w:b/>
        </w:rPr>
      </w:pPr>
    </w:p>
    <w:p w:rsidR="00565124" w:rsidP="00565124" w14:paraId="010478FA" w14:textId="77777777">
      <w:pPr>
        <w:ind w:firstLine="993"/>
        <w:jc w:val="both"/>
      </w:pPr>
      <w:r>
        <w:t xml:space="preserve">Respinge cererea de chemare în judecată </w:t>
      </w:r>
      <w:r>
        <w:rPr>
          <w:color w:val="000000"/>
        </w:rPr>
        <w:t xml:space="preserve">formulată de reclamanta X S.R.L., cu sediul ..................................... ............, având ........., CUI RO ............, cu sediul procesual ales la ..................................., societate de avocatură, cu sediul în ................................. cod </w:t>
      </w:r>
      <w:r>
        <w:rPr>
          <w:color w:val="000000"/>
        </w:rPr>
        <w:t>poştal</w:t>
      </w:r>
      <w:r>
        <w:rPr>
          <w:color w:val="000000"/>
        </w:rPr>
        <w:t xml:space="preserve"> ................, ..................., în contradictoriu cu pârâtul CONSILIUL CONCURENŢEI, cu sediul în ..............................................., </w:t>
      </w:r>
      <w:r>
        <w:t>ca neîntemeiată.</w:t>
      </w:r>
    </w:p>
    <w:p w:rsidR="00565124" w:rsidP="00565124" w14:paraId="23A1BE7A" w14:textId="77777777">
      <w:pPr>
        <w:ind w:firstLine="993"/>
        <w:jc w:val="both"/>
      </w:pPr>
      <w:r>
        <w:t xml:space="preserve">În temeiul </w:t>
      </w:r>
      <w:r>
        <w:t>dispoziţiilor</w:t>
      </w:r>
      <w:r>
        <w:t xml:space="preserve"> art. 1064 alin. 4 </w:t>
      </w:r>
      <w:r>
        <w:t>C.pr.civ</w:t>
      </w:r>
      <w:r>
        <w:t xml:space="preserve">., dispune restituirea </w:t>
      </w:r>
      <w:r>
        <w:t>cauţiunii</w:t>
      </w:r>
      <w:r>
        <w:t xml:space="preserve"> către reclamantă.</w:t>
      </w:r>
    </w:p>
    <w:p w:rsidR="00565124" w:rsidP="00565124" w14:paraId="0F1515E2" w14:textId="77777777">
      <w:pPr>
        <w:ind w:firstLine="993"/>
        <w:jc w:val="both"/>
      </w:pPr>
      <w:r>
        <w:t xml:space="preserve">Cu drept de recurs în termen de 5 zile de la comunicare, cererea urmând a fi depusă la Curtea de Apel ............– </w:t>
      </w:r>
      <w:r>
        <w:t>Secţia</w:t>
      </w:r>
      <w:r>
        <w:t xml:space="preserve"> ............... de contencios administrativ </w:t>
      </w:r>
      <w:r>
        <w:t>şi</w:t>
      </w:r>
      <w:r>
        <w:t xml:space="preserve"> fiscal.</w:t>
      </w:r>
    </w:p>
    <w:p w:rsidR="00565124" w:rsidP="00565124" w14:paraId="36F529A0" w14:textId="77777777">
      <w:pPr>
        <w:ind w:firstLine="993"/>
        <w:jc w:val="both"/>
      </w:pPr>
      <w:r>
        <w:t>Pronunţată</w:t>
      </w:r>
      <w:r>
        <w:t xml:space="preserve"> astăzi, ................., prin punerea </w:t>
      </w:r>
      <w:r>
        <w:t>soluţiei</w:t>
      </w:r>
      <w:r>
        <w:t xml:space="preserve"> la </w:t>
      </w:r>
      <w:r>
        <w:t>dispoziţia</w:t>
      </w:r>
      <w:r>
        <w:t xml:space="preserve"> </w:t>
      </w:r>
      <w:r>
        <w:t>părţilor</w:t>
      </w:r>
      <w:r>
        <w:t xml:space="preserve"> prin mijlocirea grefei </w:t>
      </w:r>
      <w:r>
        <w:t>instanţei</w:t>
      </w:r>
      <w:r>
        <w:t>.</w:t>
      </w:r>
    </w:p>
    <w:p w:rsidR="00565124" w:rsidP="00565124" w14:paraId="764AA8E4" w14:textId="77777777">
      <w:pPr>
        <w:ind w:firstLine="993"/>
        <w:jc w:val="center"/>
        <w:rPr>
          <w:u w:val="single"/>
        </w:rPr>
      </w:pPr>
    </w:p>
    <w:p w:rsidR="00565124" w:rsidP="00565124" w14:paraId="293E192F" w14:textId="77777777">
      <w:pPr>
        <w:ind w:firstLine="993"/>
        <w:jc w:val="both"/>
      </w:pPr>
      <w:r>
        <w:rPr>
          <w:b/>
        </w:rPr>
        <w:t xml:space="preserve">      </w:t>
      </w:r>
      <w:r>
        <w:t xml:space="preserve">   </w:t>
      </w:r>
    </w:p>
    <w:p w:rsidR="00565124" w:rsidP="00565124" w14:paraId="4E58D858" w14:textId="77777777">
      <w:pPr>
        <w:ind w:firstLine="993"/>
        <w:jc w:val="both"/>
        <w:rPr>
          <w:b/>
        </w:rPr>
      </w:pPr>
      <w:r>
        <w:t xml:space="preserve">            </w:t>
      </w:r>
      <w:r>
        <w:rPr>
          <w:b/>
        </w:rPr>
        <w:t xml:space="preserve">PREŞEDINTE,                                                          GREFIER, </w:t>
      </w:r>
    </w:p>
    <w:p w:rsidR="00565124" w:rsidP="00565124" w14:paraId="4170919E" w14:textId="730E5193">
      <w:pPr>
        <w:ind w:firstLine="993"/>
        <w:jc w:val="both"/>
        <w:rPr>
          <w:b/>
        </w:rPr>
      </w:pPr>
      <w:r>
        <w:rPr>
          <w:b/>
        </w:rPr>
        <w:t xml:space="preserve">                    </w:t>
      </w:r>
      <w:r>
        <w:rPr>
          <w:b/>
        </w:rPr>
        <w:t>A0014</w:t>
      </w:r>
      <w:r>
        <w:rPr>
          <w:b/>
        </w:rPr>
        <w:t xml:space="preserve">                                                              ........................</w:t>
      </w:r>
    </w:p>
    <w:p w:rsidR="00565124" w:rsidP="00565124" w14:paraId="168F3896" w14:textId="77777777">
      <w:pPr>
        <w:ind w:firstLine="993"/>
        <w:jc w:val="both"/>
        <w:rPr>
          <w:b/>
        </w:rPr>
      </w:pPr>
    </w:p>
    <w:p w:rsidR="00565124" w:rsidP="00565124" w14:paraId="0F7A9256" w14:textId="77777777">
      <w:pPr>
        <w:ind w:firstLine="993"/>
        <w:jc w:val="both"/>
        <w:rPr>
          <w:b/>
        </w:rPr>
      </w:pPr>
    </w:p>
    <w:p w:rsidR="00565124" w:rsidP="00565124" w14:paraId="6C4C976D" w14:textId="77777777">
      <w:pPr>
        <w:ind w:firstLine="993"/>
        <w:jc w:val="both"/>
        <w:rPr>
          <w:b/>
        </w:rPr>
      </w:pPr>
    </w:p>
    <w:p w:rsidR="00565124" w:rsidP="00565124" w14:paraId="515A148D" w14:textId="77777777">
      <w:pPr>
        <w:ind w:firstLine="993"/>
        <w:jc w:val="both"/>
        <w:rPr>
          <w:b/>
          <w:sz w:val="18"/>
        </w:rPr>
      </w:pPr>
    </w:p>
    <w:p w:rsidR="00565124" w:rsidP="00565124" w14:paraId="07D34B0E" w14:textId="7CFE5D93">
      <w:pPr>
        <w:ind w:firstLine="993"/>
        <w:jc w:val="both"/>
        <w:rPr>
          <w:sz w:val="18"/>
        </w:rPr>
      </w:pPr>
      <w:r>
        <w:rPr>
          <w:sz w:val="18"/>
        </w:rPr>
        <w:t xml:space="preserve">Red. </w:t>
      </w:r>
      <w:r>
        <w:rPr>
          <w:sz w:val="18"/>
        </w:rPr>
        <w:t>A0014</w:t>
      </w:r>
      <w:r>
        <w:rPr>
          <w:sz w:val="18"/>
        </w:rPr>
        <w:t xml:space="preserve"> </w:t>
      </w:r>
    </w:p>
    <w:p w:rsidR="00565124" w:rsidP="00565124" w14:paraId="4FF305CB" w14:textId="77777777">
      <w:pPr>
        <w:ind w:firstLine="993"/>
        <w:jc w:val="both"/>
        <w:rPr>
          <w:sz w:val="18"/>
        </w:rPr>
      </w:pPr>
      <w:r>
        <w:rPr>
          <w:sz w:val="18"/>
        </w:rPr>
        <w:t>Tehnored</w:t>
      </w:r>
      <w:r>
        <w:rPr>
          <w:sz w:val="18"/>
        </w:rPr>
        <w:t>................</w:t>
      </w:r>
    </w:p>
    <w:p w:rsidR="00565124" w:rsidP="00565124" w14:paraId="39320EF1" w14:textId="77777777">
      <w:pPr>
        <w:ind w:firstLine="993"/>
        <w:jc w:val="both"/>
        <w:rPr>
          <w:b/>
          <w:sz w:val="18"/>
        </w:rPr>
      </w:pPr>
      <w:r>
        <w:rPr>
          <w:sz w:val="18"/>
        </w:rPr>
        <w:t>Expl. 4/</w:t>
      </w:r>
    </w:p>
    <w:p w:rsidR="00565124" w:rsidP="00565124" w14:paraId="5074175B" w14:textId="77777777"/>
    <w:p w:rsidRPr="00565124" w:rsidR="00746A83" w:rsidP="00565124" w14:paraId="06157545" w14:textId="77777777">
      <w:pPr>
        <w:rPr>
          <w:rStyle w:val="Fontdeparagrafimplicit"/>
        </w:rPr>
      </w:pPr>
    </w:p>
    <w:sectPr>
      <w:footerReference w:type="default" r:id="rId4"/>
      <w:pgSz w:w="11906" w:h="16838"/>
      <w:pgMar w:top="567" w:right="851" w:bottom="56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46A83" w14:paraId="6F2B017C" w14:textId="77777777">
    <w:pPr>
      <w:pStyle w:val="Subsol"/>
      <w:jc w:val="center"/>
    </w:pPr>
    <w:r>
      <w:fldChar w:fldCharType="begin"/>
    </w:r>
    <w:r>
      <w:instrText>PAGE   \* MERGEFORMAT</w:instrText>
    </w:r>
    <w:r>
      <w:fldChar w:fldCharType="separate"/>
    </w:r>
    <w:r>
      <w:t>#</w:t>
    </w:r>
    <w:r>
      <w:fldChar w:fldCharType="end"/>
    </w:r>
  </w:p>
  <w:p w:rsidR="00746A83" w14:paraId="5FE4E98E" w14:textId="77777777">
    <w:pPr>
      <w:pStyle w:val="Subsol"/>
    </w:pPr>
  </w:p>
  <w:p w:rsidR="00746A83" w14:paraId="6BE0E1FF" w14:textId="77777777"/>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FFFFFFFE"/>
    <w:multiLevelType w:val="multilevel"/>
    <w:tmpl w:val="66CC22E4"/>
    <w:lvl w:ilvl="0">
      <w:start w:val="0"/>
      <w:numFmt w:val="bullet"/>
      <w:lvlText w:val="*"/>
      <w:lvlJc w:val="left"/>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07951581"/>
    <w:multiLevelType w:val="multilevel"/>
    <w:tmpl w:val="32241DE0"/>
    <w:lvl w:ilvl="0">
      <w:start w:val="1"/>
      <w:numFmt w:val="lowerLetter"/>
      <w:lvlText w:val="(%1)"/>
      <w:legacy w:legacy="1" w:legacySpace="0" w:legacyIndent="346"/>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 w15:restartNumberingAfterBreak="0">
    <w:nsid w:val="40454EC9"/>
    <w:multiLevelType w:val="multilevel"/>
    <w:tmpl w:val="D8FCFA60"/>
    <w:lvl w:ilvl="0">
      <w:start w:val="1"/>
      <w:numFmt w:val="decimal"/>
      <w:lvlText w:val="(%1)"/>
      <w:legacy w:legacy="1" w:legacySpace="0" w:legacyIndent="322"/>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num w:numId="1" w16cid:durableId="1288315502">
    <w:abstractNumId w:val="0"/>
    <w:lvlOverride w:ilvl="0">
      <w:lvl w:ilvl="0">
        <w:start w:val="0"/>
        <w:numFmt w:val="bullet"/>
        <w:lvlText w:val="•"/>
        <w:legacy w:legacy="1" w:legacySpace="0" w:legacyIndent="365"/>
        <w:lvlJc w:val="left"/>
        <w:rPr>
          <w:rFonts w:ascii="Arial" w:hAnsi="Arial"/>
        </w:rPr>
      </w:lvl>
    </w:lvlOverride>
  </w:num>
  <w:num w:numId="2" w16cid:durableId="1428766624">
    <w:abstractNumId w:val="1"/>
  </w:num>
  <w:num w:numId="3" w16cid:durableId="1356156578">
    <w:abstractNumId w:val="2"/>
  </w:num>
  <w:num w:numId="4" w16cid:durableId="1890533355">
    <w:abstractNumId w:val="0"/>
    <w:lvlOverride w:ilvl="0">
      <w:lvl w:ilvl="0">
        <w:start w:val="0"/>
        <w:numFmt w:val="bullet"/>
        <w:lvlText w:val="-"/>
        <w:legacy w:legacy="1" w:legacySpace="0" w:legacyIndent="355"/>
        <w:lvlJc w:val="left"/>
        <w:rPr>
          <w:rFonts w:ascii="Franklin Gothic Medium Cond" w:hAnsi="Franklin Gothic Medium Cond"/>
        </w:rPr>
      </w:lvl>
    </w:lvlOverride>
  </w:num>
  <w:num w:numId="5" w16cid:durableId="617377776">
    <w:abstractNumId w:val="0"/>
    <w:lvlOverride w:ilvl="0">
      <w:lvl w:ilvl="0">
        <w:start w:val="0"/>
        <w:numFmt w:val="bullet"/>
        <w:lvlText w:val="•"/>
        <w:legacy w:legacy="1" w:legacySpace="0" w:legacyIndent="345"/>
        <w:lvlJc w:val="left"/>
        <w:rPr>
          <w:rFonts w:ascii="Franklin Gothic Medium Cond" w:hAnsi="Franklin Gothic Medium Cond"/>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A83"/>
    <w:rsid w:val="00565124"/>
    <w:rsid w:val="00746A83"/>
    <w:rsid w:val="007D673F"/>
    <w:rsid w:val="009120B8"/>
    <w:rsid w:val="00D920DE"/>
  </w:rsids>
  <w:docVars>
    <w:docVar w:name="url" w:val="http://10.1.48.53:80/ecris_cdms/document_upload.aspx?id_document=200000004684721&amp;id_departament=54&amp;id_sesiune=5186511&amp;id_user=1312&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28E9442"/>
  <w15:docId w15:val="{EF75F624-8448-4FD8-BB02-A18FFCA5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paragraph" w:customStyle="1" w:styleId="Style27">
    <w:name w:val="Style27"/>
    <w:basedOn w:val="Normal"/>
    <w:pPr>
      <w:widowControl w:val="0"/>
      <w:spacing w:line="264" w:lineRule="exact"/>
      <w:ind w:hanging="350"/>
      <w:jc w:val="both"/>
    </w:pPr>
    <w:rPr>
      <w:rFonts w:ascii="Sylfaen" w:hAnsi="Sylfaen"/>
    </w:rPr>
  </w:style>
  <w:style w:type="paragraph" w:customStyle="1" w:styleId="Style33">
    <w:name w:val="Style33"/>
    <w:basedOn w:val="Normal"/>
    <w:pPr>
      <w:widowControl w:val="0"/>
      <w:spacing w:line="266" w:lineRule="exact"/>
      <w:ind w:hanging="365"/>
      <w:jc w:val="both"/>
    </w:pPr>
    <w:rPr>
      <w:rFonts w:ascii="Sylfaen" w:hAnsi="Sylfaen"/>
    </w:rPr>
  </w:style>
  <w:style w:type="paragraph" w:customStyle="1" w:styleId="Style34">
    <w:name w:val="Style34"/>
    <w:basedOn w:val="Normal"/>
    <w:pPr>
      <w:widowControl w:val="0"/>
      <w:spacing w:line="266" w:lineRule="exact"/>
      <w:jc w:val="both"/>
    </w:pPr>
    <w:rPr>
      <w:rFonts w:ascii="Sylfaen" w:hAnsi="Sylfaen"/>
    </w:rPr>
  </w:style>
  <w:style w:type="paragraph" w:customStyle="1" w:styleId="Style38">
    <w:name w:val="Style38"/>
    <w:basedOn w:val="Normal"/>
    <w:pPr>
      <w:widowControl w:val="0"/>
      <w:spacing w:line="264" w:lineRule="exact"/>
      <w:ind w:hanging="365"/>
    </w:pPr>
    <w:rPr>
      <w:rFonts w:ascii="Sylfaen" w:hAnsi="Sylfaen"/>
    </w:rPr>
  </w:style>
  <w:style w:type="paragraph" w:customStyle="1" w:styleId="Style40">
    <w:name w:val="Style40"/>
    <w:basedOn w:val="Normal"/>
    <w:pPr>
      <w:widowControl w:val="0"/>
      <w:spacing w:line="266" w:lineRule="exact"/>
      <w:ind w:hanging="365"/>
      <w:jc w:val="both"/>
    </w:pPr>
    <w:rPr>
      <w:rFonts w:ascii="Sylfaen" w:hAnsi="Sylfaen"/>
    </w:rPr>
  </w:style>
  <w:style w:type="paragraph" w:customStyle="1" w:styleId="Style41">
    <w:name w:val="Style41"/>
    <w:basedOn w:val="Normal"/>
    <w:pPr>
      <w:widowControl w:val="0"/>
      <w:spacing w:line="264" w:lineRule="exact"/>
      <w:ind w:hanging="365"/>
      <w:jc w:val="both"/>
    </w:pPr>
    <w:rPr>
      <w:rFonts w:ascii="Sylfaen" w:hAnsi="Sylfaen"/>
    </w:rPr>
  </w:style>
  <w:style w:type="paragraph" w:customStyle="1" w:styleId="Style56">
    <w:name w:val="Style56"/>
    <w:basedOn w:val="Normal"/>
    <w:pPr>
      <w:widowControl w:val="0"/>
      <w:spacing w:line="266" w:lineRule="exact"/>
      <w:ind w:hanging="346"/>
      <w:jc w:val="both"/>
    </w:pPr>
    <w:rPr>
      <w:rFonts w:ascii="Sylfaen" w:hAnsi="Sylfaen"/>
    </w:rPr>
  </w:style>
  <w:style w:type="paragraph" w:customStyle="1" w:styleId="Style20">
    <w:name w:val="Style20"/>
    <w:basedOn w:val="Normal"/>
    <w:pPr>
      <w:widowControl w:val="0"/>
      <w:spacing w:line="266" w:lineRule="exact"/>
      <w:jc w:val="both"/>
    </w:pPr>
    <w:rPr>
      <w:rFonts w:ascii="Sylfaen" w:hAnsi="Sylfaen"/>
    </w:rPr>
  </w:style>
  <w:style w:type="paragraph" w:customStyle="1" w:styleId="Style10">
    <w:name w:val="Style10"/>
    <w:basedOn w:val="Normal"/>
    <w:pPr>
      <w:widowControl w:val="0"/>
      <w:spacing w:line="298" w:lineRule="exact"/>
      <w:jc w:val="both"/>
    </w:pPr>
  </w:style>
  <w:style w:type="paragraph" w:customStyle="1" w:styleId="Style11">
    <w:name w:val="Style11"/>
    <w:basedOn w:val="Normal"/>
    <w:pPr>
      <w:widowControl w:val="0"/>
      <w:spacing w:line="304" w:lineRule="exact"/>
      <w:jc w:val="both"/>
    </w:pPr>
  </w:style>
  <w:style w:type="paragraph" w:customStyle="1" w:styleId="Style19">
    <w:name w:val="Style19"/>
    <w:basedOn w:val="Normal"/>
    <w:pPr>
      <w:widowControl w:val="0"/>
      <w:spacing w:line="302" w:lineRule="exact"/>
      <w:jc w:val="both"/>
    </w:pPr>
  </w:style>
  <w:style w:type="paragraph" w:customStyle="1" w:styleId="Style23">
    <w:name w:val="Style23"/>
    <w:basedOn w:val="Normal"/>
    <w:pPr>
      <w:widowControl w:val="0"/>
      <w:spacing w:line="304" w:lineRule="exact"/>
      <w:ind w:hanging="274"/>
      <w:jc w:val="both"/>
    </w:pPr>
  </w:style>
  <w:style w:type="paragraph" w:customStyle="1" w:styleId="Style15">
    <w:name w:val="Style15"/>
    <w:basedOn w:val="Normal"/>
    <w:pPr>
      <w:widowControl w:val="0"/>
      <w:spacing w:line="298" w:lineRule="exact"/>
      <w:ind w:hanging="355"/>
      <w:jc w:val="both"/>
    </w:pPr>
  </w:style>
  <w:style w:type="paragraph" w:customStyle="1" w:styleId="Style12">
    <w:name w:val="Style12"/>
    <w:basedOn w:val="Normal"/>
    <w:pPr>
      <w:widowControl w:val="0"/>
      <w:spacing w:line="298" w:lineRule="exact"/>
      <w:ind w:hanging="346"/>
    </w:pPr>
  </w:style>
  <w:style w:type="paragraph" w:customStyle="1" w:styleId="Style6">
    <w:name w:val="Style6"/>
    <w:basedOn w:val="Normal"/>
    <w:pPr>
      <w:widowControl w:val="0"/>
      <w:spacing w:line="304" w:lineRule="exact"/>
      <w:ind w:hanging="346"/>
      <w:jc w:val="both"/>
    </w:pPr>
  </w:style>
  <w:style w:type="paragraph" w:customStyle="1" w:styleId="Style26">
    <w:name w:val="Style26"/>
    <w:basedOn w:val="Normal"/>
    <w:pPr>
      <w:widowControl w:val="0"/>
      <w:spacing w:line="298" w:lineRule="exact"/>
      <w:ind w:firstLine="365"/>
      <w:jc w:val="both"/>
    </w:pPr>
  </w:style>
  <w:style w:type="paragraph" w:customStyle="1" w:styleId="Style13">
    <w:name w:val="Style13"/>
    <w:basedOn w:val="Normal"/>
    <w:pPr>
      <w:widowControl w:val="0"/>
      <w:spacing w:line="298" w:lineRule="exact"/>
      <w:ind w:firstLine="710"/>
      <w:jc w:val="both"/>
    </w:pPr>
  </w:style>
  <w:style w:type="paragraph" w:customStyle="1" w:styleId="Style22">
    <w:name w:val="Style22"/>
    <w:basedOn w:val="Normal"/>
    <w:pPr>
      <w:widowControl w:val="0"/>
    </w:pPr>
  </w:style>
  <w:style w:type="paragraph" w:customStyle="1" w:styleId="Style25">
    <w:name w:val="Style25"/>
    <w:basedOn w:val="Normal"/>
    <w:pPr>
      <w:widowControl w:val="0"/>
      <w:spacing w:line="296" w:lineRule="exact"/>
      <w:ind w:firstLine="725"/>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character" w:customStyle="1" w:styleId="FontStyle80">
    <w:name w:val="Font Style80"/>
    <w:rPr>
      <w:rFonts w:ascii="Arial" w:hAnsi="Arial"/>
      <w:sz w:val="18"/>
    </w:rPr>
  </w:style>
  <w:style w:type="character" w:customStyle="1" w:styleId="FontStyle84">
    <w:name w:val="Font Style84"/>
    <w:rPr>
      <w:rFonts w:ascii="Arial" w:hAnsi="Arial"/>
      <w:i/>
      <w:sz w:val="18"/>
    </w:rPr>
  </w:style>
  <w:style w:type="character" w:customStyle="1" w:styleId="FontStyle78">
    <w:name w:val="Font Style78"/>
    <w:rPr>
      <w:rFonts w:ascii="Arial" w:hAnsi="Arial"/>
      <w:b/>
      <w:sz w:val="18"/>
    </w:rPr>
  </w:style>
  <w:style w:type="character" w:customStyle="1" w:styleId="FontStyle85">
    <w:name w:val="Font Style85"/>
    <w:rPr>
      <w:rFonts w:ascii="Arial" w:hAnsi="Arial"/>
      <w:b/>
      <w:i/>
      <w:sz w:val="18"/>
    </w:rPr>
  </w:style>
  <w:style w:type="character" w:customStyle="1" w:styleId="FontStyle86">
    <w:name w:val="Font Style86"/>
    <w:rPr>
      <w:rFonts w:ascii="Arial" w:hAnsi="Arial"/>
      <w:b/>
      <w:sz w:val="16"/>
    </w:rPr>
  </w:style>
  <w:style w:type="character" w:customStyle="1" w:styleId="FontStyle81">
    <w:name w:val="Font Style81"/>
    <w:rPr>
      <w:rFonts w:ascii="Candara" w:hAnsi="Candara"/>
      <w:sz w:val="18"/>
    </w:rPr>
  </w:style>
  <w:style w:type="character" w:customStyle="1" w:styleId="FontStyle37">
    <w:name w:val="Font Style37"/>
    <w:rPr>
      <w:rFonts w:ascii="Franklin Gothic Medium Cond" w:hAnsi="Franklin Gothic Medium Cond"/>
      <w:sz w:val="20"/>
    </w:rPr>
  </w:style>
  <w:style w:type="character" w:customStyle="1" w:styleId="FontStyle39">
    <w:name w:val="Font Style39"/>
    <w:rPr>
      <w:rFonts w:ascii="Franklin Gothic Medium Cond" w:hAnsi="Franklin Gothic Medium Cond"/>
      <w:i/>
      <w:sz w:val="20"/>
    </w:rPr>
  </w:style>
  <w:style w:type="character" w:customStyle="1" w:styleId="FontStyle42">
    <w:name w:val="Font Style42"/>
    <w:rPr>
      <w:rFonts w:ascii="Franklin Gothic Medium Cond" w:hAnsi="Franklin Gothic Medium Cond"/>
      <w:i/>
      <w:sz w:val="20"/>
    </w:rPr>
  </w:style>
  <w:style w:type="character" w:customStyle="1" w:styleId="Accentuat">
    <w:name w:val="Accentuat"/>
    <w:qFormat/>
    <w:rPr>
      <w:i/>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 w:type="character" w:styleId="Emphasis">
    <w:name w:val="Emphasis"/>
    <w:qFormat/>
    <w:rsid w:val="00565124"/>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20</ap:TotalTime>
  <ap:Pages>17</ap:Pages>
  <ap:Words>14714</ap:Words>
  <ap:Characters>83875</ap:Characters>
  <ap:Application>Microsoft Office Word</ap:Application>
  <ap:DocSecurity>0</ap:DocSecurity>
  <ap:Lines>698</ap:Lines>
  <ap:Paragraphs>196</ap:Paragraphs>
  <ap:ScaleCrop>false</ap:ScaleCrop>
  <ap:CharactersWithSpaces>98393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