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3900FB" w14:paraId="4BCA763C" w14:textId="7154AF1B">
      <w:r>
        <w:t>Cod ECLI    ECLI:RO:</w:t>
      </w:r>
      <w:r w:rsidR="00DE32FD">
        <w:t>..........................                                           Hotărârea 14</w:t>
      </w:r>
    </w:p>
    <w:p w:rsidR="003900FB" w14:paraId="3126C932" w14:textId="2CFE0A70">
      <w:pPr>
        <w:rPr>
          <w:rStyle w:val="Fontdeparagrafimplicit"/>
          <w:b/>
        </w:rPr>
      </w:pPr>
      <w:r>
        <w:rPr>
          <w:rStyle w:val="Fontdeparagrafimplicit"/>
          <w:b/>
        </w:rPr>
        <w:t xml:space="preserve">Dosar nr. </w:t>
      </w:r>
      <w:r w:rsidRPr="008A30F0" w:rsidR="008A30F0">
        <w:rPr>
          <w:rStyle w:val="Fontdeparagrafimplicit"/>
          <w:b/>
        </w:rPr>
        <w:t>...../.../2016</w:t>
      </w:r>
    </w:p>
    <w:p w:rsidR="003900FB" w14:paraId="38013E22" w14:textId="77777777">
      <w:pPr>
        <w:jc w:val="center"/>
        <w:rPr>
          <w:rStyle w:val="Fontdeparagrafimplicit"/>
          <w:b/>
        </w:rPr>
      </w:pPr>
      <w:r>
        <w:rPr>
          <w:rStyle w:val="Fontdeparagrafimplicit"/>
          <w:b/>
        </w:rPr>
        <w:t>R O M Â N I A</w:t>
      </w:r>
    </w:p>
    <w:p w:rsidR="003900FB" w14:paraId="22B97652" w14:textId="77777777">
      <w:pPr>
        <w:jc w:val="center"/>
        <w:rPr>
          <w:rStyle w:val="Fontdeparagrafimplicit"/>
          <w:b/>
        </w:rPr>
      </w:pPr>
    </w:p>
    <w:p w:rsidR="003900FB" w14:paraId="3FFCE4B5" w14:textId="516DCB04">
      <w:pPr>
        <w:jc w:val="center"/>
        <w:rPr>
          <w:rStyle w:val="Fontdeparagrafimplicit"/>
          <w:b/>
        </w:rPr>
      </w:pPr>
      <w:r>
        <w:rPr>
          <w:rStyle w:val="Fontdeparagrafimplicit"/>
          <w:b/>
        </w:rPr>
        <w:t xml:space="preserve">CURTEA DE APEL </w:t>
      </w:r>
      <w:r w:rsidR="008A30F0">
        <w:rPr>
          <w:rStyle w:val="Fontdeparagrafimplicit"/>
          <w:b/>
        </w:rPr>
        <w:t>..............</w:t>
      </w:r>
    </w:p>
    <w:p w:rsidR="003900FB" w14:paraId="63DEC114" w14:textId="77777777">
      <w:pPr>
        <w:jc w:val="center"/>
        <w:rPr>
          <w:rStyle w:val="Fontdeparagrafimplicit"/>
          <w:b/>
          <w:lang w:val="en-US"/>
        </w:rPr>
      </w:pPr>
      <w:r>
        <w:rPr>
          <w:rStyle w:val="Fontdeparagrafimplicit"/>
          <w:b/>
        </w:rPr>
        <w:t>SECŢIA CONTENCIOS ADMINISTRATIV SI FISCAL</w:t>
      </w:r>
    </w:p>
    <w:p w:rsidR="003900FB" w14:paraId="73A2077C" w14:textId="77777777">
      <w:pPr>
        <w:rPr>
          <w:rStyle w:val="Fontdeparagrafimplicit"/>
          <w:b/>
        </w:rPr>
      </w:pPr>
    </w:p>
    <w:p w:rsidR="003900FB" w14:paraId="2A061D7A" w14:textId="23F0E700">
      <w:pPr>
        <w:jc w:val="center"/>
        <w:rPr>
          <w:rStyle w:val="Fontdeparagrafimplicit"/>
          <w:b/>
        </w:rPr>
      </w:pPr>
      <w:r>
        <w:rPr>
          <w:rStyle w:val="Fontdeparagrafimplicit"/>
          <w:b/>
        </w:rPr>
      </w:r>
      <w:bookmarkStart w:name="tip_incheiere" w:id="0"/>
      <w:r>
        <w:rPr>
          <w:rStyle w:val="Fontdeparagrafimplicit"/>
          <w:b/>
        </w:rPr>
      </w:r>
      <w:r>
        <w:rPr>
          <w:rStyle w:val="Fontdeparagrafimplicit"/>
          <w:b/>
        </w:rPr>
      </w:r>
      <w:r>
        <w:rPr>
          <w:rStyle w:val="Fontdeparagrafimplicit"/>
          <w:b/>
        </w:rPr>
        <w:t>DECIZIE</w:t>
      </w:r>
      <w:r>
        <w:rPr>
          <w:rStyle w:val="Fontdeparagrafimplicit"/>
          <w:b/>
        </w:rPr>
      </w:r>
      <w:bookmarkEnd w:id="0"/>
      <w:r>
        <w:rPr>
          <w:rStyle w:val="Fontdeparagrafimplicit"/>
          <w:b/>
        </w:rPr>
        <w:t xml:space="preserve"> Nr. </w:t>
      </w:r>
      <w:r w:rsidR="008A30F0">
        <w:rPr>
          <w:rStyle w:val="Fontdeparagrafimplicit"/>
          <w:b/>
        </w:rPr>
        <w:t>....</w:t>
      </w:r>
      <w:r>
        <w:rPr>
          <w:rStyle w:val="Fontdeparagrafimplicit"/>
          <w:b/>
        </w:rPr>
        <w:t>/</w:t>
      </w:r>
      <w:r w:rsidR="008A30F0">
        <w:rPr>
          <w:rStyle w:val="Fontdeparagrafimplicit"/>
          <w:b/>
        </w:rPr>
        <w:t>......</w:t>
      </w:r>
    </w:p>
    <w:p w:rsidR="003900FB" w14:paraId="47A5ADDB" w14:textId="4F616401">
      <w:pPr>
        <w:jc w:val="center"/>
        <w:rPr>
          <w:rStyle w:val="Fontdeparagrafimplicit"/>
          <w:b/>
        </w:rPr>
      </w:pPr>
      <w:r>
        <w:rPr>
          <w:rStyle w:val="Fontdeparagrafimplicit"/>
          <w:b/>
        </w:rPr>
        <w:t>Şedinţa </w:t>
      </w:r>
      <w:r>
        <w:rPr>
          <w:rStyle w:val="Fontdeparagrafimplicit"/>
          <w:b/>
        </w:rPr>
      </w:r>
      <w:bookmarkStart w:name="tip_sedinta" w:id="1"/>
      <w:r>
        <w:rPr>
          <w:rStyle w:val="Fontdeparagrafimplicit"/>
          <w:b/>
        </w:rPr>
      </w:r>
      <w:r>
        <w:rPr>
          <w:rStyle w:val="Fontdeparagrafimplicit"/>
          <w:b/>
        </w:rPr>
      </w:r>
      <w:r>
        <w:rPr>
          <w:rStyle w:val="Fontdeparagrafimplicit"/>
          <w:b/>
        </w:rPr>
        <w:t>publică</w:t>
      </w:r>
      <w:r>
        <w:rPr>
          <w:rStyle w:val="Fontdeparagrafimplicit"/>
          <w:b/>
        </w:rPr>
      </w:r>
      <w:bookmarkEnd w:id="1"/>
      <w:r>
        <w:rPr>
          <w:rStyle w:val="Fontdeparagrafimplicit"/>
          <w:b/>
        </w:rPr>
        <w:t xml:space="preserve"> de la </w:t>
      </w:r>
      <w:r w:rsidR="008A30F0">
        <w:rPr>
          <w:rStyle w:val="Fontdeparagrafimplicit"/>
          <w:b/>
        </w:rPr>
        <w:t>..................</w:t>
      </w:r>
      <w:r>
        <w:rPr>
          <w:rStyle w:val="Fontdeparagrafimplicit"/>
          <w:b/>
        </w:rPr>
        <w:t xml:space="preserve"> </w:t>
      </w:r>
    </w:p>
    <w:p w:rsidR="003900FB" w14:paraId="3A0B90E9" w14:textId="77777777">
      <w:pPr>
        <w:jc w:val="center"/>
        <w:rPr>
          <w:rStyle w:val="Fontdeparagrafimplicit"/>
          <w:b/>
        </w:rPr>
      </w:pPr>
      <w:r>
        <w:rPr>
          <w:rStyle w:val="Fontdeparagrafimplicit"/>
          <w:b/>
        </w:rPr>
        <w:t>Instanţa constituită din:</w:t>
      </w:r>
    </w:p>
    <w:p w:rsidR="003900FB" w14:paraId="68C31920" w14:textId="0E28EEDA">
      <w:pPr>
        <w:jc w:val="center"/>
        <w:rPr>
          <w:rStyle w:val="Fontdeparagrafimplicit"/>
          <w:b/>
        </w:rPr>
      </w:pPr>
      <w:r>
        <w:rPr>
          <w:rStyle w:val="Fontdeparagrafimplicit"/>
          <w:b/>
        </w:rPr>
        <w:t xml:space="preserve">PREŞEDINTE </w:t>
      </w:r>
      <w:r w:rsidR="008A30F0">
        <w:rPr>
          <w:rStyle w:val="Fontdeparagrafimplicit"/>
          <w:b/>
        </w:rPr>
        <w:t>..................</w:t>
      </w:r>
    </w:p>
    <w:p w:rsidR="003900FB" w14:paraId="1FA7E2B4" w14:textId="5A5218B0">
      <w:pPr>
        <w:jc w:val="center"/>
        <w:rPr>
          <w:rStyle w:val="Fontdeparagrafimplicit"/>
          <w:b/>
        </w:rPr>
      </w:pPr>
      <w:r>
        <w:rPr>
          <w:rStyle w:val="Fontdeparagrafimplicit"/>
          <w:b/>
        </w:rPr>
        <w:t xml:space="preserve">Judecător </w:t>
      </w:r>
      <w:r w:rsidR="00DE32FD">
        <w:rPr>
          <w:rStyle w:val="Fontdeparagrafimplicit"/>
          <w:b/>
        </w:rPr>
        <w:t>A0001</w:t>
      </w:r>
    </w:p>
    <w:p w:rsidR="003900FB" w14:paraId="06B0D375" w14:textId="39A72424">
      <w:pPr>
        <w:jc w:val="center"/>
        <w:rPr>
          <w:rStyle w:val="Fontdeparagrafimplicit"/>
          <w:b/>
        </w:rPr>
      </w:pPr>
      <w:r>
        <w:rPr>
          <w:rStyle w:val="Fontdeparagrafimplicit"/>
          <w:b/>
        </w:rPr>
        <w:t xml:space="preserve">Judecător </w:t>
      </w:r>
      <w:r w:rsidR="008A30F0">
        <w:rPr>
          <w:rStyle w:val="Fontdeparagrafimplicit"/>
          <w:b/>
        </w:rPr>
        <w:t>..................</w:t>
      </w:r>
    </w:p>
    <w:p w:rsidR="003900FB" w14:paraId="48ACEE98" w14:textId="141F0735">
      <w:pPr>
        <w:jc w:val="center"/>
        <w:rPr>
          <w:rStyle w:val="Fontdeparagrafimplicit"/>
          <w:b/>
        </w:rPr>
      </w:pPr>
      <w:r>
        <w:rPr>
          <w:rStyle w:val="Fontdeparagrafimplicit"/>
          <w:b/>
        </w:rPr>
        <w:t xml:space="preserve">Grefier </w:t>
      </w:r>
      <w:r w:rsidR="008A30F0">
        <w:rPr>
          <w:rStyle w:val="Fontdeparagrafimplicit"/>
          <w:b/>
        </w:rPr>
        <w:t>..................</w:t>
      </w:r>
    </w:p>
    <w:p w:rsidR="003900FB" w14:paraId="2D4A14D0" w14:textId="77777777">
      <w:pPr>
        <w:jc w:val="center"/>
        <w:rPr>
          <w:rStyle w:val="Fontdeparagrafimplicit"/>
          <w:b/>
        </w:rPr>
      </w:pPr>
    </w:p>
    <w:p w:rsidR="003900FB" w14:paraId="0E0D3001" w14:textId="77777777">
      <w:pPr>
        <w:jc w:val="center"/>
        <w:rPr>
          <w:rStyle w:val="Fontdeparagrafimplicit"/>
          <w:b/>
        </w:rPr>
      </w:pPr>
    </w:p>
    <w:p w:rsidR="003900FB" w14:paraId="2AF751EF" w14:textId="47528874">
      <w:pPr>
        <w:ind w:firstLine="708"/>
        <w:jc w:val="both"/>
      </w:pPr>
      <w:r>
        <w:t xml:space="preserve">Pe rol judecarea recursului formulat de pârâta </w:t>
      </w:r>
      <w:r>
        <w:rPr>
          <w:rStyle w:val="Fontdeparagrafimplicit"/>
          <w:b/>
        </w:rPr>
        <w:t>AGENŢIA NAŢIONALĂ DE ADMINISTRARE FISCALĂ</w:t>
      </w:r>
      <w:r>
        <w:t xml:space="preserve">, împotriva </w:t>
      </w:r>
      <w:r w:rsidRPr="008A30F0">
        <w:t xml:space="preserve">sentinţei nr. </w:t>
      </w:r>
      <w:r w:rsidRPr="008A30F0" w:rsidR="008A30F0">
        <w:t>..... din ..............</w:t>
      </w:r>
      <w:r>
        <w:t xml:space="preserve"> pronunţată de </w:t>
      </w:r>
      <w:r w:rsidRPr="008A30F0">
        <w:t xml:space="preserve">Tribunalul </w:t>
      </w:r>
      <w:r w:rsidRPr="008A30F0" w:rsidR="008A30F0">
        <w:t>...A...</w:t>
      </w:r>
      <w:r w:rsidRPr="008A30F0">
        <w:t xml:space="preserve"> în dosarul nr.</w:t>
      </w:r>
      <w:r w:rsidRPr="008A30F0" w:rsidR="008A30F0">
        <w:t>...../.../2016</w:t>
      </w:r>
      <w:r w:rsidRPr="008A30F0">
        <w:t>, în</w:t>
      </w:r>
      <w:r>
        <w:t xml:space="preserve"> contradictoriu cu intimatul reclamant </w:t>
      </w:r>
      <w:r w:rsidR="008A30F0">
        <w:t>...Y...</w:t>
      </w:r>
      <w:r>
        <w:t xml:space="preserve"> SRL.</w:t>
      </w:r>
    </w:p>
    <w:p w:rsidR="003900FB" w14:paraId="6D0F00CF" w14:textId="77777777">
      <w:pPr>
        <w:ind w:firstLine="708"/>
        <w:jc w:val="both"/>
      </w:pPr>
      <w:r>
        <w:t xml:space="preserve">La apelul nominal făcut în şedinţa </w:t>
      </w:r>
      <w:bookmarkStart w:name="tip_sedinta_copie_1" w:id="2"/>
      <w:r>
        <w:t>publică</w:t>
      </w:r>
      <w:bookmarkEnd w:id="2"/>
      <w:r>
        <w:t xml:space="preserve"> au lipsit părţile.</w:t>
      </w:r>
    </w:p>
    <w:p w:rsidR="003900FB" w14:paraId="739EEDDF" w14:textId="77777777">
      <w:pPr>
        <w:ind w:firstLine="708"/>
        <w:jc w:val="both"/>
      </w:pPr>
      <w:r>
        <w:t xml:space="preserve">Procedura de citare a părţilor </w:t>
      </w:r>
      <w:bookmarkStart w:name="tip_procedura" w:id="3"/>
      <w:r>
        <w:t>legal</w:t>
      </w:r>
      <w:bookmarkEnd w:id="3"/>
      <w:r>
        <w:t xml:space="preserve"> îndeplinită.</w:t>
      </w:r>
    </w:p>
    <w:p w:rsidR="003900FB" w14:paraId="33187AC6" w14:textId="77777777">
      <w:pPr>
        <w:ind w:firstLine="720"/>
        <w:jc w:val="both"/>
      </w:pPr>
      <w:r>
        <w:t xml:space="preserve">S-a făcut </w:t>
      </w:r>
      <w:bookmarkStart w:name="tip_doc_despre_cauza" w:id="4"/>
      <w:r>
        <w:t>referatul</w:t>
      </w:r>
      <w:bookmarkEnd w:id="4"/>
      <w:r>
        <w:t xml:space="preserve"> cauzei de către </w:t>
      </w:r>
      <w:bookmarkStart w:name="functia_celui_care_f" w:id="5"/>
      <w:r>
        <w:t>grefier</w:t>
      </w:r>
      <w:bookmarkEnd w:id="5"/>
      <w:r>
        <w:t>ul de şedinţă, care învederează instanţei că recurenta a înaintat la dosar înscrisurile solicitate, s-a solicitat judecarea cauzei în lipsă, după care, instanţa constată cauza în stare de judecată şi o reţine spre soluţionare.</w:t>
      </w:r>
    </w:p>
    <w:p w:rsidR="003900FB" w14:paraId="4D2AD406" w14:textId="77777777">
      <w:pPr>
        <w:jc w:val="center"/>
      </w:pPr>
    </w:p>
    <w:p w:rsidR="003900FB" w14:paraId="7F14B8B3" w14:textId="77777777">
      <w:pPr>
        <w:jc w:val="center"/>
        <w:rPr>
          <w:rStyle w:val="Fontdeparagrafimplicit"/>
          <w:b/>
        </w:rPr>
      </w:pPr>
      <w:r>
        <w:rPr>
          <w:rStyle w:val="Fontdeparagrafimplicit"/>
          <w:b/>
        </w:rPr>
        <w:t>CURTEA</w:t>
      </w:r>
    </w:p>
    <w:p w:rsidR="003900FB" w14:paraId="58FEB904" w14:textId="77777777">
      <w:pPr>
        <w:jc w:val="center"/>
        <w:rPr>
          <w:rStyle w:val="Fontdeparagrafimplicit"/>
        </w:rPr>
      </w:pPr>
    </w:p>
    <w:p w:rsidR="003900FB" w14:paraId="3F0CB063" w14:textId="77777777">
      <w:pPr>
        <w:ind w:firstLine="708"/>
        <w:jc w:val="both"/>
      </w:pPr>
      <w:r>
        <w:t>Deliberând asupra recursului declarat, constată următoarele:</w:t>
      </w:r>
    </w:p>
    <w:p w:rsidR="003900FB" w14:paraId="64D788F3" w14:textId="315FAA9E">
      <w:pPr>
        <w:ind w:firstLine="708"/>
        <w:jc w:val="both"/>
      </w:pPr>
      <w:r>
        <w:rPr>
          <w:rStyle w:val="Fontdeparagrafimplicit"/>
          <w:b/>
        </w:rPr>
        <w:t xml:space="preserve">Prin sentinţa nr. </w:t>
      </w:r>
      <w:r w:rsidR="008A30F0">
        <w:rPr>
          <w:rStyle w:val="Fontdeparagrafimplicit"/>
          <w:b/>
        </w:rPr>
        <w:t>..... din ..............</w:t>
      </w:r>
      <w:r>
        <w:rPr>
          <w:rStyle w:val="Fontdeparagrafimplicit"/>
          <w:b/>
        </w:rPr>
        <w:t xml:space="preserve"> pronunţată de Tribunalul </w:t>
      </w:r>
      <w:r w:rsidR="008A30F0">
        <w:rPr>
          <w:rStyle w:val="Fontdeparagrafimplicit"/>
          <w:b/>
        </w:rPr>
        <w:t>...A...</w:t>
      </w:r>
      <w:r>
        <w:rPr>
          <w:rStyle w:val="Fontdeparagrafimplicit"/>
          <w:b/>
        </w:rPr>
        <w:t xml:space="preserve"> în dosarul nr. </w:t>
      </w:r>
      <w:r w:rsidR="008A30F0">
        <w:rPr>
          <w:rStyle w:val="Fontdeparagrafimplicit"/>
          <w:b/>
        </w:rPr>
        <w:t>...../.../2016</w:t>
      </w:r>
      <w:r>
        <w:rPr>
          <w:rStyle w:val="Fontdeparagrafimplicit"/>
          <w:b/>
        </w:rPr>
        <w:t>,</w:t>
      </w:r>
      <w:r>
        <w:t xml:space="preserve"> s-a admis acţiunea formulată de reclamanta </w:t>
      </w:r>
      <w:r w:rsidR="008A30F0">
        <w:t>...Y...</w:t>
      </w:r>
      <w:r>
        <w:t xml:space="preserve"> SRL, în contradictoriu cu pârâta ANAF-DRAF, Direcţia Regională Antifraudă </w:t>
      </w:r>
      <w:r w:rsidRPr="004E1781">
        <w:t xml:space="preserve">Fiscală </w:t>
      </w:r>
      <w:r w:rsidRPr="004E1781" w:rsidR="00843E49">
        <w:t>x</w:t>
      </w:r>
      <w:r>
        <w:t xml:space="preserve"> </w:t>
      </w:r>
      <w:r w:rsidR="008A30F0">
        <w:t>..B..</w:t>
      </w:r>
      <w:r>
        <w:t xml:space="preserve">. S-a anulat decizia de instituire a măsurilor asigurătorii nr. </w:t>
      </w:r>
      <w:r w:rsidR="00843E49">
        <w:t>AF..A..</w:t>
      </w:r>
      <w:r>
        <w:t>/</w:t>
      </w:r>
      <w:r w:rsidR="00843E49">
        <w:t>.......</w:t>
      </w:r>
      <w:r>
        <w:t xml:space="preserve">/21.10.2016 şi Procesul verbal de sechestru asigurător pentru bunuri mobile nr. </w:t>
      </w:r>
      <w:r w:rsidR="00843E49">
        <w:t>....</w:t>
      </w:r>
      <w:r>
        <w:t>/24.10.2016 emis de pârâtă.</w:t>
      </w:r>
    </w:p>
    <w:p w:rsidR="003900FB" w14:paraId="3BADBAF4" w14:textId="6BA0F4D4">
      <w:pPr>
        <w:ind w:firstLine="708"/>
        <w:jc w:val="both"/>
      </w:pPr>
      <w:r>
        <w:rPr>
          <w:rStyle w:val="Fontdeparagrafimplicit"/>
          <w:b/>
        </w:rPr>
        <w:t xml:space="preserve">Împotriva sentinţei nr. </w:t>
      </w:r>
      <w:r w:rsidR="008A30F0">
        <w:rPr>
          <w:rStyle w:val="Fontdeparagrafimplicit"/>
          <w:b/>
        </w:rPr>
        <w:t>..... din ..............</w:t>
      </w:r>
      <w:r>
        <w:rPr>
          <w:rStyle w:val="Fontdeparagrafimplicit"/>
          <w:b/>
        </w:rPr>
        <w:t xml:space="preserve"> pronunţată de Tribunalul </w:t>
      </w:r>
      <w:r w:rsidR="008A30F0">
        <w:rPr>
          <w:rStyle w:val="Fontdeparagrafimplicit"/>
          <w:b/>
        </w:rPr>
        <w:t>...A...</w:t>
      </w:r>
      <w:r>
        <w:rPr>
          <w:rStyle w:val="Fontdeparagrafimplicit"/>
          <w:b/>
        </w:rPr>
        <w:t xml:space="preserve"> în dosarul nr. </w:t>
      </w:r>
      <w:r w:rsidR="008A30F0">
        <w:rPr>
          <w:rStyle w:val="Fontdeparagrafimplicit"/>
          <w:b/>
        </w:rPr>
        <w:t>...../.../2016</w:t>
      </w:r>
      <w:r>
        <w:t>, a formulat recurs pârâta criticând-o pentru nelegalitate şi netemeinicie.</w:t>
      </w:r>
    </w:p>
    <w:p w:rsidR="003900FB" w14:paraId="12E9F2F8" w14:textId="77777777">
      <w:pPr>
        <w:ind w:firstLine="708"/>
        <w:jc w:val="both"/>
      </w:pPr>
      <w:r>
        <w:t>Arată că recursul este motivat pe dispoziţiile art. 488 pct. 8 NCPC, care se refera la încălcarea sau aplicarea greşita a normelor de drept material in speţa: Casarea unor hotărâri se poate cere numai pentru următoarele motive de nelegalitate - când hotărârea a fost dată cu încălcarea sau aplicarea greşită a normelor de drept material.</w:t>
      </w:r>
    </w:p>
    <w:p w:rsidR="003900FB" w14:paraId="341ABCC8" w14:textId="77777777">
      <w:pPr>
        <w:ind w:firstLine="708"/>
        <w:jc w:val="both"/>
      </w:pPr>
      <w:r>
        <w:t xml:space="preserve">Referitor la încheierea pronunţata în data de </w:t>
      </w:r>
      <w:r w:rsidRPr="004E1781">
        <w:t>22.03.2017</w:t>
      </w:r>
      <w:r>
        <w:t>, arată că este rezultatul unei erori, având in vedere următoarele considerente:</w:t>
      </w:r>
    </w:p>
    <w:p w:rsidR="003900FB" w14:paraId="00C91057" w14:textId="38AACE84">
      <w:pPr>
        <w:ind w:firstLine="708"/>
        <w:jc w:val="both"/>
      </w:pPr>
      <w:r>
        <w:t xml:space="preserve">Astfel, în urma analizei cererii de chemare în judecata, se observa cu uşurinţa ca una dintre părţile cu care reclamanta SC </w:t>
      </w:r>
      <w:r w:rsidR="008A30F0">
        <w:t>...Y...</w:t>
      </w:r>
      <w:r>
        <w:t xml:space="preserve"> SRL a înţeles să se judece este DIRECŢIA REGIONALA ANTIFRAUDA </w:t>
      </w:r>
      <w:r w:rsidR="008A30F0">
        <w:t>..B..</w:t>
      </w:r>
      <w:r>
        <w:t>, care face parte din aparatul propriu al Agenţiei Naţionale de Administrare Fiscala.</w:t>
      </w:r>
    </w:p>
    <w:p w:rsidR="003900FB" w14:paraId="3C847840" w14:textId="77777777">
      <w:pPr>
        <w:ind w:firstLine="708"/>
        <w:jc w:val="both"/>
      </w:pPr>
      <w:r>
        <w:t>În susţinere arătă ca, in conformitate cu art. 15 alin. (1) Secţiunea 1 din actul normativ ce reglementează organizarea si funcţionarea instituţiei noastre, respectiv Hotărârea Guvernului nr. 520/2013, Direcţia generala antifraudă fiscala si structurile sale regionale fac parte din cadrul Agenţiei Naţionale de Administrare Fiscala.</w:t>
      </w:r>
    </w:p>
    <w:p w:rsidR="003900FB" w14:paraId="41061441" w14:textId="77777777">
      <w:pPr>
        <w:ind w:firstLine="708"/>
        <w:jc w:val="both"/>
      </w:pPr>
      <w:r>
        <w:t xml:space="preserve">Potrivit articolului menţionat ,,În cadrul Agenţiei se organizează şi funcţionează Direcţia generală antifrauda fiscală, structură fără personalitate juridică, cu atribuţii de </w:t>
      </w:r>
      <w:r>
        <w:t>prevenire, descoperire şi combatere a actelor şi faptelor de evaziune fiscală şi fraudă fiscală şi vamală.”</w:t>
      </w:r>
    </w:p>
    <w:p w:rsidR="003900FB" w14:paraId="2143E139" w14:textId="14D94848">
      <w:pPr>
        <w:ind w:firstLine="708"/>
        <w:jc w:val="both"/>
      </w:pPr>
      <w:r>
        <w:t xml:space="preserve">În acest context, personalitate juridica si capacitate procesuala are instituţia in ansamblul sau si nu fiecare direcţie de specialitate in parte, motiv pentru care, in raport de prevederile art. 2 din HG nr. 520/2013 coroborate cu prevederile aii. 155 pct 1 Cod procedura civila, instanţa avea obligaţia de a dispune citarea la sediul principal al ANAF (singurul sediu menţionat in HG nr. 520/2013), respectiv la sediul din </w:t>
      </w:r>
      <w:r w:rsidR="008A30F0">
        <w:t>...............................</w:t>
      </w:r>
      <w:r>
        <w:t>.</w:t>
      </w:r>
    </w:p>
    <w:p w:rsidR="003900FB" w14:paraId="442418DB" w14:textId="77777777">
      <w:pPr>
        <w:ind w:firstLine="708"/>
        <w:jc w:val="both"/>
      </w:pPr>
      <w:r>
        <w:t>Potrivit dispoziţiile art. 155 pct. (1) din Codul de procedură civilă dispun: "Locul citării. (1). Vor fi citaţi: 1. statul, prin Ministerul Finanţelor Publice sau alte organe anume desemnate în acest scop de lege, la sediul acestora:".</w:t>
      </w:r>
    </w:p>
    <w:p w:rsidR="003900FB" w14:paraId="37DA5889" w14:textId="364E046A">
      <w:pPr>
        <w:ind w:firstLine="708"/>
        <w:jc w:val="both"/>
      </w:pPr>
      <w:r>
        <w:t xml:space="preserve">In consecinţa, in raport de cele mai sus arătate, a solicitat să se constatate ca, in cauza, capacitate procesuala, si implicit, calitatea de parata o are Agenţia Naţionala de Administrare Fiscala, iar in raport de art. 2 alin. 1 din HG nr. 520/2013, coroborate cu prevederile art. 155 Cod procedura civila, comunicarea tuturor actelor de procedura trebuia sa fie realizata la sediul din </w:t>
      </w:r>
      <w:r w:rsidR="00843E49">
        <w:t>...................................</w:t>
      </w:r>
      <w:r>
        <w:t xml:space="preserve"> .</w:t>
      </w:r>
    </w:p>
    <w:p w:rsidR="003900FB" w14:paraId="4E83447A" w14:textId="77777777">
      <w:pPr>
        <w:ind w:firstLine="708"/>
        <w:jc w:val="both"/>
      </w:pPr>
      <w:r>
        <w:t>Sa se tina cont şi de faptul ca, dreptul la apărare constituie una din garanţiile procesuale ce guvernează, alături de celelalte garanţii ce contribuie la desfăşurarea unui proces echitabil.</w:t>
      </w:r>
    </w:p>
    <w:p w:rsidR="003900FB" w14:paraId="1CE6EBD1" w14:textId="77777777">
      <w:pPr>
        <w:ind w:firstLine="708"/>
        <w:jc w:val="both"/>
      </w:pPr>
      <w:r>
        <w:t>Noţiunea de proces echitabil presupune si respectarea si aplicarea principiului contradictorialităţii, principiu care de asemenea conferă garanţia unui proces echitabil in care părţile isi pot formula apărările.</w:t>
      </w:r>
    </w:p>
    <w:p w:rsidR="003900FB" w14:paraId="61F16F30" w14:textId="4101F02B">
      <w:pPr>
        <w:ind w:firstLine="708"/>
        <w:jc w:val="both"/>
      </w:pPr>
      <w:r>
        <w:t xml:space="preserve">Aşa, cum am arătat, mai sus, apreciem ca in mod greşit, instanţa a considerat ca DGAF si DRAF </w:t>
      </w:r>
      <w:r w:rsidR="008A30F0">
        <w:t>..B..</w:t>
      </w:r>
      <w:r>
        <w:t xml:space="preserve"> este instituţie publica distincta de ANAF, neobservand in diagrama redata in HG nr.520/2013 ca DGAF si DRAF </w:t>
      </w:r>
      <w:r w:rsidR="008A30F0">
        <w:t>..B..</w:t>
      </w:r>
      <w:r>
        <w:t xml:space="preserve"> este o direcţie in cadrul ANAF, prin care instituţia noastră isi desfăşoară activitatea.</w:t>
      </w:r>
    </w:p>
    <w:p w:rsidR="003900FB" w14:paraId="06438279" w14:textId="77777777">
      <w:pPr>
        <w:ind w:firstLine="708"/>
        <w:jc w:val="both"/>
      </w:pPr>
      <w:r>
        <w:t>Se mai arată că, in cuprinsul intampinarii la fond, a precizat ca Direcţia generala antifrauda fiscala si structurile sale regionale fac parte din cadrul Agenţiei Naţionale de Administrare Fiscala, astfel încât in cauza, parte intimata este Agenţia Naţionala de Administrare Fiscala pentru contestaţia împotriva deciziei de instituire a masurilor asigurătorii. De altfel, este evident, ca in aceasta calitate, a si formulat întâmpinare in cauza.</w:t>
      </w:r>
    </w:p>
    <w:p w:rsidR="003900FB" w14:paraId="66F0FD00" w14:textId="4F60B4F5">
      <w:pPr>
        <w:ind w:firstLine="708"/>
        <w:jc w:val="both"/>
      </w:pPr>
      <w:r>
        <w:t xml:space="preserve">Pe fond, contestatoarea a solicitat instanţei: anularea Deciziei de instituire a masurilor asigurătorii nr. </w:t>
      </w:r>
      <w:r w:rsidR="00071833">
        <w:t>A-F..A..</w:t>
      </w:r>
      <w:r>
        <w:t xml:space="preserve"> </w:t>
      </w:r>
      <w:r w:rsidR="00071833">
        <w:t>.......</w:t>
      </w:r>
      <w:r>
        <w:t xml:space="preserve">/21.10.2016 si a procesului-verbal de sechestru asigurător pentru bunuri mobile nr. </w:t>
      </w:r>
      <w:r w:rsidR="00071833">
        <w:t>..</w:t>
      </w:r>
      <w:r>
        <w:t>/24.10.2016.</w:t>
      </w:r>
    </w:p>
    <w:p w:rsidR="003900FB" w14:paraId="4626C6CF" w14:textId="55B937EC">
      <w:pPr>
        <w:ind w:firstLine="708"/>
        <w:jc w:val="both"/>
      </w:pPr>
      <w:r>
        <w:t xml:space="preserve">Prin sentinţa nr. </w:t>
      </w:r>
      <w:r w:rsidR="008A30F0">
        <w:t>...../.................</w:t>
      </w:r>
      <w:r>
        <w:t>, instanţa a admis acţiunea motivând următoarele:</w:t>
      </w:r>
    </w:p>
    <w:p w:rsidR="003900FB" w14:paraId="58A5DCEC" w14:textId="77777777">
      <w:pPr>
        <w:ind w:firstLine="708"/>
        <w:jc w:val="both"/>
      </w:pPr>
      <w:r>
        <w:t>1. „Urmare a unei inspecţii fiscale în sarcina societăţii reclamante s-a emis decizia de instituire a măsurilor asigurătorii şi procesul verbal de sechestru asigurător pentru bunuri mobile”.</w:t>
      </w:r>
    </w:p>
    <w:p w:rsidR="003900FB" w14:paraId="6E192EE3" w14:textId="77777777">
      <w:pPr>
        <w:ind w:firstLine="708"/>
        <w:jc w:val="both"/>
      </w:pPr>
      <w:r>
        <w:t>2. „Potrivit art. 213 din Legea 207/2015 privind codul de procedură fiscală măsurile asigurătorii sub forma popririi asigurătorii şi sechestrului asigurător...se dispun în cazuri excepţionale...în cuprinsul deciziei de instituire a măsurilor asigurătorii, organul fiscal nu a menţionat care sunt motivele care l-au determinat să instituie această măsură”.</w:t>
      </w:r>
    </w:p>
    <w:p w:rsidR="003900FB" w14:paraId="57289C8B" w14:textId="77777777">
      <w:pPr>
        <w:ind w:firstLine="708"/>
        <w:jc w:val="both"/>
      </w:pPr>
      <w:r>
        <w:t>3. „Verificând legalitatea emiterii deciziei de instituire a măsurilor asigurătorii se constată că aceasta a fost emisă cu nerespectare dispoziţiilor legale...în sensul că lipseşte referatul justificativ al dispunerii măsurilor asigurătorii reglementat de Ordinul 2546/2016 care...se întocmeşte şi stă la baza emiterii deciziei de instituire a măsurilor asigurătorii".</w:t>
      </w:r>
    </w:p>
    <w:p w:rsidR="003900FB" w14:paraId="4C0A77DB" w14:textId="166C339B">
      <w:pPr>
        <w:ind w:firstLine="708"/>
        <w:jc w:val="both"/>
      </w:pPr>
      <w:r>
        <w:t xml:space="preserve">Recurenta apreciază nelegala si netemeinica hotărârea instanţei de fond, respectiv Sentinţa nr. </w:t>
      </w:r>
      <w:r w:rsidR="008A30F0">
        <w:t>...../.................</w:t>
      </w:r>
      <w:r>
        <w:t xml:space="preserve"> pronunţata de Tribunalul </w:t>
      </w:r>
      <w:r w:rsidR="008A30F0">
        <w:t>...A...</w:t>
      </w:r>
      <w:r>
        <w:t xml:space="preserve"> in dosar nr. </w:t>
      </w:r>
      <w:r w:rsidR="008A30F0">
        <w:t>...../.../2016</w:t>
      </w:r>
      <w:r>
        <w:t>, pentru următoarele considerente:</w:t>
      </w:r>
    </w:p>
    <w:p w:rsidR="003900FB" w14:paraId="48A4F3F6" w14:textId="77777777">
      <w:pPr>
        <w:ind w:firstLine="708"/>
        <w:jc w:val="both"/>
      </w:pPr>
      <w:r>
        <w:t>În mod greşit instanţa a reţinut că "urmare a unei inspecţii fiscale în sarcina societăţii reclamante s-a emis decizia de instituire a măsurilor asigurătorii şi procesul verbal de sechestru asigurător pentru bunuri mobile" având în vedere următoarele considerente:</w:t>
      </w:r>
    </w:p>
    <w:p w:rsidR="003900FB" w14:paraId="7B2FF151" w14:textId="1D766AF7">
      <w:pPr>
        <w:ind w:firstLine="708"/>
        <w:jc w:val="both"/>
      </w:pPr>
      <w:r>
        <w:t xml:space="preserve">a) în data de 09.10.2016, inspectorii antifrauda din cadrul DRAF </w:t>
      </w:r>
      <w:r w:rsidR="00071833">
        <w:t>x ..B..</w:t>
      </w:r>
      <w:r>
        <w:t xml:space="preserve"> s-au deplasat la punctul de lucru - Fast Food, al societăţii </w:t>
      </w:r>
      <w:r w:rsidR="008A30F0">
        <w:t>...Y...</w:t>
      </w:r>
      <w:r>
        <w:t xml:space="preserve"> SRL, în vederea efectuării unui control </w:t>
      </w:r>
      <w:r>
        <w:t xml:space="preserve">operativ şi inopinat şi nu a unei inspecţii fiscale aşa cum greşit a reţinut instanţa, DRAF </w:t>
      </w:r>
      <w:r w:rsidR="00071833">
        <w:t>x ..B..</w:t>
      </w:r>
      <w:r>
        <w:t xml:space="preserve"> neavând competenţe pentru efectuarea de inspecţii fiscale;</w:t>
      </w:r>
    </w:p>
    <w:p w:rsidR="003900FB" w14:paraId="79499F2B" w14:textId="77777777">
      <w:pPr>
        <w:ind w:firstLine="708"/>
        <w:jc w:val="both"/>
      </w:pPr>
      <w:r>
        <w:t>b) urmare a controlului operativ şi inopinat efectuat la punctul de lucru al societăţii au fost identificate înscrisuri ce au conţinut stocurile de produse deţinute de agentul economic în perioada 30.07.2016-07.10.2016, iar prin compararea acestora cu rapoartele de închidere zilnică (inclusiv role jurnal ale AMEF) au fost identificate produse comercializate în suma de 77.125 lei, - pentru care operatorul economic nu a emis bonuri fiscale, astfel fiind sancţionat contravenţional;</w:t>
      </w:r>
    </w:p>
    <w:p w:rsidR="003900FB" w14:paraId="186C2072" w14:textId="15678733">
      <w:pPr>
        <w:ind w:firstLine="708"/>
        <w:jc w:val="both"/>
      </w:pPr>
      <w:r>
        <w:t xml:space="preserve">c) având în vedere faptul că suma rezultată din confiscări a fost relativ mare raportat la faptul că societatea înregistrează pierderi precum şi la faptul că din evidenţele contabile întocmite de societate (balanţe de verificare, cont 455) se poate lesne observa faptul că reprezentantul societăţii aducea aport în societate (existând suspiciunea rezonabilă că aportul provine din activitatea pe care o desfăşoară societatea, dar care nu este evidenţiată în actele contabile), inspectorii antifraudă au considerat că sunt pe deplin respectate inferenţele statuate de art.213 din Legea 207/2015, emiţând referatul justificativ al măsurilor asigurătorii nr </w:t>
      </w:r>
      <w:r w:rsidR="00071833">
        <w:t>A_F..A..</w:t>
      </w:r>
      <w:r>
        <w:t xml:space="preserve"> </w:t>
      </w:r>
      <w:r w:rsidR="00071833">
        <w:t>........</w:t>
      </w:r>
      <w:r>
        <w:t xml:space="preserve">/21.10.2016 şi decizia de instituire a măsurilor asigurătorii nr. </w:t>
      </w:r>
      <w:r w:rsidR="00071833">
        <w:t>A_F..A..</w:t>
      </w:r>
      <w:r>
        <w:t xml:space="preserve"> </w:t>
      </w:r>
      <w:r w:rsidR="00071833">
        <w:t>........</w:t>
      </w:r>
      <w:r>
        <w:t xml:space="preserve">/21.10.2016, ce au fost duse la îndeplinire de către Administraţia Judeţeană a Finanţelor Publice </w:t>
      </w:r>
      <w:r w:rsidR="008A30F0">
        <w:t>...A...</w:t>
      </w:r>
      <w:r>
        <w:t xml:space="preserve"> prin emiterea procesului verbal de sechestru asigurătoriu.</w:t>
      </w:r>
    </w:p>
    <w:p w:rsidR="003900FB" w14:paraId="07257794" w14:textId="77777777">
      <w:pPr>
        <w:ind w:firstLine="708"/>
        <w:jc w:val="both"/>
      </w:pPr>
      <w:r>
        <w:t>Referitor la pericolul de sustragere, ascundere ori risipire a patrimoniului recurenta face următoarele precizări menite să clarifice existenţa „cazului excepţional şi a pericolului de sustragere, ascundere ori risipire a patrimoniului: - prevederile Ordinului nr. 2546/2016, Anexa 1, Capitolul III, subcapitolul 1, lit. A, pct. 16 respectiv: „Procedura de instituire a măsurilor asigurătorii de către organul de control: 16. Organul de control poate dispune măsuri asigurătorii, în mod excepţional, respectiv atunci când există pericolul ca debitorul să se sustragă, să îşi ascundă oh să îşi risipească patrimoniul, periclitând sau îngreunind în mod considerabil colectarea, în următoarele situaţii:</w:t>
      </w:r>
    </w:p>
    <w:p w:rsidR="003900FB" w14:paraId="43692B27" w14:textId="77777777">
      <w:pPr>
        <w:ind w:firstLine="708"/>
        <w:jc w:val="both"/>
      </w:pPr>
      <w:r>
        <w:t>d) în timpul sau ca urmare a unui control inopinat efectuat de organele de control;</w:t>
      </w:r>
    </w:p>
    <w:p w:rsidR="003900FB" w14:paraId="34A94E76" w14:textId="77777777">
      <w:pPr>
        <w:ind w:firstLine="708"/>
        <w:jc w:val="both"/>
      </w:pPr>
      <w:r>
        <w:t>e) în situaţia în care a fost aplicată sancţiunea amenzii contravenţionale sau a confiscării contravalorii bunurilor ori a altor sume.</w:t>
      </w:r>
    </w:p>
    <w:p w:rsidR="003900FB" w14:paraId="5E33CFCB" w14:textId="77777777">
      <w:pPr>
        <w:ind w:firstLine="708"/>
        <w:jc w:val="both"/>
      </w:pPr>
      <w:r>
        <w:t>Mai mult decât atât arată faptul că sumele din decizie provin din săvârşirea unei contravenţii, iar argumentele pentru care se impune luarea măsurilor asigurătorii se desprind din cuprinsul deciziei. Acestea nu se confundă strict cu suma considerabilă de care societatea ar fi beneficiat în urma săvârşirii contravenţiei, ci cu modul în care a fost săvârşită contravenţia, situaţie care nu necesită prezentarea unor acte dolosive în plus pentru aprecierea pericolului (deşi mai sus au fost arătate mai multe indicii extrinseci şi obiective privind pericolul).</w:t>
      </w:r>
    </w:p>
    <w:p w:rsidR="003900FB" w14:paraId="04B7912A" w14:textId="77777777">
      <w:pPr>
        <w:ind w:firstLine="708"/>
        <w:jc w:val="both"/>
      </w:pPr>
      <w:r>
        <w:t>Este fără dubiu că legiuitorul a scos din sfera dreptului comun măsurile asigurătorii, acestea urmând a fi dispuse doar în cazuri excepţionale, cazurile excepţionale fiind atunci când, tot legiuitorul spune, există pericolul ca acesta să se sustragă, să îşi ascundă ori să îşi risipească patrimoniul, periclitând sau îngreunând în mod considerabil colectarea.</w:t>
      </w:r>
    </w:p>
    <w:p w:rsidR="003900FB" w14:paraId="1148B9C0" w14:textId="77777777">
      <w:pPr>
        <w:ind w:firstLine="708"/>
        <w:jc w:val="both"/>
      </w:pPr>
      <w:r>
        <w:t>În atare condiţii, apreciază că legiuitorul a avut în vedere, ca şi criteriu de bază, necesitatea aplicării măsurilor asigurătorii în scopul prevenirii unei ameninţări iminente privind producerea unui prejudiciu, în speţă existând posibilitatea ca obligaţiile fiscale stabilite în sarcina societăţii contestatoare să nu mai poată fi recuperate, creându-se astfel, un prejudiciu bugetului general consolidat.</w:t>
      </w:r>
    </w:p>
    <w:p w:rsidR="003900FB" w14:paraId="2E0AA4C9" w14:textId="77777777">
      <w:pPr>
        <w:ind w:firstLine="708"/>
        <w:jc w:val="both"/>
      </w:pPr>
      <w:r>
        <w:t>Mai mult, în acelaşi raţionament logic, legiuitorul statuează că pentru dispunerea de măsuri asigurătorii este cerută numai existenţa pericolului, fără a fi condiţionată de producerea unor consecinţe, cum ar fi periclitarea sau îngreunarea în mod considerabil a colectării. Apreciem că utilizarea de către legiuitor a termenului „periclitare" este definitorie, în esenţă fiind vorba doar de existenţa unui pericol şi nu de materializarea acestuia prin producerea de consecinţe, respectiv dispariţia bunurilor sesizabile, situaţie în care instituirea de măsuri asigurătorii devenind inutilă, nemaiavând obiect.</w:t>
      </w:r>
    </w:p>
    <w:p w:rsidR="003900FB" w14:paraId="69608909" w14:textId="77777777">
      <w:pPr>
        <w:ind w:firstLine="708"/>
        <w:jc w:val="both"/>
      </w:pPr>
      <w:r>
        <w:t>În acest context nu trebuie omis faptul că măsurile luate sunt doar asigurătorii, legea prevăzând posibilitatea adoptării lor de către organul de executare chiar şi în condiţiile în care nu este pe deplin dovedită certitudinea şi exigibilitatea creanţelor fiscale.</w:t>
      </w:r>
    </w:p>
    <w:p w:rsidR="003900FB" w14:paraId="37760C31" w14:textId="77777777">
      <w:pPr>
        <w:ind w:firstLine="708"/>
        <w:jc w:val="both"/>
      </w:pPr>
      <w:r>
        <w:t>Astfel, decizia de instituire a măsurilor asigurătorii, contestată în prezentul dosar, este pe, deplin motivată, mare parte din explicaţiile redate presupun descrierea faptelor pentru care societatea a fost sancţionată, (în sensul că agentul economic în mod vădit nu şi-a înregistrat toate veniturile obţinute prin neemiterea de bonuri fiscale). Ori, ceea ce poate justifica, luarea unor măsuri de garantare, a desfăşurării în condiţii optime a executării silite, este chiar natura faptelor pentru care societatea a fost sancţionată, care au creat suspiciunea că acest comportament s-ar putea extinde şi în faza de recuperare a creanţei, manifestându-se printr-un comportament menit să împiedice executarea, acesta fiind doar o prelungire a comportamentului menit să împiedice constatarea nivelului datoriei.</w:t>
      </w:r>
    </w:p>
    <w:p w:rsidR="003900FB" w14:paraId="46BE792F" w14:textId="77777777">
      <w:pPr>
        <w:ind w:firstLine="708"/>
        <w:jc w:val="both"/>
      </w:pPr>
      <w:r>
        <w:t>Recurenta mai precizează că luarea unei măsuri asigurătorii nu poate fi condiţionată de furnizarea unor probe concrete, apte a fi analizate de instanţă, ci presupune indicarea în concret a indiciilor care au fundamentat o atare decizie, a documentelor, a operaţiunilor, a sumelor datorate analizate, în nici un caz instituirea unei astfel de măsuri nu echivalează cu o acuzaţie în materie penală şi stabilirea răspunderii penale sau materiale pentru pretinse fapte de evaziune fiscală.</w:t>
      </w:r>
    </w:p>
    <w:p w:rsidR="003900FB" w14:paraId="143BE18F" w14:textId="6B1BFE8D">
      <w:pPr>
        <w:ind w:firstLine="708"/>
        <w:jc w:val="both"/>
      </w:pPr>
      <w:r>
        <w:t xml:space="preserve">În ceea ce priveşte aprecierea instanţei potrivit căreia decizia de măsuri asigurătorii "a fost emisă cu nerespectarea dispoziţiilor legale... în sensul că lipseşte referatul justificativ al dispunerii măsurilor asigurătorii reglementat de Ordinul 2546/2016 care...se întocmeşte şi stă la baza emiterii deciziei de instituire a măsurilor asigurătorii" considerăm că instanţa se află în eroare vădită, întrucât, aşa cum am precizat mai sus, inspectorii antifraudă au emis referatul justificativ al măsurilor asigurătorii nr </w:t>
      </w:r>
      <w:r w:rsidR="00071833">
        <w:t>A_F..A..</w:t>
      </w:r>
      <w:r>
        <w:t xml:space="preserve"> </w:t>
      </w:r>
      <w:r w:rsidR="00071833">
        <w:t>........</w:t>
      </w:r>
      <w:r>
        <w:t xml:space="preserve">/21.10.2016 ca document premergător deciziei de instituire a măsurilor asigurătorii nr. </w:t>
      </w:r>
      <w:r w:rsidR="00071833">
        <w:t>A_F..A..</w:t>
      </w:r>
      <w:r>
        <w:t xml:space="preserve"> </w:t>
      </w:r>
      <w:r w:rsidR="00071833">
        <w:t>........</w:t>
      </w:r>
      <w:r>
        <w:t>/21.10.2016, fiind întocmit într-un singur exemplar de organul de control, avizat de şeful de serviciu şi aprobat de conducătorul organului de control, respectiv Inspectorul adjunct antifraudă, aşa cum prevede punctul 35 din anexa 1 la OPANAF 2546/2016.</w:t>
      </w:r>
    </w:p>
    <w:p w:rsidR="003900FB" w14:paraId="5848EA7D" w14:textId="77777777">
      <w:pPr>
        <w:ind w:firstLine="708"/>
        <w:jc w:val="both"/>
      </w:pPr>
      <w:r>
        <w:t>Referatul justificativ, fiind întocmit într-un singur exemplar nu se comunică contribuabilului, fiind arhivat la unitatea care a emis documentul.</w:t>
      </w:r>
    </w:p>
    <w:p w:rsidR="003900FB" w14:paraId="00589874" w14:textId="4C375A5D">
      <w:pPr>
        <w:ind w:firstLine="708"/>
        <w:jc w:val="both"/>
      </w:pPr>
      <w:r>
        <w:t xml:space="preserve">Având în vedere aspectele prezentate, considerăm că decizia de instituire a măsurilor asigurătorii nr. </w:t>
      </w:r>
      <w:r w:rsidR="00071833">
        <w:t>A_F..A..</w:t>
      </w:r>
      <w:r>
        <w:t xml:space="preserve"> </w:t>
      </w:r>
      <w:r w:rsidR="00071833">
        <w:t>........</w:t>
      </w:r>
      <w:r>
        <w:t>/21.10.2016 a fost emisă cu repectarea prevederilor art.213 din Legea 207/2015 privind codul de procedură fiscală precum şi a prevederilor cuprinse în OPANAF 2546/2016, în cupi insul deciziei de instituire şi a referatului justificativ fiind prezentate motivele de fapt şi de drept care au condus la concluzia că există pericolul ca debitorul să se sustragă, să îşi ascundă sau să-şi risipească patrimoniul, periclitând sau îngreunând în mod considerabil colectarea.</w:t>
      </w:r>
    </w:p>
    <w:p w:rsidR="003900FB" w14:paraId="61DD41DA" w14:textId="77777777">
      <w:pPr>
        <w:ind w:firstLine="708"/>
        <w:jc w:val="both"/>
      </w:pPr>
      <w:r>
        <w:t>În concluzie, se apreciază că sentinţa pronunţată este netemeinică şi nelegală întrucât instanţa a reţinut în mod eronat starea de fapt şi nu a arătat motivele pentru care au fost înlăturate apărările formulate de pârâte, şi, în consecinţă, solicită instanţei de recurs admiterea recursului, casarea în tot a sentinţei recurate şi pe fondul cauzei respingerea contestaţiei ca neîntemeiată.</w:t>
      </w:r>
    </w:p>
    <w:p w:rsidR="003900FB" w14:paraId="00342C61" w14:textId="77777777">
      <w:pPr>
        <w:ind w:firstLine="708"/>
        <w:jc w:val="both"/>
      </w:pPr>
      <w:r>
        <w:t>În mod eronat instanţa de fond a reţinut că nu ar exista, în cuprinsul deciziei atacate, elemente concrete sau indicii de natura a concluziona constatarea pericolului ca debitorul să se sustragă de la urmărire sau sa-si ascundă ori să-şi risipească patrimoniul, întrucât, astfel cum lesne se poate observa, decizia contestată cuprinde o motivare amplă a conduitei intimatei-contestatoare care a condus la concluzia că ar putea să se sustragă de la o eventuală obligaţie fiscală, conduită care se reflectă în relaţiile contractuale ale acesteia.</w:t>
      </w:r>
    </w:p>
    <w:p w:rsidR="003900FB" w14:paraId="6C97417A" w14:textId="6A7B65BB">
      <w:pPr>
        <w:ind w:firstLine="708"/>
        <w:jc w:val="both"/>
      </w:pPr>
      <w:r>
        <w:t xml:space="preserve">Astfel, desfăşurarea unor relaţii comerciale cu diverşi agenţi economici cu caracter fictiv şi înregistrarea acestora în contabilitate de către SC </w:t>
      </w:r>
      <w:r w:rsidR="008A30F0">
        <w:t>...Y...</w:t>
      </w:r>
      <w:r>
        <w:t xml:space="preserve"> SRL în calitate de beneficiar a fost un argument suficient pentru a naşte suspiciuni cu privire cu privire la conduita pe viitor a intimatei contestatoare, iar în această etapă, de dispunere a unor măsuri asigurătorii, aceste suspiciuni nu sunt doar necesare, dar şi suficiente pentru a motiva emiterea deciziei contestate.</w:t>
      </w:r>
    </w:p>
    <w:p w:rsidR="003900FB" w14:paraId="01B7E707" w14:textId="77777777">
      <w:pPr>
        <w:ind w:firstLine="708"/>
        <w:jc w:val="both"/>
      </w:pPr>
      <w:r>
        <w:t>Drept urmare, vă rugăm să constataţi că decizia de instituire a măsurilor asigurătorii este motivată atât în fapt cât şi în drept, atât cu privire la cauzele care au determinat luarea măsurii, cât şi cu privire la bănuiala că intimata ar putea avea în viitor o conduită de sustragere de la plata obligaţiilor fiscale.</w:t>
      </w:r>
    </w:p>
    <w:p w:rsidR="003900FB" w14:paraId="0726A33B" w14:textId="77777777">
      <w:pPr>
        <w:ind w:firstLine="708"/>
        <w:jc w:val="both"/>
      </w:pPr>
      <w:r>
        <w:t>Măsurile luate de organul fiscal sunt întemeiate pe prezumţii legale, astfel că, până la stabilirea unei situaţii certe cu privire la activităţi financiare ilicite desfăşurate de contestatoare sau terţe persoane cu care s-a angajat în operaţiuni economice, intimatele au dispus măsurile prevăzute de art.213 Cod procedură fiscală, aceste măsuri fiind temeinice si legale.</w:t>
      </w:r>
    </w:p>
    <w:p w:rsidR="003900FB" w14:paraId="7050BDF0" w14:textId="77777777">
      <w:pPr>
        <w:ind w:firstLine="708"/>
        <w:jc w:val="both"/>
      </w:pPr>
      <w:r>
        <w:t>S-a solicitat admiterea recursului, casarea hotărârii şi în rejudecare modificarea în tot a sentinţei recurate, în sensul respingerii contestaţiei ca neîntemeiată, cu consecinţa menţinerii ca legale şi temeinice a deciziei de instituire a măsurilor asigurătorii atacate, precum şi a cheltuielilor de judecată acordate contestatoarei-intimate de instanţa de fond.</w:t>
      </w:r>
    </w:p>
    <w:p w:rsidR="003900FB" w14:paraId="6493972A" w14:textId="77777777">
      <w:pPr>
        <w:ind w:firstLine="708"/>
        <w:jc w:val="both"/>
      </w:pPr>
      <w:r>
        <w:t>În drept, recurenta ANAF a invocat prevederile art. 488 şi următoarele din Noul Cod Procedură Civilă.</w:t>
      </w:r>
    </w:p>
    <w:p w:rsidR="003900FB" w14:paraId="0D1B020C" w14:textId="77777777">
      <w:pPr>
        <w:ind w:firstLine="708"/>
        <w:jc w:val="both"/>
        <w:rPr>
          <w:rStyle w:val="Fontdeparagrafimplicit"/>
          <w:b/>
        </w:rPr>
      </w:pPr>
      <w:r>
        <w:rPr>
          <w:rStyle w:val="Fontdeparagrafimplicit"/>
          <w:b/>
        </w:rPr>
        <w:t>Examinând recursul prin prisma motivelor formulate şi dispoziţiilor legale incidente în cauză, curtea constată că:</w:t>
      </w:r>
    </w:p>
    <w:p w:rsidR="003900FB" w14:paraId="602A4D64" w14:textId="77777777">
      <w:pPr>
        <w:ind w:firstLine="708"/>
        <w:jc w:val="both"/>
      </w:pPr>
      <w:r>
        <w:t>În primul rând, se constată că în mod eronat instanţa de fond a apreciat că actele contestate au fost întocmite în urma unei inspecţii fiscale la societatea reclamantă, în condiţiile în care inspectorii fiscali au realizat un control operativ şi inopinat</w:t>
      </w:r>
      <w:r>
        <w:rPr>
          <w:rStyle w:val="Fontdeparagrafimplicit"/>
          <w:b/>
        </w:rPr>
        <w:t xml:space="preserve"> </w:t>
      </w:r>
      <w:r>
        <w:t>care le intra în competenţă şi în urma căruia puteau dispune măsuri asigurătorii prin raportare la dispoziţiile Ordinului  Preşedintelui A.N.A.F. nr. 2546/2016 pentru aprobarea Procedurii de aplicare a măsurilor asigurătorii de către organele fiscale competente şi pentru aprobarea modelelor, modului de utilizare şi de păstrare a unor formulare, Anexa 1, Capitolul III, subcapitolul 1, litera A, pct.16..</w:t>
      </w:r>
    </w:p>
    <w:p w:rsidR="003900FB" w14:paraId="51E7D6A9" w14:textId="77777777">
      <w:pPr>
        <w:ind w:firstLine="708"/>
        <w:jc w:val="both"/>
      </w:pPr>
      <w:r>
        <w:t xml:space="preserve">În al doilea rând, curtea constată că unul din argumentele reţinute de tribunal pentru admiterea acţiunii şi anularea celor două acte administrativ-fiscale l-a reprezentat lipsa referatului justificativ al dispunerii măsurilor asigurătorii în sensul anexei nr.2 din Ordinului  Preşedintelui A.N.A.F. nr. 2546/2016 pentru aprobarea Procedurii de aplicare a măsurilor asigurătorii de către organele fiscale competente şi pentru aprobarea modelelor, modului de utilizare şi de păstrare a unor formulare, apreciindu-se că lipsa acestuia, ca şi condiţie prealabilă emiterii deciziei de instituire a măsurilor asigurătorii, determină anularea acesteia cât şi a procesului verbal de sechestru asigurător. </w:t>
      </w:r>
    </w:p>
    <w:p w:rsidR="003900FB" w14:paraId="4622E95C" w14:textId="08039472">
      <w:pPr>
        <w:ind w:firstLine="708"/>
        <w:jc w:val="both"/>
      </w:pPr>
      <w:r>
        <w:t xml:space="preserve">În recurs, urmare a demersurilor efectuate de curte, recurenta a înaintat referatul justificativ al dispunerii măsurilor asigurătorii emis la data de 21.10.2016 cu nr. </w:t>
      </w:r>
      <w:r w:rsidR="00843E49">
        <w:t>AF..A..</w:t>
      </w:r>
      <w:r>
        <w:t>/</w:t>
      </w:r>
      <w:r w:rsidR="00071833">
        <w:t>......</w:t>
      </w:r>
      <w:r>
        <w:t>/21.10.2016 unde, la filele 2-4 din conţinutul acestuia, se motivează detaliat necesitatea dispunerii măsurilor asigurătorii în cazul reclamantei, astfel încât acest motiv de anulare a celor două acte administrativ – fiscale nu mai poate fi reţinut de instanţa de control judiciar.</w:t>
      </w:r>
    </w:p>
    <w:p w:rsidR="003900FB" w14:paraId="445F51B4" w14:textId="77777777">
      <w:pPr>
        <w:ind w:firstLine="708"/>
        <w:jc w:val="both"/>
      </w:pPr>
      <w:r>
        <w:t>În al treilea rând, curtea constată că este incident în cauză motivul de casare prevăzut de art.488 alin.1 pct.8 din c.p.c., soluţia instanţei de fond fiind pronunţată cu încălcarea normelor de drept material reprezentate de dispoziţiile art.213 din Legea nr.207/2015 privind Codul de procedură fiscală care prevăd că măsurile asigurătorii sub forma popririi asigurătorii şi sechestrului asigurător asupra bunurilor mobile şi imobile proprietatea debitorului precum şi asupra veniturilor acestora, se dispun în cazuri excepţionale respectiv atunci când există pericolul ca acesta să se sustragă, să îşi ascundă ori să îşi risipească patrimoniul, periclitând sau îngreunând în mod considerabil colectarea.</w:t>
      </w:r>
    </w:p>
    <w:p w:rsidR="003900FB" w14:paraId="17CE33B8" w14:textId="77777777">
      <w:pPr>
        <w:ind w:firstLine="708"/>
        <w:jc w:val="both"/>
      </w:pPr>
      <w:r>
        <w:t>Sub acest aspect, analizând actele şi lucrările dosarului se constată că măsurile asigurătorii instituite prin cele două acte administrativ – fiscale atacate se circumscriu condiţiilor de admisibilitate prevăzute de art.213 din Legea nr.207/2015 pornind atât de la specificul acestor măsuri de garantare a unei eventuale executări silite, cât şi de natura faptelor pentru care societatea a fost sancţionată şi i se impută.</w:t>
      </w:r>
    </w:p>
    <w:p w:rsidR="003900FB" w14:paraId="5CA2DEB4" w14:textId="77777777">
      <w:pPr>
        <w:ind w:firstLine="708"/>
        <w:jc w:val="both"/>
      </w:pPr>
      <w:r>
        <w:t xml:space="preserve">Referitor la faptele imputabile societăţii reclamante, curtea observă că aceasta nu a făcut dovada contrară celor reţinute în actele contestate ( inclusiv a celor menţionate în </w:t>
      </w:r>
      <w:r>
        <w:t>referatul justificativ) iar deţinerea într-o perioadă de câteva luni ( iunie - octombrie 2016) a unei sume semnificative de 77.125 lei fără a o putea justifica prin documente fiscal – contabile dublată de existenţa unei datorii anterioare mari  ( 85.730 lei) la care se adaugă pierderile pe anii anteriori de 56.275 lei, conduc la concluzia îndeplinirii în cauză a condiţiilor cumulative prevăzute de art.213 din codul de procedură fiscală referitoare la necesitatea emiterii deciziei de instituire a măsurilor asigurătorii şi a procesului – verbal de sechestru asigurător.</w:t>
      </w:r>
    </w:p>
    <w:p w:rsidR="003900FB" w14:paraId="6F467674" w14:textId="77777777">
      <w:pPr>
        <w:ind w:firstLine="708"/>
        <w:jc w:val="both"/>
      </w:pPr>
      <w:r>
        <w:t>Având în vedere consideraţiile expuse anterior , curtea urmează ca în baza art.498 din c.p.c. să admite recursul cu consecinţa casării sentinţei recurate şi, rejudecând, să respingă acţiunea.</w:t>
      </w:r>
    </w:p>
    <w:p w:rsidR="003900FB" w14:paraId="7D3B42E3" w14:textId="77777777"/>
    <w:p w:rsidR="003900FB" w14:paraId="6581FD51" w14:textId="77777777">
      <w:pPr>
        <w:jc w:val="center"/>
        <w:rPr>
          <w:rStyle w:val="Fontdeparagrafimplicit"/>
          <w:b/>
        </w:rPr>
      </w:pPr>
      <w:r>
        <w:rPr>
          <w:rStyle w:val="Fontdeparagrafimplicit"/>
          <w:b/>
        </w:rPr>
        <w:t>PENTRU ACESTE MOTIVE,</w:t>
      </w:r>
      <w:r>
        <w:rPr>
          <w:rStyle w:val="Fontdeparagrafimplicit"/>
          <w:b/>
        </w:rPr>
        <w:br/>
        <w:t>ÎN NUMELE LEGII</w:t>
      </w:r>
    </w:p>
    <w:p w:rsidR="003900FB" w14:paraId="46DFFA32" w14:textId="77777777">
      <w:pPr>
        <w:jc w:val="center"/>
        <w:rPr>
          <w:rStyle w:val="Fontdeparagrafimplicit"/>
        </w:rPr>
      </w:pPr>
      <w:r>
        <w:rPr>
          <w:rStyle w:val="Fontdeparagrafimplicit"/>
          <w:b/>
        </w:rPr>
        <w:t>DECIDE</w:t>
      </w:r>
    </w:p>
    <w:p w:rsidR="003900FB" w14:paraId="198E2DFA" w14:textId="77777777">
      <w:pPr>
        <w:rPr>
          <w:rStyle w:val="Fontdeparagrafimplicit"/>
        </w:rPr>
      </w:pPr>
    </w:p>
    <w:p w:rsidR="003900FB" w14:paraId="7E86932D" w14:textId="0E83C61F">
      <w:pPr>
        <w:ind w:firstLine="708"/>
        <w:jc w:val="both"/>
      </w:pPr>
      <w:r>
        <w:t xml:space="preserve">Admite recursul formulat de pârâta </w:t>
      </w:r>
      <w:r>
        <w:rPr>
          <w:rStyle w:val="Fontdeparagrafimplicit"/>
          <w:b/>
        </w:rPr>
        <w:t>AGENŢIA NAŢIONALĂ DE ADMINISTRARE FISCALĂ</w:t>
      </w:r>
      <w:r>
        <w:t xml:space="preserve">, cu sediul în </w:t>
      </w:r>
      <w:r w:rsidR="008A30F0">
        <w:t>......................</w:t>
      </w:r>
      <w:r>
        <w:t xml:space="preserve">, împotriva sentinţei nr. </w:t>
      </w:r>
      <w:r w:rsidR="008A30F0">
        <w:t>..... din ..............</w:t>
      </w:r>
      <w:r>
        <w:t xml:space="preserve"> pronunţată de Tribunalul </w:t>
      </w:r>
      <w:r w:rsidR="008A30F0">
        <w:t>...A...</w:t>
      </w:r>
      <w:r>
        <w:t xml:space="preserve"> în dosarul nr.</w:t>
      </w:r>
      <w:r w:rsidR="008A30F0">
        <w:t>...../.../2016</w:t>
      </w:r>
      <w:r>
        <w:t xml:space="preserve">, în contradictoriu cu intimatul reclamant </w:t>
      </w:r>
      <w:r w:rsidR="008A30F0">
        <w:rPr>
          <w:rStyle w:val="Fontdeparagrafimplicit"/>
          <w:b/>
        </w:rPr>
        <w:t>...Y...</w:t>
      </w:r>
      <w:r>
        <w:rPr>
          <w:rStyle w:val="Fontdeparagrafimplicit"/>
          <w:b/>
        </w:rPr>
        <w:t xml:space="preserve"> SRL, </w:t>
      </w:r>
      <w:r>
        <w:t xml:space="preserve">cu sediul în </w:t>
      </w:r>
      <w:r w:rsidR="008A30F0">
        <w:t>...............................</w:t>
      </w:r>
      <w:r>
        <w:t xml:space="preserve">, înregistrată la Oficiul Registrului Comerţului de pe lângă Tribunalul </w:t>
      </w:r>
      <w:r w:rsidR="008A30F0">
        <w:t>...A...</w:t>
      </w:r>
      <w:r>
        <w:t xml:space="preserve"> sub nr. </w:t>
      </w:r>
      <w:r w:rsidR="008A30F0">
        <w:t>...........</w:t>
      </w:r>
      <w:r>
        <w:t xml:space="preserve">, având CUI </w:t>
      </w:r>
      <w:r w:rsidR="008A30F0">
        <w:t>..........</w:t>
      </w:r>
      <w:r>
        <w:t xml:space="preserve">, prin av. </w:t>
      </w:r>
      <w:r w:rsidR="008A30F0">
        <w:t>...................</w:t>
      </w:r>
      <w:r>
        <w:t xml:space="preserve">, cu sediul profesional în </w:t>
      </w:r>
      <w:r w:rsidR="008A30F0">
        <w:t>...................................</w:t>
      </w:r>
    </w:p>
    <w:p w:rsidR="003900FB" w14:paraId="0BC930DE" w14:textId="77777777">
      <w:pPr>
        <w:ind w:firstLine="708"/>
        <w:jc w:val="both"/>
      </w:pPr>
      <w:r>
        <w:t>Casează sentinţa şi, rejudecând, respinge acţiunea.</w:t>
      </w:r>
    </w:p>
    <w:p w:rsidR="003900FB" w14:paraId="40647084" w14:textId="77777777">
      <w:pPr>
        <w:ind w:firstLine="708"/>
        <w:jc w:val="both"/>
      </w:pPr>
      <w:r>
        <w:t>Definitivă.</w:t>
      </w:r>
    </w:p>
    <w:p w:rsidR="003900FB" w14:paraId="683D56CF" w14:textId="35A88314">
      <w:pPr>
        <w:ind w:firstLine="708"/>
        <w:jc w:val="both"/>
      </w:pPr>
      <w:r>
        <w:t xml:space="preserve">Pronunţată în şedinţa </w:t>
      </w:r>
      <w:bookmarkStart w:name="tip_sedinta_copie_2" w:id="6"/>
      <w:r>
        <w:t>publică</w:t>
      </w:r>
      <w:bookmarkEnd w:id="6"/>
      <w:r>
        <w:t xml:space="preserve"> de la </w:t>
      </w:r>
      <w:r w:rsidR="008A30F0">
        <w:t>..................</w:t>
      </w:r>
      <w:r>
        <w:t>.</w:t>
      </w:r>
    </w:p>
    <w:p w:rsidR="003900FB" w14:paraId="143841C2" w14:textId="77777777">
      <w:pPr>
        <w:jc w:val="center"/>
      </w:pPr>
      <w:bookmarkStart w:name="completul_1" w:id="7"/>
    </w:p>
    <w:tbl>
      <w:tblPr>
        <w:tblStyle w:val="Tabel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tblPr>
      <w:tblGrid>
        <w:gridCol w:w="3096"/>
        <w:gridCol w:w="3095"/>
        <w:gridCol w:w="3095"/>
      </w:tblGrid>
      <w:tr w14:paraId="1E81A18D" w14:textId="77777777">
        <w:tblPrEx>
          <w:tblW w:w="0" w:type="auto"/>
          <w:tblLook w:val="04A0"/>
        </w:tblPrEx>
        <w:tc>
          <w:tcPr>
            <w:tcW w:w="3096" w:type="dxa"/>
          </w:tcPr>
          <w:p w:rsidR="003900FB" w14:paraId="4D3F5AEF" w14:textId="77777777">
            <w:pPr>
              <w:jc w:val="center"/>
            </w:pPr>
            <w:r>
              <w:t>Preşedinte,</w:t>
            </w:r>
          </w:p>
          <w:p w:rsidR="003900FB" w14:paraId="12906A27" w14:textId="1CB9AFD1">
            <w:pPr>
              <w:jc w:val="center"/>
            </w:pPr>
            <w:r>
              <w:t>..................</w:t>
            </w:r>
          </w:p>
        </w:tc>
        <w:tc>
          <w:tcPr>
            <w:tcW w:w="3096" w:type="dxa"/>
          </w:tcPr>
          <w:p w:rsidR="003900FB" w14:paraId="49452027" w14:textId="77777777">
            <w:pPr>
              <w:jc w:val="center"/>
            </w:pPr>
            <w:r>
              <w:t>Judecător,</w:t>
            </w:r>
          </w:p>
          <w:p w:rsidR="003900FB" w14:paraId="7BEF44AB" w14:textId="38D0EAAF">
            <w:pPr>
              <w:jc w:val="center"/>
            </w:pPr>
            <w:r>
              <w:t>A0001</w:t>
            </w:r>
          </w:p>
        </w:tc>
        <w:tc>
          <w:tcPr>
            <w:tcW w:w="3096" w:type="dxa"/>
          </w:tcPr>
          <w:p w:rsidR="003900FB" w14:paraId="252A3F6C" w14:textId="77777777">
            <w:pPr>
              <w:jc w:val="center"/>
            </w:pPr>
            <w:r>
              <w:t>Judecător,</w:t>
            </w:r>
          </w:p>
          <w:p w:rsidR="003900FB" w14:paraId="60CFC9E8" w14:textId="29726E76">
            <w:pPr>
              <w:jc w:val="center"/>
            </w:pPr>
            <w:r>
              <w:t>..................</w:t>
            </w:r>
          </w:p>
        </w:tc>
      </w:tr>
      <w:tr w14:paraId="1CD93FAC" w14:textId="77777777">
        <w:tblPrEx>
          <w:tblW w:w="0" w:type="auto"/>
          <w:tblLook w:val="04A0"/>
        </w:tblPrEx>
        <w:tc>
          <w:tcPr>
            <w:tcW w:w="3096" w:type="dxa"/>
          </w:tcPr>
          <w:p w:rsidR="003900FB" w14:paraId="6E1F50A6" w14:textId="77777777">
            <w:pPr>
              <w:jc w:val="center"/>
            </w:pPr>
          </w:p>
        </w:tc>
        <w:tc>
          <w:tcPr>
            <w:tcW w:w="3096" w:type="dxa"/>
          </w:tcPr>
          <w:p w:rsidR="003900FB" w14:paraId="4265D383" w14:textId="77777777">
            <w:pPr>
              <w:jc w:val="center"/>
            </w:pPr>
            <w:r>
              <w:t>Grefier,</w:t>
            </w:r>
          </w:p>
          <w:p w:rsidR="003900FB" w14:paraId="57700EF2" w14:textId="7011E465">
            <w:pPr>
              <w:jc w:val="center"/>
            </w:pPr>
            <w:r>
              <w:t>..................</w:t>
            </w:r>
          </w:p>
        </w:tc>
        <w:tc>
          <w:tcPr>
            <w:tcW w:w="3096" w:type="dxa"/>
          </w:tcPr>
          <w:p w:rsidR="003900FB" w14:paraId="00FA4943" w14:textId="77777777">
            <w:pPr>
              <w:jc w:val="center"/>
            </w:pPr>
          </w:p>
        </w:tc>
      </w:tr>
    </w:tbl>
    <w:p w:rsidR="003900FB" w14:paraId="556C6308" w14:textId="77777777">
      <w:pPr>
        <w:jc w:val="center"/>
      </w:pPr>
      <w:bookmarkEnd w:id="7"/>
    </w:p>
    <w:p w:rsidR="003900FB" w14:paraId="3A1FFC11" w14:textId="77777777">
      <w:pPr>
        <w:jc w:val="center"/>
      </w:pPr>
    </w:p>
    <w:p w:rsidR="003900FB" w14:paraId="7815E559" w14:textId="5161D9B3">
      <w:pPr>
        <w:rPr>
          <w:rStyle w:val="Fontdeparagrafimplicit"/>
          <w:sz w:val="16"/>
        </w:rPr>
      </w:pPr>
      <w:r>
        <w:rPr>
          <w:rStyle w:val="Fontdeparagrafimplicit"/>
          <w:sz w:val="16"/>
        </w:rPr>
        <w:t xml:space="preserve">Red. jud. </w:t>
      </w:r>
      <w:r w:rsidR="008A30F0">
        <w:rPr>
          <w:rStyle w:val="Fontdeparagrafimplicit"/>
          <w:sz w:val="16"/>
        </w:rPr>
        <w:t>A0001</w:t>
      </w:r>
      <w:r>
        <w:rPr>
          <w:rStyle w:val="Fontdeparagrafimplicit"/>
          <w:sz w:val="16"/>
        </w:rPr>
        <w:t>/</w:t>
      </w:r>
      <w:r w:rsidR="008A30F0">
        <w:rPr>
          <w:rStyle w:val="Fontdeparagrafimplicit"/>
          <w:sz w:val="16"/>
        </w:rPr>
        <w:t>.....</w:t>
      </w:r>
    </w:p>
    <w:p w:rsidR="003900FB" w14:paraId="7B0C8AFA" w14:textId="1FB5B861">
      <w:pPr>
        <w:rPr>
          <w:rStyle w:val="Fontdeparagrafimplicit"/>
          <w:sz w:val="16"/>
        </w:rPr>
      </w:pPr>
      <w:r>
        <w:rPr>
          <w:rStyle w:val="Fontdeparagrafimplicit"/>
          <w:sz w:val="16"/>
        </w:rPr>
        <w:t xml:space="preserve">Tehnored. </w:t>
      </w:r>
      <w:r w:rsidR="008A30F0">
        <w:rPr>
          <w:rStyle w:val="Fontdeparagrafimplicit"/>
          <w:sz w:val="16"/>
        </w:rPr>
        <w:t>....</w:t>
      </w:r>
      <w:r>
        <w:rPr>
          <w:rStyle w:val="Fontdeparagrafimplicit"/>
          <w:sz w:val="16"/>
        </w:rPr>
        <w:t>./4 ex.</w:t>
      </w:r>
    </w:p>
    <w:p w:rsidR="003900FB" w14:paraId="2B3C9E92" w14:textId="53886E87">
      <w:pPr>
        <w:rPr>
          <w:rStyle w:val="Fontdeparagrafimplicit"/>
          <w:sz w:val="16"/>
        </w:rPr>
      </w:pPr>
      <w:r>
        <w:rPr>
          <w:rStyle w:val="Fontdeparagrafimplicit"/>
          <w:sz w:val="16"/>
        </w:rPr>
        <w:t xml:space="preserve">Jud. fond </w:t>
      </w:r>
      <w:r w:rsidR="008A30F0">
        <w:rPr>
          <w:rStyle w:val="Fontdeparagrafimplicit"/>
          <w:sz w:val="16"/>
        </w:rPr>
        <w:t>..............</w:t>
      </w:r>
    </w:p>
    <w:p w:rsidR="003900FB" w14:paraId="4F9C035B" w14:textId="77777777">
      <w:pPr>
        <w:rPr>
          <w:rStyle w:val="Fontdeparagrafimplicit"/>
        </w:rPr>
      </w:pPr>
    </w:p>
    <w:p w:rsidR="003900FB" w14:paraId="2F399C5E" w14:textId="77777777">
      <w:pPr>
        <w:rPr>
          <w:rStyle w:val="Fontdeparagrafimplicit"/>
        </w:rPr>
      </w:pPr>
    </w:p>
    <w:sectPr>
      <w:footerReference w:type="even" r:id="rId4"/>
      <w:footerReference w:type="default" r:id="rId5"/>
      <w:pgSz w:w="11906" w:h="16838"/>
      <w:pgMar w:top="851" w:right="1418"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900FB" w14:paraId="428303AC"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3900FB" w14:paraId="3730C1AA"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900FB" w14:paraId="7A4ED8F3"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3900FB" w14:paraId="3DE5E434"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0FB"/>
    <w:rsid w:val="00071833"/>
    <w:rsid w:val="00275933"/>
    <w:rsid w:val="003900FB"/>
    <w:rsid w:val="004E1781"/>
    <w:rsid w:val="006F5228"/>
    <w:rsid w:val="007C6C3A"/>
    <w:rsid w:val="00843E49"/>
    <w:rsid w:val="008A30F0"/>
    <w:rsid w:val="009E7240"/>
    <w:rsid w:val="00BE41B9"/>
    <w:rsid w:val="00C00606"/>
    <w:rsid w:val="00DE32FD"/>
  </w:rsids>
  <w:docVars>
    <w:docVar w:name="url" w:val="http://10.19.48.53:80/ecris_cdms/document_upload.aspx?id_document=5400000001156003&amp;id_departament=5&amp;id_sesiune=1406257&amp;id_user=234&amp;id_institutie=54&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5B0DAC15"/>
  <w15:docId w15:val="{C59C3CED-7F4C-452D-9E01-2F4EE2BE3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320"/>
        <w:tab w:val="right" w:pos="8640"/>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Numrdepagin">
    <w:name w:val="Număr de pagină"/>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26</ap:TotalTime>
  <ap:Pages>6</ap:Pages>
  <ap:Words>3304</ap:Words>
  <ap:Characters>19169</ap:Characters>
  <ap:Application>Microsoft Office Word</ap:Application>
  <ap:DocSecurity>0</ap:DocSecurity>
  <ap:Lines>159</ap:Lines>
  <ap:Paragraphs>44</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22429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