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AD134A" w:rsidR="00246E68" w14:paraId="7F6F36DD" w14:textId="77777777">
      <w:pPr>
        <w:pStyle w:val="Titlu3"/>
        <w:jc w:val="center"/>
        <w:rPr>
          <w:rStyle w:val="Fontdeparagrafimplicit"/>
          <w:rFonts w:ascii="Bookman Old Style" w:hAnsi="Bookman Old Style"/>
          <w:sz w:val="24"/>
          <w:lang w:val="pt-PT"/>
        </w:rPr>
      </w:pPr>
      <w:r w:rsidRPr="00AD134A">
        <w:rPr>
          <w:rStyle w:val="Fontdeparagrafimplicit"/>
          <w:rFonts w:ascii="Bookman Old Style" w:hAnsi="Bookman Old Style"/>
          <w:b w:val="0"/>
          <w:sz w:val="24"/>
          <w:lang w:val="pt-PT"/>
        </w:rPr>
        <w:t>R O M Â N I A</w:t>
      </w:r>
    </w:p>
    <w:p w:rsidRPr="00AD134A" w:rsidR="00246E68" w14:paraId="6898C780" w14:textId="0409E6CA">
      <w:pPr>
        <w:jc w:val="center"/>
        <w:rPr>
          <w:rStyle w:val="Fontdeparagrafimplicit"/>
          <w:rFonts w:ascii="Bookman Old Style" w:hAnsi="Bookman Old Style"/>
          <w:lang w:val="pt-PT"/>
        </w:rPr>
      </w:pPr>
      <w:r w:rsidRPr="00AD134A">
        <w:rPr>
          <w:rStyle w:val="Fontdeparagrafimplicit"/>
          <w:rFonts w:ascii="Bookman Old Style" w:hAnsi="Bookman Old Style"/>
          <w:lang w:val="pt-PT"/>
        </w:rPr>
        <w:t xml:space="preserve">CURTEA DE APEL </w:t>
      </w:r>
      <w:r w:rsidR="00AD134A">
        <w:rPr>
          <w:rStyle w:val="Fontdeparagrafimplicit"/>
          <w:rFonts w:ascii="Bookman Old Style" w:hAnsi="Bookman Old Style"/>
          <w:lang w:val="pt-PT"/>
        </w:rPr>
        <w:t>..........</w:t>
      </w:r>
    </w:p>
    <w:p w:rsidRPr="00AD134A" w:rsidR="00246E68" w14:paraId="482A6639" w14:textId="59A06AFF">
      <w:pPr>
        <w:jc w:val="center"/>
        <w:rPr>
          <w:rStyle w:val="Fontdeparagrafimplicit"/>
          <w:rFonts w:ascii="Bookman Old Style" w:hAnsi="Bookman Old Style"/>
          <w:lang w:val="pt-PT"/>
        </w:rPr>
      </w:pPr>
      <w:r w:rsidRPr="00AD134A">
        <w:rPr>
          <w:rStyle w:val="Fontdeparagrafimplicit"/>
          <w:rFonts w:ascii="Bookman Old Style" w:hAnsi="Bookman Old Style"/>
          <w:lang w:val="pt-PT"/>
        </w:rPr>
        <w:t xml:space="preserve">SECŢIA </w:t>
      </w:r>
      <w:r w:rsidR="00AD134A">
        <w:rPr>
          <w:rStyle w:val="Fontdeparagrafimplicit"/>
          <w:rFonts w:ascii="Bookman Old Style" w:hAnsi="Bookman Old Style"/>
          <w:lang w:val="pt-PT"/>
        </w:rPr>
        <w:t>..........</w:t>
      </w:r>
    </w:p>
    <w:p w:rsidRPr="00AD134A" w:rsidR="00246E68" w14:paraId="1DA061B1" w14:textId="77777777">
      <w:pPr>
        <w:jc w:val="center"/>
        <w:rPr>
          <w:rStyle w:val="Fontdeparagrafimplicit"/>
          <w:rFonts w:ascii="Bookman Old Style" w:hAnsi="Bookman Old Style"/>
          <w:lang w:val="pt-PT"/>
        </w:rPr>
      </w:pPr>
    </w:p>
    <w:p w:rsidRPr="00AD134A" w:rsidR="00246E68" w14:paraId="2CD073A2" w14:textId="49141648">
      <w:pPr>
        <w:rPr>
          <w:rStyle w:val="Fontdeparagrafimplicit"/>
          <w:rFonts w:ascii="Bookman Old Style" w:hAnsi="Bookman Old Style"/>
          <w:lang w:val="pt-PT"/>
        </w:rPr>
      </w:pPr>
      <w:r w:rsidRPr="00AD134A">
        <w:rPr>
          <w:rStyle w:val="Fontdeparagrafimplicit"/>
          <w:rFonts w:ascii="Bookman Old Style" w:hAnsi="Bookman Old Style"/>
          <w:lang w:val="pt-PT"/>
        </w:rPr>
        <w:t xml:space="preserve">Dosar nr. </w:t>
      </w:r>
      <w:r w:rsidR="00AD134A">
        <w:rPr>
          <w:rStyle w:val="Fontdeparagrafimplicit"/>
          <w:rFonts w:ascii="Bookman Old Style" w:hAnsi="Bookman Old Style"/>
          <w:lang w:val="pt-PT"/>
        </w:rPr>
        <w:t>7</w:t>
      </w:r>
    </w:p>
    <w:p w:rsidRPr="00AD134A" w:rsidR="00246E68" w14:paraId="53F0C765" w14:textId="622DE629">
      <w:pPr>
        <w:pStyle w:val="Titlu2"/>
        <w:jc w:val="center"/>
        <w:rPr>
          <w:rStyle w:val="Fontdeparagrafimplicit"/>
          <w:rFonts w:ascii="Bookman Old Style" w:hAnsi="Bookman Old Style"/>
          <w:sz w:val="24"/>
          <w:lang w:val="pt-PT"/>
        </w:rPr>
      </w:pPr>
      <w:r w:rsidRPr="00AD134A">
        <w:rPr>
          <w:rStyle w:val="Fontdeparagrafimplicit"/>
          <w:rFonts w:ascii="Bookman Old Style" w:hAnsi="Bookman Old Style"/>
          <w:i w:val="0"/>
          <w:sz w:val="24"/>
          <w:lang w:val="pt-PT"/>
        </w:rPr>
        <w:t xml:space="preserve">DECIZIA CIVILĂ nr. </w:t>
      </w:r>
      <w:r w:rsidR="00AD134A">
        <w:rPr>
          <w:rStyle w:val="Fontdeparagrafimplicit"/>
          <w:rFonts w:ascii="Bookman Old Style" w:hAnsi="Bookman Old Style"/>
          <w:i w:val="0"/>
          <w:sz w:val="24"/>
          <w:lang w:val="pt-PT"/>
        </w:rPr>
        <w:t>7</w:t>
      </w:r>
    </w:p>
    <w:p w:rsidRPr="00AD134A" w:rsidR="00246E68" w14:paraId="571E5AB6" w14:textId="375F8095">
      <w:pPr>
        <w:jc w:val="center"/>
        <w:rPr>
          <w:rStyle w:val="Fontdeparagrafimplicit"/>
          <w:rFonts w:ascii="Bookman Old Style" w:hAnsi="Bookman Old Style"/>
          <w:lang w:val="pt-PT"/>
        </w:rPr>
      </w:pPr>
      <w:r w:rsidRPr="00AD134A">
        <w:rPr>
          <w:rStyle w:val="Fontdeparagrafimplicit"/>
          <w:rFonts w:ascii="Bookman Old Style" w:hAnsi="Bookman Old Style"/>
          <w:lang w:val="pt-PT"/>
        </w:rPr>
        <w:t xml:space="preserve">Şedinţa publică din data de </w:t>
      </w:r>
      <w:r w:rsidR="00AD134A">
        <w:rPr>
          <w:rStyle w:val="Fontdeparagrafimplicit"/>
          <w:rFonts w:ascii="Bookman Old Style" w:hAnsi="Bookman Old Style"/>
          <w:lang w:val="pt-PT"/>
        </w:rPr>
        <w:t xml:space="preserve">................. </w:t>
      </w:r>
    </w:p>
    <w:p w:rsidRPr="00AD134A" w:rsidR="00246E68" w14:paraId="428ADCF9" w14:textId="77777777">
      <w:pPr>
        <w:jc w:val="center"/>
        <w:rPr>
          <w:rStyle w:val="Fontdeparagrafimplicit"/>
          <w:rFonts w:ascii="Bookman Old Style" w:hAnsi="Bookman Old Style"/>
          <w:lang w:val="pt-PT"/>
        </w:rPr>
      </w:pPr>
      <w:r w:rsidRPr="00AD134A">
        <w:rPr>
          <w:rStyle w:val="Fontdeparagrafimplicit"/>
          <w:rFonts w:ascii="Bookman Old Style" w:hAnsi="Bookman Old Style"/>
          <w:lang w:val="pt-PT"/>
        </w:rPr>
        <w:t>Instanţa constituită din:</w:t>
      </w:r>
    </w:p>
    <w:p w:rsidRPr="00AD134A" w:rsidR="00246E68" w14:paraId="644C02AA" w14:textId="4B4D06AE">
      <w:pPr>
        <w:jc w:val="center"/>
        <w:rPr>
          <w:rStyle w:val="Fontdeparagrafimplicit"/>
          <w:rFonts w:ascii="Bookman Old Style" w:hAnsi="Bookman Old Style"/>
          <w:lang w:val="pt-PT"/>
        </w:rPr>
      </w:pPr>
      <w:r w:rsidRPr="00AD134A">
        <w:rPr>
          <w:rStyle w:val="Fontdeparagrafimplicit"/>
          <w:rFonts w:ascii="Bookman Old Style" w:hAnsi="Bookman Old Style"/>
          <w:lang w:val="pt-PT"/>
        </w:rPr>
        <w:t xml:space="preserve">     PREŞEDINTE: </w:t>
      </w:r>
      <w:r w:rsidR="00AD134A">
        <w:rPr>
          <w:rStyle w:val="Fontdeparagrafimplicit"/>
          <w:rFonts w:ascii="Bookman Old Style" w:hAnsi="Bookman Old Style"/>
          <w:lang w:val="pt-PT"/>
        </w:rPr>
        <w:t xml:space="preserve">................. </w:t>
      </w:r>
    </w:p>
    <w:p w:rsidRPr="00AD134A" w:rsidR="00246E68" w14:paraId="530F152A" w14:textId="55FCD0E6">
      <w:pPr>
        <w:rPr>
          <w:rStyle w:val="Fontdeparagrafimplicit"/>
          <w:rFonts w:ascii="Bookman Old Style" w:hAnsi="Bookman Old Style"/>
          <w:lang w:val="pt-PT"/>
        </w:rPr>
      </w:pPr>
      <w:r w:rsidRPr="00AD134A">
        <w:rPr>
          <w:rStyle w:val="Fontdeparagrafimplicit"/>
          <w:rFonts w:ascii="Bookman Old Style" w:hAnsi="Bookman Old Style"/>
          <w:lang w:val="pt-PT"/>
        </w:rPr>
        <w:t xml:space="preserve">                              JUDECĂTOR:  </w:t>
      </w:r>
      <w:r w:rsidR="00AD134A">
        <w:rPr>
          <w:rStyle w:val="Fontdeparagrafimplicit"/>
          <w:rFonts w:ascii="Bookman Old Style" w:hAnsi="Bookman Old Style"/>
          <w:lang w:val="pt-PT"/>
        </w:rPr>
        <w:t xml:space="preserve">................. </w:t>
      </w:r>
    </w:p>
    <w:p w:rsidRPr="00AD134A" w:rsidR="00246E68" w14:paraId="04ABCB32" w14:textId="0C92052D">
      <w:pPr>
        <w:jc w:val="center"/>
        <w:rPr>
          <w:rStyle w:val="Fontdeparagrafimplicit"/>
          <w:rFonts w:ascii="Bookman Old Style" w:hAnsi="Bookman Old Style"/>
          <w:lang w:val="pt-PT"/>
        </w:rPr>
      </w:pPr>
      <w:r w:rsidRPr="00AD134A">
        <w:rPr>
          <w:rStyle w:val="Fontdeparagrafimplicit"/>
          <w:rFonts w:ascii="Bookman Old Style" w:hAnsi="Bookman Old Style"/>
          <w:lang w:val="pt-PT"/>
        </w:rPr>
        <w:t xml:space="preserve">JUDECĂTOR: </w:t>
      </w:r>
      <w:r w:rsidR="00AD134A">
        <w:rPr>
          <w:rStyle w:val="Fontdeparagrafimplicit"/>
          <w:rFonts w:ascii="Bookman Old Style" w:hAnsi="Bookman Old Style"/>
          <w:lang w:val="pt-PT"/>
        </w:rPr>
        <w:t>A0019</w:t>
      </w:r>
    </w:p>
    <w:p w:rsidRPr="00AD134A" w:rsidR="00246E68" w14:paraId="4D9EF5F6" w14:textId="470DE82C">
      <w:pPr>
        <w:rPr>
          <w:rStyle w:val="Fontdeparagrafimplicit"/>
          <w:rFonts w:ascii="Bookman Old Style" w:hAnsi="Bookman Old Style"/>
          <w:lang w:val="pt-PT"/>
        </w:rPr>
      </w:pPr>
      <w:r w:rsidRPr="00AD134A">
        <w:rPr>
          <w:rStyle w:val="Fontdeparagrafimplicit"/>
          <w:rFonts w:ascii="Bookman Old Style" w:hAnsi="Bookman Old Style"/>
          <w:lang w:val="pt-PT"/>
        </w:rPr>
        <w:t xml:space="preserve">                              GREFIER     : </w:t>
      </w:r>
      <w:r w:rsidR="00AD134A">
        <w:rPr>
          <w:rStyle w:val="Fontdeparagrafimplicit"/>
          <w:rFonts w:ascii="Bookman Old Style" w:hAnsi="Bookman Old Style"/>
          <w:lang w:val="pt-PT"/>
        </w:rPr>
        <w:t xml:space="preserve">.............. </w:t>
      </w:r>
    </w:p>
    <w:p w:rsidRPr="00AD134A" w:rsidR="00246E68" w14:paraId="664EAC11" w14:textId="77777777">
      <w:pPr>
        <w:jc w:val="center"/>
        <w:rPr>
          <w:rStyle w:val="Fontdeparagrafimplicit"/>
          <w:rFonts w:ascii="Bookman Old Style" w:hAnsi="Bookman Old Style"/>
          <w:lang w:val="pt-PT"/>
        </w:rPr>
      </w:pPr>
    </w:p>
    <w:p w:rsidRPr="00AD134A" w:rsidR="00246E68" w14:paraId="732BEFE0" w14:textId="3FCE222B">
      <w:pPr>
        <w:ind w:firstLine="708"/>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S-a luat în examinare, în vederea pronunţării, recursul declarat de intervenienţii </w:t>
      </w:r>
      <w:r w:rsidR="00AD134A">
        <w:rPr>
          <w:rStyle w:val="Fontdeparagrafimplicit"/>
          <w:rFonts w:ascii="Bookman Old Style" w:hAnsi="Bookman Old Style"/>
          <w:lang w:val="pt-PT"/>
        </w:rPr>
        <w:t>1</w:t>
      </w:r>
      <w:r w:rsidRPr="00AD134A">
        <w:rPr>
          <w:rStyle w:val="Fontdeparagrafimplicit"/>
          <w:rFonts w:ascii="Bookman Old Style" w:hAnsi="Bookman Old Style"/>
          <w:lang w:val="pt-PT"/>
        </w:rPr>
        <w:t xml:space="preserve">, </w:t>
      </w:r>
      <w:r w:rsidR="00AD134A">
        <w:rPr>
          <w:rStyle w:val="Fontdeparagrafimplicit"/>
          <w:rFonts w:ascii="Bookman Old Style" w:hAnsi="Bookman Old Style"/>
          <w:lang w:val="pt-PT"/>
        </w:rPr>
        <w:t>2</w:t>
      </w:r>
      <w:r w:rsidRPr="00AD134A">
        <w:rPr>
          <w:rStyle w:val="Fontdeparagrafimplicit"/>
          <w:rFonts w:ascii="Bookman Old Style" w:hAnsi="Bookman Old Style"/>
          <w:lang w:val="pt-PT"/>
        </w:rPr>
        <w:t xml:space="preserve">, </w:t>
      </w:r>
      <w:r w:rsidR="00AD134A">
        <w:rPr>
          <w:rStyle w:val="Fontdeparagrafimplicit"/>
          <w:rFonts w:ascii="Bookman Old Style" w:hAnsi="Bookman Old Style"/>
          <w:lang w:val="pt-PT"/>
        </w:rPr>
        <w:t>3</w:t>
      </w:r>
      <w:r w:rsidRPr="00AD134A">
        <w:rPr>
          <w:rStyle w:val="Fontdeparagrafimplicit"/>
          <w:rFonts w:ascii="Bookman Old Style" w:hAnsi="Bookman Old Style"/>
          <w:lang w:val="pt-PT"/>
        </w:rPr>
        <w:t xml:space="preserve"> şi alţii împotriva sentinţei civile nr. </w:t>
      </w:r>
      <w:r w:rsidR="00AD134A">
        <w:rPr>
          <w:rStyle w:val="Fontdeparagrafimplicit"/>
          <w:rFonts w:ascii="Bookman Old Style" w:hAnsi="Bookman Old Style"/>
          <w:lang w:val="pt-PT"/>
        </w:rPr>
        <w:t xml:space="preserve">....... </w:t>
      </w:r>
      <w:r w:rsidRPr="00AD134A">
        <w:rPr>
          <w:rStyle w:val="Fontdeparagrafimplicit"/>
          <w:rFonts w:ascii="Bookman Old Style" w:hAnsi="Bookman Old Style"/>
          <w:lang w:val="pt-PT"/>
        </w:rPr>
        <w:t xml:space="preserve">din </w:t>
      </w:r>
      <w:r w:rsidR="00AD134A">
        <w:rPr>
          <w:rStyle w:val="Fontdeparagrafimplicit"/>
          <w:rFonts w:ascii="Bookman Old Style" w:hAnsi="Bookman Old Style"/>
          <w:lang w:val="pt-PT"/>
        </w:rPr>
        <w:t xml:space="preserve">......... </w:t>
      </w:r>
      <w:r w:rsidRPr="00AD134A">
        <w:rPr>
          <w:rStyle w:val="Fontdeparagrafimplicit"/>
          <w:rFonts w:ascii="Bookman Old Style" w:hAnsi="Bookman Old Style"/>
          <w:lang w:val="pt-PT"/>
        </w:rPr>
        <w:t xml:space="preserve">pronunţate de Tribunalul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în dosar nr. </w:t>
      </w:r>
      <w:r w:rsidR="00AD134A">
        <w:rPr>
          <w:rStyle w:val="Fontdeparagrafimplicit"/>
          <w:rFonts w:ascii="Bookman Old Style" w:hAnsi="Bookman Old Style"/>
          <w:lang w:val="pt-PT"/>
        </w:rPr>
        <w:t>7</w:t>
      </w:r>
      <w:r w:rsidRPr="00AD134A">
        <w:rPr>
          <w:rStyle w:val="Fontdeparagrafimplicit"/>
          <w:rFonts w:ascii="Bookman Old Style" w:hAnsi="Bookman Old Style"/>
          <w:lang w:val="pt-PT"/>
        </w:rPr>
        <w:t xml:space="preserve"> privind şi pe pârâţii TRIBUNALUL </w:t>
      </w:r>
      <w:r w:rsidR="00AD134A">
        <w:rPr>
          <w:rStyle w:val="Fontdeparagrafimplicit"/>
          <w:rFonts w:ascii="Bookman Old Style" w:hAnsi="Bookman Old Style"/>
          <w:lang w:val="pt-PT"/>
        </w:rPr>
        <w:t>C.........</w:t>
      </w:r>
      <w:r w:rsidRPr="00AD134A">
        <w:rPr>
          <w:rStyle w:val="Fontdeparagrafimplicit"/>
          <w:rFonts w:ascii="Bookman Old Style" w:hAnsi="Bookman Old Style"/>
          <w:lang w:val="pt-PT"/>
        </w:rPr>
        <w:t xml:space="preserve">, TRIBUNALUL </w:t>
      </w:r>
      <w:r w:rsidR="00AD134A">
        <w:rPr>
          <w:rStyle w:val="Fontdeparagrafimplicit"/>
          <w:rFonts w:ascii="Bookman Old Style" w:hAnsi="Bookman Old Style"/>
          <w:lang w:val="pt-PT"/>
        </w:rPr>
        <w:t xml:space="preserve">M........ </w:t>
      </w:r>
      <w:r w:rsidRPr="00AD134A">
        <w:rPr>
          <w:rStyle w:val="Fontdeparagrafimplicit"/>
          <w:rFonts w:ascii="Bookman Old Style" w:hAnsi="Bookman Old Style"/>
          <w:lang w:val="pt-PT"/>
        </w:rPr>
        <w:t xml:space="preserve">, CURTEA DE APEL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MINISTERUL JUSTIŢIEI şi MINISTERUL FINANŢELOR PUBLICE prin DGFP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având ca obiect drepturi salariale ale personalului din justiţie.</w:t>
      </w:r>
    </w:p>
    <w:p w:rsidRPr="00AD134A" w:rsidR="00246E68" w14:paraId="779E4D32" w14:textId="6876EE47">
      <w:pPr>
        <w:ind w:firstLine="708"/>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Mersul dezbaterilor şi susţinerile părţilor prezente s-au consemnat în încheierea şedinţei publice din data de </w:t>
      </w:r>
      <w:r w:rsidR="00AD134A">
        <w:rPr>
          <w:rStyle w:val="Fontdeparagrafimplicit"/>
          <w:rFonts w:ascii="Bookman Old Style" w:hAnsi="Bookman Old Style"/>
          <w:lang w:val="pt-PT"/>
        </w:rPr>
        <w:t xml:space="preserve">............. </w:t>
      </w:r>
      <w:r w:rsidRPr="00AD134A">
        <w:rPr>
          <w:rStyle w:val="Fontdeparagrafimplicit"/>
          <w:rFonts w:ascii="Bookman Old Style" w:hAnsi="Bookman Old Style"/>
          <w:lang w:val="pt-PT"/>
        </w:rPr>
        <w:t>, când s-a amânat pronunţarea, încheiere care face parte integrantă din prezenta decizie.</w:t>
      </w:r>
    </w:p>
    <w:p w:rsidRPr="00AD134A" w:rsidR="00246E68" w14:paraId="0F047BDE" w14:textId="77777777">
      <w:pPr>
        <w:ind w:firstLine="708"/>
        <w:jc w:val="both"/>
        <w:rPr>
          <w:rStyle w:val="Fontdeparagrafimplicit"/>
          <w:rFonts w:ascii="Bookman Old Style" w:hAnsi="Bookman Old Style"/>
          <w:lang w:val="pt-PT"/>
        </w:rPr>
      </w:pPr>
    </w:p>
    <w:p w:rsidRPr="00AD134A" w:rsidR="00246E68" w14:paraId="3A109B23" w14:textId="77777777">
      <w:pPr>
        <w:jc w:val="center"/>
        <w:rPr>
          <w:rStyle w:val="Fontdeparagrafimplicit"/>
          <w:rFonts w:ascii="Bookman Old Style" w:hAnsi="Bookman Old Style"/>
          <w:lang w:val="pt-PT"/>
        </w:rPr>
      </w:pPr>
    </w:p>
    <w:p w:rsidRPr="00AD134A" w:rsidR="00246E68" w14:paraId="2A1C5CFE" w14:textId="77777777">
      <w:pPr>
        <w:jc w:val="center"/>
        <w:rPr>
          <w:rStyle w:val="Fontdeparagrafimplicit"/>
          <w:rFonts w:ascii="Bookman Old Style" w:hAnsi="Bookman Old Style"/>
          <w:lang w:val="pt-PT"/>
        </w:rPr>
      </w:pPr>
      <w:r w:rsidRPr="00AD134A">
        <w:rPr>
          <w:rStyle w:val="Fontdeparagrafimplicit"/>
          <w:rFonts w:ascii="Bookman Old Style" w:hAnsi="Bookman Old Style"/>
          <w:lang w:val="pt-PT"/>
        </w:rPr>
        <w:t>C U R T E A</w:t>
      </w:r>
    </w:p>
    <w:p w:rsidRPr="00AD134A" w:rsidR="00246E68" w14:paraId="1D28367F" w14:textId="77777777">
      <w:pPr>
        <w:jc w:val="center"/>
        <w:rPr>
          <w:rStyle w:val="Fontdeparagrafimplicit"/>
          <w:rFonts w:ascii="Bookman Old Style" w:hAnsi="Bookman Old Style"/>
          <w:lang w:val="pt-PT"/>
        </w:rPr>
      </w:pPr>
    </w:p>
    <w:p w:rsidRPr="00AD134A" w:rsidR="00246E68" w14:paraId="2ABF5EC9" w14:textId="22E7A86E">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Prin sentinţa civilă nr.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din </w:t>
      </w:r>
      <w:r w:rsidR="00AD134A">
        <w:rPr>
          <w:rStyle w:val="Fontdeparagrafimplicit"/>
          <w:rFonts w:ascii="Bookman Old Style" w:hAnsi="Bookman Old Style"/>
          <w:lang w:val="pt-PT"/>
        </w:rPr>
        <w:t xml:space="preserve">......... </w:t>
      </w:r>
      <w:r w:rsidRPr="00AD134A">
        <w:rPr>
          <w:rStyle w:val="Fontdeparagrafimplicit"/>
          <w:rFonts w:ascii="Bookman Old Style" w:hAnsi="Bookman Old Style"/>
          <w:lang w:val="pt-PT"/>
        </w:rPr>
        <w:t xml:space="preserve">pronunţată de Tribunalul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s-a respins acţiunea formulată de către reclamanţii </w:t>
      </w:r>
      <w:r w:rsidR="00AD134A">
        <w:rPr>
          <w:rStyle w:val="Fontdeparagrafimplicit"/>
          <w:rFonts w:ascii="Bookman Old Style" w:hAnsi="Bookman Old Style"/>
          <w:lang w:val="pt-PT"/>
        </w:rPr>
        <w:t>4</w:t>
      </w:r>
      <w:r w:rsidRPr="00AD134A">
        <w:rPr>
          <w:rStyle w:val="Fontdeparagrafimplicit"/>
          <w:rFonts w:ascii="Bookman Old Style" w:hAnsi="Bookman Old Style"/>
          <w:lang w:val="pt-PT"/>
        </w:rPr>
        <w:t xml:space="preserve">, ş.a, în contradictoriu cu pârâţii CURTEA DE APEL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MINISTERUL JUSTITIEI şi MINISTERUL FINANTELOR PUBLICE – prin DGFP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w:t>
      </w:r>
    </w:p>
    <w:p w:rsidRPr="00AD134A" w:rsidR="00246E68" w14:paraId="0AA404C9" w14:textId="65C84CC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ab/>
        <w:t xml:space="preserve">Pentru a pronunţa această sentinţă tribunalul a reţinut că prin decizia nr. </w:t>
      </w:r>
      <w:r w:rsidR="00AD134A">
        <w:rPr>
          <w:rStyle w:val="Fontdeparagrafimplicit"/>
          <w:rFonts w:ascii="Bookman Old Style" w:hAnsi="Bookman Old Style"/>
          <w:lang w:val="pt-PT"/>
        </w:rPr>
        <w:t>.....R/</w:t>
      </w:r>
      <w:r w:rsidR="00EC209B">
        <w:rPr>
          <w:rStyle w:val="Fontdeparagrafimplicit"/>
          <w:rFonts w:ascii="Bookman Old Style" w:hAnsi="Bookman Old Style"/>
          <w:lang w:val="pt-PT"/>
        </w:rPr>
        <w:t>........</w:t>
      </w:r>
      <w:r>
        <w:rPr>
          <w:rStyle w:val="Fontdeparagrafimplicit"/>
          <w:rFonts w:ascii="Bookman Old Style" w:hAnsi="Bookman Old Style"/>
          <w:lang w:val="pt-PT"/>
        </w:rPr>
        <w:t xml:space="preserve"> </w:t>
      </w:r>
      <w:r w:rsidRPr="00AD134A">
        <w:rPr>
          <w:rStyle w:val="Fontdeparagrafimplicit"/>
          <w:rFonts w:ascii="Bookman Old Style" w:hAnsi="Bookman Old Style"/>
          <w:lang w:val="pt-PT"/>
        </w:rPr>
        <w:t xml:space="preserve">a Curţii de Apel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sentinţa civilă nr.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w:t>
      </w:r>
      <w:r w:rsidR="00EC209B">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a Tribunalului </w:t>
      </w:r>
      <w:r w:rsidR="00AD134A">
        <w:rPr>
          <w:rStyle w:val="Fontdeparagrafimplicit"/>
          <w:rFonts w:ascii="Bookman Old Style" w:hAnsi="Bookman Old Style"/>
          <w:lang w:val="pt-PT"/>
        </w:rPr>
        <w:t>C..........</w:t>
      </w:r>
      <w:r w:rsidRPr="00AD134A">
        <w:rPr>
          <w:rStyle w:val="Fontdeparagrafimplicit"/>
          <w:rFonts w:ascii="Bookman Old Style" w:hAnsi="Bookman Old Style"/>
          <w:lang w:val="pt-PT"/>
        </w:rPr>
        <w:t xml:space="preserve"> a fost casată, cauza a fost trimisă spre rejudecare Tribunalului </w:t>
      </w:r>
      <w:r w:rsidR="00AD134A">
        <w:rPr>
          <w:rStyle w:val="Fontdeparagrafimplicit"/>
          <w:rFonts w:ascii="Bookman Old Style" w:hAnsi="Bookman Old Style"/>
          <w:lang w:val="pt-PT"/>
        </w:rPr>
        <w:t>C..........</w:t>
      </w:r>
      <w:r w:rsidRPr="00AD134A">
        <w:rPr>
          <w:rStyle w:val="Fontdeparagrafimplicit"/>
          <w:rFonts w:ascii="Bookman Old Style" w:hAnsi="Bookman Old Style"/>
          <w:lang w:val="pt-PT"/>
        </w:rPr>
        <w:t xml:space="preserve"> cu îndrumarea de a se avea în vedere că obiectul judecăţii este obligarea la plata diferenţelor de salariu calculate pe baza valorii de referinţă sectorială prevăzută de lege pentru funcţii de demnitate publică, iar nu obligarea la plata unei despăgubiri constând în media stimulentelor acordate prin ordinele emise de ministerul Justiţiei în perioada 2006 – 2008.  </w:t>
      </w:r>
    </w:p>
    <w:p w:rsidRPr="00AD134A" w:rsidR="00246E68" w14:paraId="51585C99"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Instanţa a  reţinut că reclamanţii au calitatea de magistrat, fiind salarizaţi în perioada 2005 – 2007, potrivit dispoziţiilor OUG nr. 177/2002, respectiv ale OUG nr. 27/2006 privind salarizarea şi alte drepturi ale judecătorilor, procurorilor şi altor categorii de personal din sistemul justiţiei, aprobată prin Legea nr. 45/2007, cu modificările şi completările ulterioare.</w:t>
      </w:r>
    </w:p>
    <w:p w:rsidRPr="00AD134A" w:rsidR="00246E68" w14:paraId="45E541A8" w14:textId="6B0B7490">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Intervenienţii în interes propriu au calitatea de personal auxiliar de specialitate în cadrul Tribunalului </w:t>
      </w:r>
      <w:r w:rsidR="00AD134A">
        <w:rPr>
          <w:rStyle w:val="Fontdeparagrafimplicit"/>
          <w:rFonts w:ascii="Bookman Old Style" w:hAnsi="Bookman Old Style"/>
          <w:lang w:val="pt-PT"/>
        </w:rPr>
        <w:t>C..........</w:t>
      </w:r>
      <w:r w:rsidRPr="00AD134A">
        <w:rPr>
          <w:rStyle w:val="Fontdeparagrafimplicit"/>
          <w:rFonts w:ascii="Bookman Old Style" w:hAnsi="Bookman Old Style"/>
          <w:lang w:val="pt-PT"/>
        </w:rPr>
        <w:t>. În această calitate, au beneficiat în anul 2007 de creşteri salariale, prin modificarea coeficienţilor de multiplicare în lunile ianuarie 2007, aprilie 2007 si octombrie 2007, fiind adoptată în acest scop  O.G. nr. 8/2007 aprobată prin Legea nr. 247/2007.</w:t>
      </w:r>
    </w:p>
    <w:p w:rsidRPr="00AD134A" w:rsidR="00246E68" w14:paraId="0714AF57"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Potrivit art.1 şi art.2 din OUG nr. 27/2006, salarizarea judecătorilor şi procurorilor se stabileşte prin act normativ special – OUG nr. 177/2002, aprobată prin Legea nr. 45/2007 – cu luarea în considerare a locului şi rolului </w:t>
      </w:r>
      <w:r w:rsidRPr="00AD134A">
        <w:rPr>
          <w:rStyle w:val="Fontdeparagrafimplicit"/>
          <w:rFonts w:ascii="Bookman Old Style" w:hAnsi="Bookman Old Style"/>
          <w:lang w:val="pt-PT"/>
        </w:rPr>
        <w:t>justiţiei în statul de drept, a răspunderii, complexităţii şi riscurilor funcţiei, a incompatibilităţilor şi interdicţiilor prevăzute de lege pentru magistraţi.</w:t>
      </w:r>
    </w:p>
    <w:p w:rsidRPr="00AD134A" w:rsidR="00246E68" w14:paraId="3F973FE6"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Valoarea de referinţă sectorială pe baza căreia s-a stabilit salariul magistraţilor în perioada de referinţă a fost de 257 lei, această valoare fiind majorată cu 2% prin OG nr. 13/2008. Coeficientul de multiplicare a valorii de referinţă sectorială a fost stabilit de legiuitor între 7,000 şi 26,000, în funcţie de nivelul funcţiei exercitate de către magistraţi.</w:t>
      </w:r>
    </w:p>
    <w:p w:rsidRPr="00AD134A" w:rsidR="00246E68" w14:paraId="287B233D"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Potrivit art. 28 al. 1 lit. a) din Legea nr. 154/1998, cu modificările şi completările ulterioare, legea nu se aplică „personalului de specialitate juridică prevăzut în Legea nr.303/2004 privind statutul judecătorilor şi procurorilor, cu modificările şi completările ulterioare, cu excepţia funcţiilor de demnitate publica numite, altele decât cele ocupate de judecători şi procurori detaşaţi”. </w:t>
      </w:r>
    </w:p>
    <w:p w:rsidRPr="00AD134A" w:rsidR="00246E68" w14:paraId="170395FB"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Dispoziţiile Legii nr. 154/1998 având ca obiect sistemul de stabilire a salariilor în sectorul bugetar şi a persoanelor care ocupă funcţii de demnitate publică au operat atât cu valori de referinţă sectorială (anexa I), cât şi cu indemnizaţii stabilite în cuantum fix (anexa II/1). Aşadar, se observă că nici în cadrul aceleiaşi categorii nu s-a utilizat un singur criteriu de calcul a valorii salariului ori a indemnizaţiei.</w:t>
      </w:r>
    </w:p>
    <w:p w:rsidRPr="00AD134A" w:rsidR="00246E68" w14:paraId="7F9D8836"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Totodată, trebuie menţionat că valorile de referinţă sectorială stabilite prin Legea 154/1998 şi prin O.U.G. nr. 27/2006</w:t>
      </w:r>
      <w:r w:rsidRPr="00AD134A">
        <w:rPr>
          <w:rStyle w:val="Fontdeparagrafimplicit"/>
          <w:rFonts w:ascii="Bookman Old Style" w:hAnsi="Bookman Old Style"/>
          <w:color w:val="FF0000"/>
          <w:lang w:val="pt-PT"/>
        </w:rPr>
        <w:t xml:space="preserve"> </w:t>
      </w:r>
      <w:r w:rsidRPr="00AD134A">
        <w:rPr>
          <w:rStyle w:val="Fontdeparagrafimplicit"/>
          <w:rFonts w:ascii="Bookman Old Style" w:hAnsi="Bookman Old Style"/>
          <w:lang w:val="pt-PT"/>
        </w:rPr>
        <w:t>nu sunt singurele elemente în funcţie de care se stabileşte salariul magistraţilor şi al persoanelor expres prevăzute în Legea nr. 154/1998, iar aceste valori nu sunt interdependente. Prin urmare, modificarea valorii dintr-un act normativ nu atrage modificarea valorii din cel de-al doilea act normativ. În mod similar, anumite drepturi cu caracter salarial prevăzute pentru magistraţi, respectiv personalul auxiliar din justiţie, în actul normativ special nu sunt aplicabile demnitarilor publici prevăzuţi în Legea nr. 154/1998.</w:t>
      </w:r>
    </w:p>
    <w:p w:rsidRPr="00AD134A" w:rsidR="00246E68" w14:paraId="597F6B23"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Drepturile salariale ale magistraţilor au fost stabilite printr-un act normativ special, act care le-a reglementat într-o manieră completă, fără a cuprinde norme de trimitere la actele normative privind salarizarea altor categorii.</w:t>
      </w:r>
    </w:p>
    <w:p w:rsidRPr="00AD134A" w:rsidR="00246E68" w14:paraId="083E10BC"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În ceea ce priveşte caracterul de demnitate publică al funcţiei de magistrat, invocat de către reclamanţi în susţinerea acţiunii, se observă că dispoziţiile Legii nr. 154/1998 stabilesc salarizarea prin indicarea fără echivoc a funcţiilor la care se referă, nefiind tratată generic categoria demnitarului public. Această noţiune de „persoane care ocupă funcţii de demnitate publică” este folosită în titlul actului normativ întrucât tehnica legislativă impunea utilizarea unei sintagme caracterizate prin generalitate, fără a include însă toate persoanele care ocupă astfel de funcţii. </w:t>
      </w:r>
    </w:p>
    <w:p w:rsidRPr="00AD134A" w:rsidR="00246E68" w14:paraId="5014A8CE"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Pentru a opera o discriminare este necesar ca titularii drepturilor supuse comparaţiei să se afle în situaţii identice sau similare, iar diferenţierea să nu aibă la bază o justificare obiectivă, raţională. </w:t>
      </w:r>
    </w:p>
    <w:p w:rsidRPr="00AD134A" w:rsidR="00246E68" w14:paraId="439CBCA1"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Instanţa a apreciat că reclamanţii nu sunt plasaţi într-o situaţie discriminatorie în condiţiile existenţei unei diferenţe minime de salarizare între magistraţi şi persoanele care ocupă funcţiile limitativ enunţate în cuprinsul Legii nr. 154/1998. Existenţa unor diferenţe de valoare minimă este rezonabilă şi se plasează în sfera largă a marjei de apreciere a statului existentă în materia stabilirii drepturilor salariale. Această marjă de apreciere a fost recunoscută şi subliniată şi de Curtea Europeană a Drepturilor Omului în cuprinsul hotărârilor pronunţate în cauzele Felicia Mihăieş c. României şi Adrian Gavril Sentes c. României.</w:t>
      </w:r>
    </w:p>
    <w:p w:rsidRPr="00AD134A" w:rsidR="00246E68" w14:paraId="6EFD4580"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Prin actele normative speciale de salarizare invocate de către reclamanţi s-a avut în vedere necesitatea asigurării unui echilibru între puterile în stat, chiar dacă nu s-a asigurat o egalitate matematică între indemnizaţiile reprezentanţilor </w:t>
      </w:r>
      <w:r w:rsidRPr="00AD134A">
        <w:rPr>
          <w:rStyle w:val="Fontdeparagrafimplicit"/>
          <w:rFonts w:ascii="Bookman Old Style" w:hAnsi="Bookman Old Style"/>
          <w:lang w:val="pt-PT"/>
        </w:rPr>
        <w:t>acestora. Indemnizaţiile obţinute de către reprezentanţii celor trei puteri ale statului în perioada 2005 – 2007 sunt comparabile, fiind respectate dispoziţiile art. 1 al. 4 din Constituţia României, revizuită, conform cărora puterile statului trebuie să se afle într-un just echilibru. Astfel, la data de 1 februarie 2006 indemnizaţia unui senator sau a unui deputat era în cuantum de 31.295.000 lei vechi, iar în anul 2007 aceasta a fost de 4.714 lei, cuantumul acestora fiind similar cu cuantumul indemnizaţiei unui magistrat cu grad de tribunal.</w:t>
      </w:r>
    </w:p>
    <w:p w:rsidRPr="00AD134A" w:rsidR="00246E68" w14:paraId="0560379D"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În ceea ce priveşte argumentele invocate de către intervenienţii în interes propriu care exercită funcţii de personal auxiliar în justiţie, s-a constatat că aceştia au beneficiat de creşteri salariale prin adoptarea O.G. nr. 6/2007, OG nr. 10/2007 si OG nr. 11/2007, modalitatea aleasă de legiuitor fiind cea a creşterii  coeficientului de multiplicare.</w:t>
      </w:r>
    </w:p>
    <w:p w:rsidRPr="00AD134A" w:rsidR="00246E68" w14:paraId="57423C1A"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Pentru considerentele expuse, în temeiul art. 16 art. 1 din Constituţia României, al dispoziţiilor şi anexelor O.U.G. nr. 177/2002, O.U.G. nr. 27/2006, ale Legii nr. 154/1998, OG nr. 9/2005, OG nr. 3/2006, OG nr. 10/2007, instanţa a respins acţiunea formulată şi cererile de intervenţie în interes propriu, ca neîntemeiate.</w:t>
      </w:r>
    </w:p>
    <w:p w:rsidRPr="00AD134A" w:rsidR="00246E68" w14:paraId="2308A8E2" w14:textId="0D738287">
      <w:pPr>
        <w:ind w:firstLine="540"/>
        <w:jc w:val="both"/>
        <w:rPr>
          <w:rStyle w:val="Fontdeparagrafimplicit"/>
          <w:rFonts w:ascii="Bookman Old Style" w:hAnsi="Bookman Old Style"/>
          <w:i/>
          <w:lang w:val="pt-PT"/>
        </w:rPr>
      </w:pPr>
      <w:r w:rsidRPr="00AD134A">
        <w:rPr>
          <w:rStyle w:val="Fontdeparagrafimplicit"/>
          <w:rFonts w:ascii="Bookman Old Style" w:hAnsi="Bookman Old Style"/>
          <w:i/>
          <w:lang w:val="pt-PT"/>
        </w:rPr>
        <w:t xml:space="preserve">Împotriva acestei sentinţe au declarat recurs intervenienţii </w:t>
      </w:r>
      <w:r w:rsidR="00AD134A">
        <w:rPr>
          <w:rStyle w:val="Fontdeparagrafimplicit"/>
          <w:rFonts w:ascii="Bookman Old Style" w:hAnsi="Bookman Old Style"/>
          <w:i/>
          <w:lang w:val="pt-PT"/>
        </w:rPr>
        <w:t>1</w:t>
      </w:r>
      <w:r w:rsidRPr="00AD134A">
        <w:rPr>
          <w:rStyle w:val="Fontdeparagrafimplicit"/>
          <w:rFonts w:ascii="Bookman Old Style" w:hAnsi="Bookman Old Style"/>
          <w:i/>
          <w:lang w:val="pt-PT"/>
        </w:rPr>
        <w:t>, ş.a., solicitând admiterea recursului, casarea sentinţei şi rejudecând admiterea cererii de intervenţie aşa cum a fost formulată.</w:t>
      </w:r>
    </w:p>
    <w:p w:rsidRPr="00AD134A" w:rsidR="00246E68" w14:paraId="1E43AE1C" w14:textId="443A8E3D">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În motivarea recursului au arătat că prin Sentinţa civilă nr.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din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2010, Tribunalul </w:t>
      </w:r>
      <w:r>
        <w:rPr>
          <w:rStyle w:val="Fontdeparagrafimplicit"/>
          <w:rFonts w:ascii="Bookman Old Style" w:hAnsi="Bookman Old Style"/>
          <w:lang w:val="pt-PT"/>
        </w:rPr>
        <w:t>C</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a admis în parte acţiunea reclamanţilor şi a admis în parte cererea de intervenţie cu consecinţa obligării pârâţilor să plătească reclamanţilor şi intervenienţilor în interes propriu despăgubiri constând în media anulă a stimulentelor acordate prin ordinele emise în perioada 2006-2008 de Către Ministerul Justiţiei în favoarea consilierilor juridici asimilaţi magistraţilor, din cadrul Ministerului Justiţiei, sume actualizate la data plăţii efective. </w:t>
      </w:r>
    </w:p>
    <w:p w:rsidRPr="00AD134A" w:rsidR="00246E68" w14:paraId="257B3101" w14:textId="48367E32">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Prin Decizia civilă nr.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din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Curtea de Apel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a admis recursurile formulate de pârâţi împotriva sentinţei nr.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w:t>
      </w:r>
      <w:r w:rsidR="001D4422">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care a fost casată în întregime, cauza fiind trimisă în rejudecare cu motivarea următoare: </w:t>
      </w:r>
    </w:p>
    <w:p w:rsidRPr="00AD134A" w:rsidR="00246E68" w14:paraId="0213BC1F" w14:textId="38A05178">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Deşi prin acţiunea şi cererile de intervenţie formulate, reclamanţii şi intervenienţii, potrivit principiului disponibilităţii părţilor în procesul civil au solicitat obligarea pârâţilor - recurenţi la plata diferenţelor de salarii calculate pe baza valorii de referinţă sectorială prevăzută de lege pentru funcţiile de demnitate publică, corectată periodic în raport cu evoluţia preţurilor de consum, prima instanţă nu a cercetat fondul acestei cereri şi s-a pronunţat extrapetita, obligând recurenţii la plata unei despăgubiri constând în media anuală a stimulentelor acordate prin ordinele emise în perioada 2006-2008 de către Ministerul Justiţiei, în favoarea consilierilor juridici asimilaţi magistraţilor. </w:t>
      </w:r>
    </w:p>
    <w:p w:rsidRPr="00AD134A" w:rsidR="00246E68" w14:paraId="4A24B30C"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S-a reţinut totodată că, chiar din motivare a precizărilor de acţiune în care s-a menţionat necesitatea formulării acestora "rezultă din contextul cauzei, în condiţiile în care, în lipsa indicării unui criteriu privind cuantificarea despăgubirilor s-ar ajunge la imposibilitatea punerea în executării a hotărârii", rezultă cu certitudine că intenţia reclamanţilor şi intervenienţilor nu a fost aceea de a modifica obiectul acţiunii formulate în cauză. </w:t>
      </w:r>
    </w:p>
    <w:p w:rsidRPr="00AD134A" w:rsidR="00246E68" w14:paraId="7CF5BFA1"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In rejudecare, în temeiul dispoziţiilor arte 315 alin. 1 C.pr.civ., hotărârile instanţei de recurs asupra problemelor de drept dezlegate, sunt obligatorii pentru judecătorii fondului. </w:t>
      </w:r>
    </w:p>
    <w:p w:rsidRPr="00AD134A" w:rsidR="00246E68" w14:paraId="7AC58662"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Însă, instanţa de rejudecare, prin sentinţa atacată, în mod nelegal şi netemeinic a susţinut că valorile de referinţă sectorială stabilite prin Legea 154/1998 şi prin O.U.G. nr. 27/2006 nu sunt singurele elemente în funcţie de care se stabileşte salariul magistraţilor şi al persoanelor expres prevăzute în Legea nr. 154/1998, iar aceste valori nu sunt interdependente iar modificarea </w:t>
      </w:r>
      <w:r w:rsidRPr="00AD134A">
        <w:rPr>
          <w:rStyle w:val="Fontdeparagrafimplicit"/>
          <w:rFonts w:ascii="Bookman Old Style" w:hAnsi="Bookman Old Style"/>
          <w:lang w:val="pt-PT"/>
        </w:rPr>
        <w:t xml:space="preserve">valorii dintr-un act normativ nu atrage modificarea valorii din cel de-al doilea act normativ. Greşit s-a apreciat totodată că în mod similar, anumite drepturi cu caracter salarial prevăzute pentru magistraţi, respectiv personalul auxiliar din justiţie, în actul normativ special nu sunt aplicabile demnitarilor publici prevăzuţi în Legea nr. 154/1998. </w:t>
      </w:r>
    </w:p>
    <w:p w:rsidRPr="00AD134A" w:rsidR="00246E68" w14:paraId="06C16A65" w14:textId="3D7695D2">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A mai apreciat instanţa de rejudecare că rec</w:t>
      </w:r>
      <w:r w:rsidR="001D4422">
        <w:rPr>
          <w:rStyle w:val="Fontdeparagrafimplicit"/>
          <w:rFonts w:ascii="Bookman Old Style" w:hAnsi="Bookman Old Style"/>
          <w:lang w:val="pt-PT"/>
        </w:rPr>
        <w:t>l</w:t>
      </w:r>
      <w:r w:rsidRPr="00AD134A">
        <w:rPr>
          <w:rStyle w:val="Fontdeparagrafimplicit"/>
          <w:rFonts w:ascii="Bookman Old Style" w:hAnsi="Bookman Old Style"/>
          <w:lang w:val="pt-PT"/>
        </w:rPr>
        <w:t xml:space="preserve">amanţii nu sunt plasaţi într-o situaţie discriminatorie în condiţiile existenţei unei diferenţe minime de salarizare între magistraţi şi persoanele care ocupă funcţiile limitativ enunţate în cuprinsul Legii nr. 154/1998. Existenţa unor diferenţe de valoare minimă este rezonabilă şi se plasează în sfera largă a marjei de apreciere a statului existentă în materia stabilirii drepturilor salariale. Această marjă de apreciere a fost recunoscută şi subliniată şi de Curtea Europeană a Drepturilor Omului în cuprinsul hotărâri lor pronunţate în cauzele Felicia Mihăieş c. României şi Adrian Gavril Sentes c. României. </w:t>
      </w:r>
    </w:p>
    <w:p w:rsidRPr="00AD134A" w:rsidR="00246E68" w14:paraId="451B63DB"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În ceea ce priveşte argumentele invocate de către intervenienţii în interes propriu care exercită funcţii de personal auxiliar în justiţie, în mod netemeinic şi nelegal s-a constatat că aceştia au beneficiat de creşteri salariale prin adoptarea O.G. nr. 6/2007, OG nr. 10/2007 si OG nr. 11/2007, modalitatea aleasă de legiuitor fiind cea a creşterii coeficientului de multiplicare. </w:t>
      </w:r>
    </w:p>
    <w:p w:rsidRPr="00AD134A" w:rsidR="00246E68" w14:paraId="46D2A71E"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Astfel, în mod evident, instanţa de rejudecare a făcut o confuzie între valoarea de referinţă sectorială şi coeficientul de multiplicare prevăzut de legislaţia succesivă. </w:t>
      </w:r>
    </w:p>
    <w:p w:rsidRPr="00AD134A" w:rsidR="00246E68" w14:paraId="1A620C95" w14:textId="152BA0DB">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Conform actelor existente la dosar, atât reclamanţii cât şi intervenienţii sunt salariaţi ai Tribunalului </w:t>
      </w:r>
      <w:r w:rsidR="00AD134A">
        <w:rPr>
          <w:rStyle w:val="Fontdeparagrafimplicit"/>
          <w:rFonts w:ascii="Bookman Old Style" w:hAnsi="Bookman Old Style"/>
          <w:lang w:val="pt-PT"/>
        </w:rPr>
        <w:t>C.........</w:t>
      </w:r>
      <w:r w:rsidRPr="00AD134A">
        <w:rPr>
          <w:rStyle w:val="Fontdeparagrafimplicit"/>
          <w:rFonts w:ascii="Bookman Old Style" w:hAnsi="Bookman Old Style"/>
          <w:lang w:val="pt-PT"/>
        </w:rPr>
        <w:t xml:space="preserve">, îndeplinind funcţii de magistraţi, grefier, personal auxiliar de specialitate şi conex de specialitate. </w:t>
      </w:r>
    </w:p>
    <w:p w:rsidRPr="00AD134A" w:rsidR="00246E68" w14:paraId="3E896C12"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Potrivit art. 1/1 din Legea nr. 50/1996 modificată, indemnizaţiile pentru magistraţi şi salariile de bază pentru celelalte categorii de personal din organele autorităţii judecătoreşti se stabilesc pe baza valorii de referinţă sectorială prevăzută de lege pentru funcţii de demnitate publică alese şi numite din cadrul autorităţilor legislativă şi executivă, valoare corectată periodic în raport cu evoluţia preţurilor de consum în condiţiile stabilite de prevederile legale. </w:t>
      </w:r>
    </w:p>
    <w:p w:rsidRPr="00AD134A" w:rsidR="00246E68" w14:paraId="3903D45E"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În baza art. 2 din Legea nr. 154/1998, dispoziţiile acestei legi se aplică persoanelor care ocupă funcţii de demnitate publică şi celor angajate pe bază de contract individual de muncă în sectorul bugetar. </w:t>
      </w:r>
    </w:p>
    <w:p w:rsidRPr="00AD134A" w:rsidR="00246E68" w14:paraId="62F6EE37" w14:textId="75C9C771">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De asemenea, OUG nr. 123/2003, OG nr. 9/2005, OG nr. 3/2006, OG nr. 10/2007 au prevăzut pentru persoanele care îndeplinesc funcţii de demnitate publică creşteri ale valorii de referinţă sectorială de la 238 lei la 405 lei. </w:t>
      </w:r>
    </w:p>
    <w:p w:rsidRPr="00AD134A" w:rsidR="00246E68" w14:paraId="361DAC8B"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Aşadar, din analiza probelor administrate în cauză, rezultă că intervenienţii nu au beneficiat de majorarea valorii sectoriale prevăzute de normele mai sus arătate. </w:t>
      </w:r>
    </w:p>
    <w:p w:rsidRPr="00AD134A" w:rsidR="00246E68" w14:paraId="2B710DF0"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Ca atare, atâta timp cât recurenţi intervenienţi fac parte din categoria personalului bugetar şi care îndeplineşte funcţia de demnitate publică, făcând parte din organul puterii judecătoreşti, şi nu am beneficiat de creşterile valorii sectoriale prevăzute de ordonanţele de guvern sus menţionate, înseamnă că are loc o discriminare între recurenţii intervenienţi în calitate de personal auxiliar care îndeplinesc funcţii de demnitate publică şi celelalte persoane care îndeplinesc funcţii de demnitate publică, alcătuind puterile legislative, executive, şi care beneficiază de aceste majorări ale valorii de referinţă sectorială, existând deci un tratament discriminatoriu între aceleaşi categorii de persoane care îndeplinesc funcţii de demnitate publică, creându-se o inechitate prin favorizarea unora şi defavorizarea altora. </w:t>
      </w:r>
    </w:p>
    <w:p w:rsidRPr="00AD134A" w:rsidR="00246E68" w14:paraId="2B3087EE"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Mai mult chiar, în condiţiile în care recurenţii desfăşoară activităţi specifice unor funcţii de demnitate publică, ca şi celelalte persoane care desfăşoară </w:t>
      </w:r>
      <w:r w:rsidRPr="00AD134A">
        <w:rPr>
          <w:rStyle w:val="Fontdeparagrafimplicit"/>
          <w:rFonts w:ascii="Bookman Old Style" w:hAnsi="Bookman Old Style"/>
          <w:lang w:val="pt-PT"/>
        </w:rPr>
        <w:t xml:space="preserve">activităţi specifice unor funcţii de demnitate publică în cadrul puterii legislative, executive, este normal şi firesc să avem dreptul la o plată egală pentru munca egală pe care o desfăşurăm ca şi ceilalţi salariaţi care îndeplinesc funcţii de demnitate publică, plata care include cu titlu de drepturi salariale şi creşterile valorii sectoriale. </w:t>
      </w:r>
    </w:p>
    <w:p w:rsidRPr="00AD134A" w:rsidR="00246E68" w14:paraId="7FDB83D5"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De altfel, nu există nici o justificare obiectivă care să justifice vreun scop legitim pentru a se majora valoarea sectorială în favoarea unor salariaţi ce îndeplinesc anumite funcţii de demnitate publică şi ne majorarea valorii sectoriale a celorlalţi salariaţi ce îndeplinesc aceleaşi funcţii de demnitate publică întrucât OUG nr. 123/2003, OG nr. 9/2005, OG nr. 3/2006, OG nr. 10/2007 nu prevăd nici o justificare în acest sens şi nici un scop anume care să justifice majorarea valorii sectoriale numai în cazul anumitor categorii de salariaţi ce îndeplinesc funcţii de demnitate publică în detrimentul altor salariaţi, astfel încât se creează o discriminare în cadrul aceleiaşi categorii de salariaţi, având drept scop înlăturarea recurenţilor la plata egală pentru munca egală. </w:t>
      </w:r>
    </w:p>
    <w:p w:rsidRPr="00AD134A" w:rsidR="00246E68" w14:paraId="235D826F" w14:textId="45C6B36C">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Motivarea instanţei de rejudecare în sensul că intervenienţii au beneficiat de creşterea coeficientului de multiplicare, aceasta fiind modalitate a aleasă de legiuitor este neîntemeiată, nelegală şi nu poate fi reţinută deoarece pe de o parte, pretenţiile vizează OUG nr. 123/2003, OG nr. 9/2005, OG nr. 3/2006, OG nr. 10/2007 iar pe de altă parte, tratamentul discriminatoriu se analizează şi se verifică în raport de salariaţii care fac parte din aceeaşi categorie, respectiv care îndeplinesc funcţii de demnitate publică. </w:t>
      </w:r>
    </w:p>
    <w:p w:rsidRPr="00AD134A" w:rsidR="00246E68" w14:paraId="5561A022"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În considerarea celor de mai sus, solicită instanţei de control judiciar a reţine şi faptul că potrivit art. 1, prin OG nr. 8/2007 s-a reglementat salarizarea si alte drepturi ale personalului auxiliar de specialitate din cadrul instanţelor judecătoreşti si al parchetelor de pe lângă acestea, astfel cum este definit la art. 3 din Legea nr. 567/2004 privind statutul personalului auxiliar de specialitate al instanţelor judecătoreşti si al parchetelor de pe lângă acestea, cu modificările si completările ulterioare. De asemenea, art. 3 alin. 1 din acelaşi act normative prevede că salariile de baza pentru personalul auxiliar de specialitate din cadrul instanţelor judecătoreşti si al parchetelor de pe lângă acestea se stabilesc pe baza valorii de referinţă sectoriala şi a coeficienţilor de multiplicare, pe grade sau trepte profesionale, in raport de funcţia deţinută, de nivelul studiilor, de vechimea in specialitate, precum si de nivelul instanţei sau al parchetului. </w:t>
      </w:r>
    </w:p>
    <w:p w:rsidRPr="00AD134A" w:rsidR="00246E68" w14:paraId="1D4920F4"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Mai arată că potrivit art. 5 din legea nr. 154/1998 privind sistemul de stabilirea a salariilor de bază în sectorul bugetar şi a indemnizaţiilor pentru persoane care ocupă funcţii de demnitate publică, salariile de bază în sectorul bugetar se stabilesc pe baza următoarelor elemente: valoarea de referinţă universală; indicatorii de prioritate intersectorială, exprimaţi în procente, diferenţiaţi pe domenii de activitate; valoarea de referinţă sectorială, exprimată în lei, rezultată din înmulţirea valorii de referinţă universală cu indicatorii de prioritate intersectorială; grila de intervale pentru stabilirea salariilor de bază, pentru funcţiile fiecărui sector de activitate . </w:t>
      </w:r>
    </w:p>
    <w:p w:rsidRPr="00AD134A" w:rsidR="00246E68" w14:paraId="1981FA00"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Potrivit art. 1 din OUG nr. 134/1999, aprobată prin Legea nr. 714/2001, începând cu luna septembrie 1999, valoarea coeficientului 1 de ierarhizare a salariilor de bază ale personalului din organele autorităţii judecătoreşti, reglementată de Legea nr. 50/1996 este egală cu valoarea de referinţă sectorială prevăzută de Legea nr. 154/1998 " pentru de demnitate publică alese şi numite, precum şi pentru administraţia publică centrală şi locală. Această valoare se corectează periodic în raport de evoluţia preţurilor de consum în condiţiile stabilite de prevederile legale pentru sectorul bugetar". </w:t>
      </w:r>
    </w:p>
    <w:p w:rsidRPr="00AD134A" w:rsidR="00246E68" w14:paraId="2A607ECF"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Deşi OUG nr. 134/1999, aprobată prin Legea nr. 714/ 2001 în vigoare - fiind abrogată doar prin 48 din Legea nr. 320/2009 la data de 1 ianuarie 2010 </w:t>
      </w:r>
      <w:r w:rsidRPr="00AD134A">
        <w:rPr>
          <w:rStyle w:val="Fontdeparagrafimplicit"/>
          <w:rFonts w:ascii="Bookman Old Style" w:hAnsi="Bookman Old Style"/>
          <w:lang w:val="pt-PT"/>
        </w:rPr>
        <w:t xml:space="preserve">(stabilind în mod expres egalitatea valorii de referinţă sectorială pentru personalul din organele autorităţii judecătoreşti cu cea prevăzute de lege pentru funcţiile de demnitate publică). </w:t>
      </w:r>
    </w:p>
    <w:p w:rsidRPr="00AD134A" w:rsidR="00246E68" w14:paraId="52ED9680"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ART. 1 din OUG nr. 134/1999 : (1) Începând cu luna septembrie 1999 valoarea coeficientului 1 de ierarhizare a salariilor de bază ale personalului din organele autorităţii judecătoreşti, reglementată de Legea nr. 50/1996 privind salarizarea şi alte drepturi ale personalului din organele autorităţii judecătoreşti, cu modificările şi completările ulterioare, este egală cu valoarea de referinţă sectorială prevăzută de Legea nr. 154/1998 privind sistemul de stabilire a salariilor de bază în sectorul bugetar şi a indemnizaţiilor pentru persoane care ocupă funcţii de demnitate publică, cu modificările şi completările ulterioare, pentru funcţiile de demnitate publică alese şi numite, precum şi pentru administraţia publică centrală şi locală. Această valoare se corectează periodic în raport cu evoluţia preţurilor de consum în condiţiile stabilite de prevederile legale pentru sectorul bugetar. (2) Prevederile alin. (l) se aplică şi magistraţilor-asistenţi, precum şi personalului auxiliar de specialitate din Curtea Supremă de Justiţie salarizat în baza Legii nr. 56/1996 privind salarizarea şi alte drepturi ale judecătorilor Curţii Supreme de Justiţie, ale magistraţilor-asistenţi şi ale celorlalte categorii de personal, cu modificările şi completările ulterioare, iar conform art. 74 alin. 2 din Legea nr. 303/2004, lege organica, "drepturile salariale ale judecătorilor şi procurorilor nu pot fi diminuate sau suspendate decât în cazurile prevăzute de prezenta lege", nici intervenienţilor şi nici reclamanţilor nu ni s-au acordat creşterile salariale prevăzute de OG nr. 9/2005 pentru personalul care ocupă funcţii de demnitate publică. </w:t>
      </w:r>
    </w:p>
    <w:p w:rsidRPr="00AD134A" w:rsidR="00246E68" w14:paraId="7FB39B64"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Prin legile anuale referitoare la bugetul de stat nu au fost prevăzute modificări ale valorii de referinţă universală sau ale indicatorului de prioritate intersectorială pentru funcţiile de demnitate publică. </w:t>
      </w:r>
    </w:p>
    <w:p w:rsidRPr="00AD134A" w:rsidR="00246E68" w14:paraId="285D44F0"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În baza art. 48 din OUG nr. 177/2002 şi art. 3 lit. e din OUG nr. 123/2003, valoarea de referinţă sectorială din Anexa 1 la OUG nr. 177/2002 a fost majorată cu 6% începând cu 1 ianuarie 2003 şi cu 9% începând cu 1 octombrie 2003, respectiv cu 6 % în luna ianuarie 2004 şi 6% în luna octombrie 2004. In consecinţă, pentru perioada 1 octombrie 2004-31 decembrie 2004, aceasta valoare de referinţă sectorială era de 2.380.592 lei egală cu cea prevăzută de lege pentru funcţiile de demnitate publică alese şi numite şi care fusese majorată la rândul său, în aceleaşi procente, prin dispoziţiile OUG 191/2002 şi ale art. 3 lit. a din OUG 1213/2003. </w:t>
      </w:r>
    </w:p>
    <w:p w:rsidRPr="00AD134A" w:rsidR="00246E68" w14:paraId="1D2A7D89"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În mod similar prin majorări succesive valoarea de referinţă sectorială pentru personalul de specialitate din cadrul instanţelor judecătoreşti şi a parchetelor de pe lângă acestea, salarizat conform Legii 50/ 1996 ( până la intrarea in vigoare a OG nr. 8/2007) a ajuns pentru acelaşi interval de timp la 2.380.592 lei. </w:t>
      </w:r>
    </w:p>
    <w:p w:rsidRPr="00AD134A" w:rsidR="00246E68" w14:paraId="021EBC27"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Pentru perioadele 01.01.2005-30.09.2005 şi 01.10.2005-31.01.2006, deşi OUG nr. 134/1999, aprobată prin Legea nr. 714/2001 era în vigoare ( stabilind în mod expres egalitatea valorii de referinţă sectorială pentru personalul din organele autorităţii judecătoreşti cu cea prevăzute de lege pentru funcţiile de demnitate publică) iar conform art. 74 alin. 2 din Legea nr. 303/2004, lege organică "drepturile salariale ale judecătorilor şi procurorilor nu pot fi diminuate sau suspendate decât în cazurile prevăzute de prezenta lege " însă nu li s-au acordat creşterile salariale prevăzute de OG nr. 9/2005 pentru personalul care ocupă funcţii de demnitate publică. </w:t>
      </w:r>
    </w:p>
    <w:p w:rsidRPr="00AD134A" w:rsidR="00246E68" w14:paraId="7024CD4D"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Este de observat că deşi conform de numirii sale, acest act normativ reglementează creşteri salariale pentru anul 2005 (acordate personalului contractual bugetar şi persoanelor ce ocupă funcţii de demnitate publică alese, </w:t>
      </w:r>
      <w:r w:rsidRPr="00AD134A">
        <w:rPr>
          <w:rStyle w:val="Fontdeparagrafimplicit"/>
          <w:rFonts w:ascii="Bookman Old Style" w:hAnsi="Bookman Old Style"/>
          <w:lang w:val="pt-PT"/>
        </w:rPr>
        <w:t xml:space="preserve">numite şi asimilate acestora fără a se indica în mod explicit procentul de majorare al indemnizaţiilor . </w:t>
      </w:r>
    </w:p>
    <w:p w:rsidRPr="00AD134A" w:rsidR="00246E68" w14:paraId="4EE4F876"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Pentru aceeaşi raţiune sunt întemeiate şi solicitările de a ne fi acordate şi pentru anii 2006 şi 2007 creşterile salariale prevăzute de OG nr. 3/2006 şi OG nr. 10/2007. </w:t>
      </w:r>
    </w:p>
    <w:p w:rsidRPr="00AD134A" w:rsidR="00246E68" w14:paraId="411CB097" w14:textId="77777777">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Aşadar, plecând de la valoarea de referinţă sectorială de 2.380.692 lei la nivelul lunii decembrie 2004, salariile noastre trebuiau calcula te pe baza valorii de referinţă sectorială pentru funcţiile de demnitate publică alese. </w:t>
      </w:r>
    </w:p>
    <w:p w:rsidRPr="00AD134A" w:rsidR="00246E68" w14:paraId="04AF7603" w14:textId="72DE031C">
      <w:pPr>
        <w:ind w:firstLine="540"/>
        <w:jc w:val="both"/>
        <w:rPr>
          <w:rStyle w:val="Fontdeparagrafimplicit"/>
          <w:rFonts w:ascii="Bookman Old Style" w:hAnsi="Bookman Old Style"/>
          <w:lang w:val="pt-PT"/>
        </w:rPr>
      </w:pPr>
      <w:r w:rsidRPr="00AD134A">
        <w:rPr>
          <w:rStyle w:val="Fontdeparagrafimplicit"/>
          <w:rFonts w:ascii="Bookman Old Style" w:hAnsi="Bookman Old Style"/>
          <w:lang w:val="pt-PT"/>
        </w:rPr>
        <w:t>Astfel în baza prevederilor legale anterior menţionate, ale art. 1 alin. 4 din Constituţia României care reglementează organizarea statului potrivit "principiului separaţiei şi echilibrului puterilor - legislativă, executivă şi judecătorească - în cadrul democraţiei constituţionale" şi ale art. 1 alin. 1 din Legea nr. 304/2004 conform căruia" puterea judecătorească se exercită de Înalta Curte de Casaţie şi Justiţie şi de celelalte instanţe judecătoreşti stabilite de lege" constată întemeiate pretenţiile de acordare a creşterilor salariale astfel cum au fost formulate.</w:t>
      </w:r>
    </w:p>
    <w:p w:rsidRPr="00AD134A" w:rsidR="00246E68" w14:paraId="5A4F0CCE" w14:textId="3F226485">
      <w:pPr>
        <w:ind w:firstLine="540"/>
        <w:jc w:val="both"/>
        <w:rPr>
          <w:rStyle w:val="Fontdeparagrafimplicit"/>
          <w:rFonts w:ascii="Bookman Old Style" w:hAnsi="Bookman Old Style"/>
          <w:lang w:val="pt-PT"/>
        </w:rPr>
      </w:pPr>
      <w:r w:rsidRPr="00AD134A">
        <w:rPr>
          <w:rStyle w:val="Fontdeparagrafimplicit"/>
          <w:rFonts w:ascii="Bookman Old Style" w:hAnsi="Bookman Old Style"/>
          <w:i/>
          <w:lang w:val="pt-PT"/>
        </w:rPr>
        <w:t xml:space="preserve">Pârâta Curtea de Apel </w:t>
      </w:r>
      <w:r w:rsidR="00AD134A">
        <w:rPr>
          <w:rStyle w:val="Fontdeparagrafimplicit"/>
          <w:rFonts w:ascii="Bookman Old Style" w:hAnsi="Bookman Old Style"/>
          <w:i/>
          <w:lang w:val="pt-PT"/>
        </w:rPr>
        <w:t>..........</w:t>
      </w:r>
      <w:r w:rsidRPr="00AD134A">
        <w:rPr>
          <w:rStyle w:val="Fontdeparagrafimplicit"/>
          <w:rFonts w:ascii="Bookman Old Style" w:hAnsi="Bookman Old Style"/>
          <w:i/>
          <w:lang w:val="pt-PT"/>
        </w:rPr>
        <w:t>, prin întâmpinare</w:t>
      </w:r>
      <w:r w:rsidRPr="00AD134A">
        <w:rPr>
          <w:rStyle w:val="Fontdeparagrafimplicit"/>
          <w:rFonts w:ascii="Bookman Old Style" w:hAnsi="Bookman Old Style"/>
          <w:lang w:val="pt-PT"/>
        </w:rPr>
        <w:t xml:space="preserve"> a solicitat respingerea recursului formulat de intervenienţi şi menţinerea  hotărârii ca legală şi temeinică. </w:t>
      </w:r>
    </w:p>
    <w:p w:rsidRPr="00AD134A" w:rsidR="00246E68" w14:paraId="25AB3220" w14:textId="670CAA5B">
      <w:pPr>
        <w:ind w:firstLine="540"/>
        <w:jc w:val="both"/>
        <w:rPr>
          <w:rStyle w:val="Fontdeparagrafimplicit"/>
          <w:rFonts w:ascii="Bookman Old Style" w:hAnsi="Bookman Old Style"/>
          <w:lang w:val="pt-PT"/>
        </w:rPr>
      </w:pPr>
      <w:r w:rsidRPr="00AD134A">
        <w:rPr>
          <w:rStyle w:val="Fontdeparagrafimplicit"/>
          <w:rFonts w:ascii="Bookman Old Style" w:hAnsi="Bookman Old Style"/>
          <w:i/>
          <w:lang w:val="pt-PT"/>
        </w:rPr>
        <w:t xml:space="preserve">Pârâtul MINISTERUL FINANTELOR PUBLICE - Direcţia Generală a Finanţelor Publice a Judeţului </w:t>
      </w:r>
      <w:r w:rsidR="00AD134A">
        <w:rPr>
          <w:rStyle w:val="Fontdeparagrafimplicit"/>
          <w:rFonts w:ascii="Bookman Old Style" w:hAnsi="Bookman Old Style"/>
          <w:i/>
          <w:lang w:val="pt-PT"/>
        </w:rPr>
        <w:t>..........</w:t>
      </w:r>
      <w:r w:rsidRPr="00AD134A">
        <w:rPr>
          <w:rStyle w:val="Fontdeparagrafimplicit"/>
          <w:rFonts w:ascii="Bookman Old Style" w:hAnsi="Bookman Old Style"/>
          <w:lang w:val="pt-PT"/>
        </w:rPr>
        <w:t xml:space="preserve"> prin întâmpinare  a solicitat respingerea recursului şi menţinerea sentinţei ca fiind temeinica si legala. </w:t>
      </w:r>
    </w:p>
    <w:p w:rsidRPr="00AD134A" w:rsidR="00246E68" w14:paraId="33AEAFB2" w14:textId="77777777">
      <w:pPr>
        <w:rPr>
          <w:rStyle w:val="Fontdeparagrafimplicit"/>
          <w:rFonts w:ascii="Bookman Old Style" w:hAnsi="Bookman Old Style"/>
          <w:i/>
          <w:lang w:val="pt-PT"/>
        </w:rPr>
      </w:pPr>
      <w:r w:rsidRPr="00AD134A">
        <w:rPr>
          <w:rStyle w:val="Fontdeparagrafimplicit"/>
          <w:rFonts w:ascii="Bookman Old Style" w:hAnsi="Bookman Old Style"/>
          <w:lang w:val="pt-PT"/>
        </w:rPr>
        <w:tab/>
      </w:r>
      <w:r w:rsidRPr="00AD134A">
        <w:rPr>
          <w:rStyle w:val="Fontdeparagrafimplicit"/>
          <w:rFonts w:ascii="Bookman Old Style" w:hAnsi="Bookman Old Style"/>
          <w:i/>
          <w:lang w:val="pt-PT"/>
        </w:rPr>
        <w:t>Analizând recursul formulat, prin prisma motivelor invocate şi a apărărilor formulate, Curtea, deliberând, constată următoarele:</w:t>
      </w:r>
    </w:p>
    <w:p w:rsidRPr="00AD134A" w:rsidR="00246E68" w14:paraId="4F9710BC"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ab/>
        <w:t>În ceea ce priveşte interpretarea şi aplicarea dispoziţiilor OG 10/2007, referitor la posibilitatea magistraţilor de a beneficia şi ei de creşterile salariale prevăzute de acest act normativ, Curtea reţine că problema a fost tranşată în cadrul unei decizii în interesul legii pronunţate de Înalta Curte de Casaţie şi Justiţie.</w:t>
      </w:r>
    </w:p>
    <w:p w:rsidRPr="00AD134A" w:rsidR="00246E68" w14:paraId="7169EAAA"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ab/>
        <w:t>Astfel, în considerentele deciziei nr.25/2011 se reţin următoarele:</w:t>
      </w:r>
    </w:p>
    <w:p w:rsidRPr="00AD134A" w:rsidR="00246E68" w14:paraId="075C6AF5"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ab/>
        <w:t>„Cu titlu prealabil, Înalta Curte reţine că recursul în interesul legii aduce în discuţie reglementări înscrise în următoarele acte normative:</w:t>
      </w:r>
    </w:p>
    <w:p w:rsidRPr="00AD134A" w:rsidR="00246E68" w14:paraId="7F7FDB64"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 art. 16 alin. (1) din Constituţia României, republicată, care, sub denumirea marginală "Egalitatea în drepturi", arată că cetăţenii sunt egali în faţa legii şi a autorităţilor publice, fără privilegii şi fără discriminări;</w:t>
      </w:r>
    </w:p>
    <w:p w:rsidRPr="00AD134A" w:rsidR="00246E68" w14:paraId="671099D7"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 art. 20 din Constituţia României, republicată, care, sub denumirea marginală "Tratatele internaţionale privind drepturile omului", prevede că dispoziţiile constituţionale privind drepturile şi libertăţile cetăţenilor vor fi interpretate şi aplicate în concordanţă cu Declaraţia Universală a Drepturilor Omului, cu pactele şi cu celelalte tratate la care România este parte [alin. (1)]. Dacă există neconcordanţe între pactele şi tratatele privitoare la drepturile fundamentale ale omului la care România este parte şi legile interne, au prioritate reglementările internaţionale, cu excepţia cazului în care Constituţia sau legile interne conţin dispoziţii mai favorabile [alin. (2)];</w:t>
      </w:r>
    </w:p>
    <w:p w:rsidRPr="00AD134A" w:rsidR="00246E68" w14:paraId="02EAB988"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 art. 20 din Carta socială europeană revizuită, adoptată la Strasbourg la 3 mai 1996, ratificată de România prin </w:t>
      </w:r>
      <w:r w:rsidRPr="00AD134A">
        <w:rPr>
          <w:rStyle w:val="Fontdeparagrafimplicit"/>
          <w:rFonts w:ascii="Bookman Old Style" w:hAnsi="Bookman Old Style"/>
          <w:vanish/>
          <w:lang w:val="pt-PT"/>
        </w:rPr>
        <w:t>&lt;LLNK 11999    74 10 201   0 17&gt;</w:t>
      </w:r>
      <w:r w:rsidRPr="00AD134A">
        <w:rPr>
          <w:rStyle w:val="Fontdeparagrafimplicit"/>
          <w:rFonts w:ascii="Bookman Old Style" w:hAnsi="Bookman Old Style"/>
          <w:color w:val="0000FF"/>
          <w:u w:val="single"/>
          <w:lang w:val="pt-PT"/>
        </w:rPr>
        <w:t>Legea nr. 74/1999</w:t>
      </w:r>
      <w:r w:rsidRPr="00AD134A">
        <w:rPr>
          <w:rStyle w:val="Fontdeparagrafimplicit"/>
          <w:rFonts w:ascii="Bookman Old Style" w:hAnsi="Bookman Old Style"/>
          <w:lang w:val="pt-PT"/>
        </w:rPr>
        <w:t xml:space="preserve">, care, sub denumirea marginală "Dreptul la egalitate de şanse şi de tratament în materie de angajare şi profesie, fără discriminare în funcţie de sex", prevede că în vederea exercitării efective a dreptului la egalitate de şanse şi de tratament în materie de angajare şi de profesie, fără discriminare în funcţie de sex, părţile se angajează să recunoască acest drept şi să ia măsurile adecvate pentru a asigura şi a promova aplicarea sa în următoarele domenii: a) accesul la angajare, protecţia împotriva concedierii şi reintegrarea profesională; b) orientarea şi formarea profesională, </w:t>
      </w:r>
      <w:r w:rsidRPr="00AD134A">
        <w:rPr>
          <w:rStyle w:val="Fontdeparagrafimplicit"/>
          <w:rFonts w:ascii="Bookman Old Style" w:hAnsi="Bookman Old Style"/>
          <w:lang w:val="pt-PT"/>
        </w:rPr>
        <w:t>recalificarea şi readaptarea profesională; c) condiţiile de angajare şi de muncă, inclusiv salarizarea; d) evoluţia carierei, inclusiv promovarea.</w:t>
      </w:r>
    </w:p>
    <w:p w:rsidRPr="00AD134A" w:rsidR="00246E68" w14:paraId="01DC4384"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La rândul său, sub denumirea marginală "Nediscriminarea", art. E prevede că respectarea drepturilor recunoscute în prezenta cartă trebuie asigurată fără deosebire de rasă, sex, limbă, religie, opinii politice sau orice alte opinii, origine naţională ori socială, sănătate, apartenenţă la o minoritate naţională, naştere sau orice altă situaţie;</w:t>
      </w:r>
    </w:p>
    <w:p w:rsidRPr="00AD134A" w:rsidR="00246E68" w14:paraId="7A16DFC4"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 art. 14 din Convenţia pentru apărarea drepturilor omului şi a libertăţilor fundamentale, ratificată de România prin </w:t>
      </w:r>
      <w:r w:rsidRPr="00AD134A">
        <w:rPr>
          <w:rStyle w:val="Fontdeparagrafimplicit"/>
          <w:rFonts w:ascii="Bookman Old Style" w:hAnsi="Bookman Old Style"/>
          <w:vanish/>
          <w:lang w:val="pt-PT"/>
        </w:rPr>
        <w:t>&lt;LLNK 11994    30 10 201   0 17&gt;</w:t>
      </w:r>
      <w:r w:rsidRPr="00AD134A">
        <w:rPr>
          <w:rStyle w:val="Fontdeparagrafimplicit"/>
          <w:rFonts w:ascii="Bookman Old Style" w:hAnsi="Bookman Old Style"/>
          <w:color w:val="0000FF"/>
          <w:u w:val="single"/>
          <w:lang w:val="pt-PT"/>
        </w:rPr>
        <w:t>Legea nr. 30/1994</w:t>
      </w:r>
      <w:r w:rsidRPr="00AD134A">
        <w:rPr>
          <w:rStyle w:val="Fontdeparagrafimplicit"/>
          <w:rFonts w:ascii="Bookman Old Style" w:hAnsi="Bookman Old Style"/>
          <w:lang w:val="pt-PT"/>
        </w:rPr>
        <w:t>, care prevede că exercitarea drepturilor şi libertăţilor recunoscute de prezenta convenţie trebuie să fie asigurată fără nicio deosebire bazată, în special, pe sex, rasă, culoare, limbă, religie, opinii politice sau orice alte opinii, origine naţională ori socială, apartenenţă la o minoritate naţională, avere, naştere sau orice altă situaţie;</w:t>
      </w:r>
    </w:p>
    <w:p w:rsidRPr="00AD134A" w:rsidR="00246E68" w14:paraId="5A93579C"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 art. 7 din Declaraţia Universală a Drepturilor Omului, care prevede că toţi oamenii sunt egali în faţa legii şi au, fără nicio deosebire, dreptul la o egală protecţie a legii. Toţi oamenii au dreptul la o protecţie egală împotriva oricărei discriminări care ar viola prezenta declaraţie şi împotriva oricărei provocări la o asemenea discriminare.</w:t>
      </w:r>
    </w:p>
    <w:p w:rsidRPr="00AD134A" w:rsidR="00246E68" w14:paraId="6194E625"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Art. 23 pct. 2 din acelaşi act normativ prevede că toţi oamenii, fără nicio discriminare, au dreptul la salariu egal pentru muncă egală;</w:t>
      </w:r>
    </w:p>
    <w:p w:rsidRPr="00AD134A" w:rsidR="00246E68" w14:paraId="284DF78E" w14:textId="77777777">
      <w:pPr>
        <w:jc w:val="both"/>
        <w:rPr>
          <w:rStyle w:val="Fontdeparagrafimplicit"/>
          <w:rFonts w:ascii="Bookman Old Style" w:hAnsi="Bookman Old Style"/>
          <w:lang w:val="ro-RO"/>
        </w:rPr>
      </w:pPr>
      <w:r w:rsidRPr="00AD134A">
        <w:rPr>
          <w:rStyle w:val="Fontdeparagrafimplicit"/>
          <w:rFonts w:ascii="Bookman Old Style" w:hAnsi="Bookman Old Style"/>
          <w:lang w:val="pt-PT"/>
        </w:rPr>
        <w:t xml:space="preserve">    - </w:t>
      </w:r>
      <w:r w:rsidRPr="00AD134A">
        <w:rPr>
          <w:rStyle w:val="Fontdeparagrafimplicit"/>
          <w:rFonts w:ascii="Bookman Old Style" w:hAnsi="Bookman Old Style"/>
          <w:vanish/>
          <w:lang w:val="pt-PT"/>
        </w:rPr>
        <w:t>&lt;LLNK 12003    53 11 202   5 28&gt;</w:t>
      </w:r>
      <w:r w:rsidRPr="00AD134A">
        <w:rPr>
          <w:rStyle w:val="Fontdeparagrafimplicit"/>
          <w:rFonts w:ascii="Bookman Old Style" w:hAnsi="Bookman Old Style"/>
          <w:color w:val="0000FF"/>
          <w:u w:val="single"/>
          <w:lang w:val="pt-PT"/>
        </w:rPr>
        <w:t>art. 5 din Legea nr. 53/2003</w:t>
      </w:r>
      <w:r w:rsidRPr="00AD134A">
        <w:rPr>
          <w:rStyle w:val="Fontdeparagrafimplicit"/>
          <w:rFonts w:ascii="Bookman Old Style" w:hAnsi="Bookman Old Style"/>
          <w:lang w:val="pt-PT"/>
        </w:rPr>
        <w:t xml:space="preserve"> - Codul muncii, conform căruia în cadrul relaţiilor de muncă funcţionează principiul egalităţii de tratament faţă de toţi salariaţii şi angajatorii [alin. (1)]. Orice discriminare directă ori indirectă faţă de un salariat, bazată pe criterii de sex, orientare sexuală, caracteristici genetice, vârstă, apartenenţă naţională, rasă, culoare, etnie, religie, opţiune politică, origine socială, handicap, situaţie sau responsabilitate familială, apartenenţă ori activitate sindicală, este interzisă [alin. (2)]. Constituie discriminare directă actele şi faptele de excludere, deosebire, restricţie sau preferinţă, întemeiate pe unul ori mai multe dintre criteriile prevăzute la alin. 2, care au ca scop ori ca efect neacordarea, restrângerea ori înlăturarea recunoaşterii, folosinţei sau exercitării drepturilor prevăzute în legislaţia muncii [alin. (3)]. Constituie discriminare indirectă actele şi faptele întemeiate în mod aparent pe alte criterii decât cele prevăzute la alin. </w:t>
      </w:r>
      <w:r w:rsidRPr="00AD134A">
        <w:rPr>
          <w:rStyle w:val="Fontdeparagrafimplicit"/>
          <w:rFonts w:ascii="Bookman Old Style" w:hAnsi="Bookman Old Style"/>
          <w:lang w:val="en-US"/>
        </w:rPr>
        <w:t xml:space="preserve">(2), </w:t>
      </w:r>
      <w:r w:rsidRPr="00AD134A">
        <w:rPr>
          <w:rStyle w:val="Fontdeparagrafimplicit"/>
          <w:rFonts w:ascii="Bookman Old Style" w:hAnsi="Bookman Old Style"/>
          <w:lang w:val="ro-RO"/>
        </w:rPr>
        <w:t>dar care produc efectele unei discriminări directe [alin. (4)];</w:t>
      </w:r>
    </w:p>
    <w:p w:rsidRPr="00AD134A" w:rsidR="00246E68" w14:paraId="521EBB75" w14:textId="77777777">
      <w:pPr>
        <w:jc w:val="both"/>
        <w:rPr>
          <w:rStyle w:val="Fontdeparagrafimplicit"/>
          <w:rFonts w:ascii="Bookman Old Style" w:hAnsi="Bookman Old Style"/>
          <w:lang w:val="ro-RO"/>
        </w:rPr>
      </w:pPr>
      <w:r w:rsidRPr="00AD134A">
        <w:rPr>
          <w:rStyle w:val="Fontdeparagrafimplicit"/>
          <w:rFonts w:ascii="Bookman Old Style" w:hAnsi="Bookman Old Style"/>
          <w:lang w:val="ro-RO"/>
        </w:rPr>
        <w:t xml:space="preserve">    - </w:t>
      </w:r>
      <w:r w:rsidRPr="00AD134A">
        <w:rPr>
          <w:rStyle w:val="Fontdeparagrafimplicit"/>
          <w:rFonts w:ascii="Bookman Old Style" w:hAnsi="Bookman Old Style"/>
          <w:vanish/>
          <w:lang w:val="ro-RO"/>
        </w:rPr>
        <w:t>&lt;LLNK 12000   137131 302   2 54&gt;</w:t>
      </w:r>
      <w:r w:rsidRPr="00AD134A">
        <w:rPr>
          <w:rStyle w:val="Fontdeparagrafimplicit"/>
          <w:rFonts w:ascii="Bookman Old Style" w:hAnsi="Bookman Old Style"/>
          <w:color w:val="0000FF"/>
          <w:u w:val="single"/>
          <w:lang w:val="ro-RO"/>
        </w:rPr>
        <w:t>art. 2 alin. (1) din Ordonanţa Guvernului nr. 137/2000</w:t>
      </w:r>
      <w:r w:rsidRPr="00AD134A">
        <w:rPr>
          <w:rStyle w:val="Fontdeparagrafimplicit"/>
          <w:rFonts w:ascii="Bookman Old Style" w:hAnsi="Bookman Old Style"/>
          <w:lang w:val="ro-RO"/>
        </w:rPr>
        <w:t xml:space="preserve"> privind prevenirea şi sancţionarea tuturor faptelor de discriminare, republicată, cu completările ulterioare, prevede că 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ori efect restrângerea, înlăturarea recunoaşterii, folosinţei sau exercitării, în condiţii de egalitate, a drepturilor omului şi a libertăţilor fundamentale ori a drepturilor recunoscute de lege, în domeniul politic, economic, social şi cultural sau în orice alte domenii ale vieţii publice.</w:t>
      </w:r>
    </w:p>
    <w:p w:rsidRPr="00AD134A" w:rsidR="00246E68" w14:paraId="000A4C2D" w14:textId="77777777">
      <w:pPr>
        <w:jc w:val="both"/>
        <w:rPr>
          <w:rStyle w:val="Fontdeparagrafimplicit"/>
          <w:rFonts w:ascii="Bookman Old Style" w:hAnsi="Bookman Old Style"/>
          <w:lang w:val="ro-RO"/>
        </w:rPr>
      </w:pPr>
      <w:r w:rsidRPr="00AD134A">
        <w:rPr>
          <w:rStyle w:val="Fontdeparagrafimplicit"/>
          <w:rFonts w:ascii="Bookman Old Style" w:hAnsi="Bookman Old Style"/>
          <w:lang w:val="ro-RO"/>
        </w:rPr>
        <w:t xml:space="preserve">    Alin. (3) al textului arată că sunt discriminatorii prevederile, criteriile sau practicile aparent neutre care dezavantajează anumite persoane, pe baza criteriilor prevăzute la alin. (1), faţă de alte persoane, în afara cazului în care aceste prevederi, criterii sau practici sunt justificate obiectiv de un scop legitim, iar metodele de atingere a acelui scop sunt adecvate şi necesare;</w:t>
      </w:r>
    </w:p>
    <w:p w:rsidRPr="00AD134A" w:rsidR="00246E68" w14:paraId="26191791"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 </w:t>
      </w:r>
      <w:r w:rsidRPr="00AD134A">
        <w:rPr>
          <w:rStyle w:val="Fontdeparagrafimplicit"/>
          <w:rFonts w:ascii="Bookman Old Style" w:hAnsi="Bookman Old Style"/>
          <w:vanish/>
          <w:lang w:val="pt-PT"/>
        </w:rPr>
        <w:t>&lt;LLNK 12007    10130 302   1 43&gt;</w:t>
      </w:r>
      <w:r w:rsidRPr="00AD134A">
        <w:rPr>
          <w:rStyle w:val="Fontdeparagrafimplicit"/>
          <w:rFonts w:ascii="Bookman Old Style" w:hAnsi="Bookman Old Style"/>
          <w:color w:val="0000FF"/>
          <w:u w:val="single"/>
          <w:lang w:val="pt-PT"/>
        </w:rPr>
        <w:t>art. 1 din Ordonanţa Guvernului nr. 10/2007</w:t>
      </w:r>
      <w:r w:rsidRPr="00AD134A">
        <w:rPr>
          <w:rStyle w:val="Fontdeparagrafimplicit"/>
          <w:rFonts w:ascii="Bookman Old Style" w:hAnsi="Bookman Old Style"/>
          <w:lang w:val="pt-PT"/>
        </w:rPr>
        <w:t xml:space="preserve">, conform căruia în anul 2007 salariile de bază ale personalului contractual din sectorul bugetar, stabilite potrivit </w:t>
      </w:r>
      <w:r w:rsidRPr="00AD134A">
        <w:rPr>
          <w:rStyle w:val="Fontdeparagrafimplicit"/>
          <w:rFonts w:ascii="Bookman Old Style" w:hAnsi="Bookman Old Style"/>
          <w:vanish/>
          <w:lang w:val="pt-PT"/>
        </w:rPr>
        <w:t>&lt;LLNK 12000    24180 301   0 46&gt;</w:t>
      </w:r>
      <w:r w:rsidRPr="00AD134A">
        <w:rPr>
          <w:rStyle w:val="Fontdeparagrafimplicit"/>
          <w:rFonts w:ascii="Bookman Old Style" w:hAnsi="Bookman Old Style"/>
          <w:color w:val="0000FF"/>
          <w:u w:val="single"/>
          <w:lang w:val="pt-PT"/>
        </w:rPr>
        <w:t>Ordonanţei de urgenţă a Guvernului nr. 24/2000</w:t>
      </w:r>
      <w:r w:rsidRPr="00AD134A">
        <w:rPr>
          <w:rStyle w:val="Fontdeparagrafimplicit"/>
          <w:rFonts w:ascii="Bookman Old Style" w:hAnsi="Bookman Old Style"/>
          <w:lang w:val="pt-PT"/>
        </w:rPr>
        <w:t xml:space="preserve"> privind sistemul de stabilire a salariilor de bază pentru personalul contractual din sectorul bugetar, </w:t>
      </w:r>
      <w:r w:rsidRPr="00AD134A">
        <w:rPr>
          <w:rStyle w:val="Fontdeparagrafimplicit"/>
          <w:rFonts w:ascii="Bookman Old Style" w:hAnsi="Bookman Old Style"/>
          <w:lang w:val="pt-PT"/>
        </w:rPr>
        <w:t xml:space="preserve">aprobată prin </w:t>
      </w:r>
      <w:r w:rsidRPr="00AD134A">
        <w:rPr>
          <w:rStyle w:val="Fontdeparagrafimplicit"/>
          <w:rFonts w:ascii="Bookman Old Style" w:hAnsi="Bookman Old Style"/>
          <w:vanish/>
          <w:lang w:val="pt-PT"/>
        </w:rPr>
        <w:t>&lt;LLNK 12001   383 10 201   0 18&gt;</w:t>
      </w:r>
      <w:r w:rsidRPr="00AD134A">
        <w:rPr>
          <w:rStyle w:val="Fontdeparagrafimplicit"/>
          <w:rFonts w:ascii="Bookman Old Style" w:hAnsi="Bookman Old Style"/>
          <w:color w:val="0000FF"/>
          <w:u w:val="single"/>
          <w:lang w:val="pt-PT"/>
        </w:rPr>
        <w:t>Legea nr. 383/2001</w:t>
      </w:r>
      <w:r w:rsidRPr="00AD134A">
        <w:rPr>
          <w:rStyle w:val="Fontdeparagrafimplicit"/>
          <w:rFonts w:ascii="Bookman Old Style" w:hAnsi="Bookman Old Style"/>
          <w:lang w:val="pt-PT"/>
        </w:rPr>
        <w:t xml:space="preserve">, cu modificările şi completările ulterioare, precum şi indemnizaţiile personalului care ocupă funcţii de demnitate publică, stabilite potrivit anexelor nr. II şi III la </w:t>
      </w:r>
      <w:r w:rsidRPr="00AD134A">
        <w:rPr>
          <w:rStyle w:val="Fontdeparagrafimplicit"/>
          <w:rFonts w:ascii="Bookman Old Style" w:hAnsi="Bookman Old Style"/>
          <w:vanish/>
          <w:lang w:val="pt-PT"/>
        </w:rPr>
        <w:t>&lt;LLNK 11998   154 10 201   0 18&gt;</w:t>
      </w:r>
      <w:r w:rsidRPr="00AD134A">
        <w:rPr>
          <w:rStyle w:val="Fontdeparagrafimplicit"/>
          <w:rFonts w:ascii="Bookman Old Style" w:hAnsi="Bookman Old Style"/>
          <w:color w:val="0000FF"/>
          <w:u w:val="single"/>
          <w:lang w:val="pt-PT"/>
        </w:rPr>
        <w:t>Legea nr. 154/1998</w:t>
      </w:r>
      <w:r w:rsidRPr="00AD134A">
        <w:rPr>
          <w:rStyle w:val="Fontdeparagrafimplicit"/>
          <w:rFonts w:ascii="Bookman Old Style" w:hAnsi="Bookman Old Style"/>
          <w:lang w:val="pt-PT"/>
        </w:rPr>
        <w:t xml:space="preserve"> privind sistemul de stabilire a salariilor de bază în sectorul bugetar şi a indemnizaţiilor pentru persoane care ocupă funcţii de demnitate publică, cu modificările şi completările ulterioare, astfel cum au fost majorate potrivit </w:t>
      </w:r>
      <w:r w:rsidRPr="00AD134A">
        <w:rPr>
          <w:rStyle w:val="Fontdeparagrafimplicit"/>
          <w:rFonts w:ascii="Bookman Old Style" w:hAnsi="Bookman Old Style"/>
          <w:vanish/>
          <w:lang w:val="pt-PT"/>
        </w:rPr>
        <w:t>&lt;LLNK 12006     3130 301   0 32&gt;</w:t>
      </w:r>
      <w:r w:rsidRPr="00AD134A">
        <w:rPr>
          <w:rStyle w:val="Fontdeparagrafimplicit"/>
          <w:rFonts w:ascii="Bookman Old Style" w:hAnsi="Bookman Old Style"/>
          <w:color w:val="0000FF"/>
          <w:u w:val="single"/>
          <w:lang w:val="pt-PT"/>
        </w:rPr>
        <w:t>Ordonanţei Guvernului nr. 3/2006</w:t>
      </w:r>
      <w:r w:rsidRPr="00AD134A">
        <w:rPr>
          <w:rStyle w:val="Fontdeparagrafimplicit"/>
          <w:rFonts w:ascii="Bookman Old Style" w:hAnsi="Bookman Old Style"/>
          <w:lang w:val="pt-PT"/>
        </w:rPr>
        <w:t xml:space="preserve">, aprobată cu modificări prin </w:t>
      </w:r>
      <w:r w:rsidRPr="00AD134A">
        <w:rPr>
          <w:rStyle w:val="Fontdeparagrafimplicit"/>
          <w:rFonts w:ascii="Bookman Old Style" w:hAnsi="Bookman Old Style"/>
          <w:vanish/>
          <w:lang w:val="pt-PT"/>
        </w:rPr>
        <w:t>&lt;LLNK 12006   323 10 201   0 18&gt;</w:t>
      </w:r>
      <w:r w:rsidRPr="00AD134A">
        <w:rPr>
          <w:rStyle w:val="Fontdeparagrafimplicit"/>
          <w:rFonts w:ascii="Bookman Old Style" w:hAnsi="Bookman Old Style"/>
          <w:color w:val="0000FF"/>
          <w:u w:val="single"/>
          <w:lang w:val="pt-PT"/>
        </w:rPr>
        <w:t>Legea nr. 323/2006</w:t>
      </w:r>
      <w:r w:rsidRPr="00AD134A">
        <w:rPr>
          <w:rStyle w:val="Fontdeparagrafimplicit"/>
          <w:rFonts w:ascii="Bookman Old Style" w:hAnsi="Bookman Old Style"/>
          <w:lang w:val="pt-PT"/>
        </w:rPr>
        <w:t>, avute la data de 31 decembrie 2006, se majorează în 3 etape, astfel:</w:t>
      </w:r>
    </w:p>
    <w:p w:rsidRPr="00AD134A" w:rsidR="00246E68" w14:paraId="2BA9D884"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a) cu 5%, începând cu data de 1 ianuarie 2007, faţă de nivelul din luna decembrie 2006;</w:t>
      </w:r>
    </w:p>
    <w:p w:rsidRPr="00AD134A" w:rsidR="00246E68" w14:paraId="2DE401F7"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b) cu 2%, începând cu data de 1 aprilie 2007, faţă de nivelul din luna martie 2007;</w:t>
      </w:r>
    </w:p>
    <w:p w:rsidRPr="00AD134A" w:rsidR="00246E68" w14:paraId="1F2C3B8C"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c) cu 11%, începând cu data de 1 octombrie 2007, faţă de nivelul din luna septembrie 2007;</w:t>
      </w:r>
    </w:p>
    <w:p w:rsidRPr="00AD134A" w:rsidR="00246E68" w14:paraId="7EF52307"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 </w:t>
      </w:r>
      <w:r w:rsidRPr="00AD134A">
        <w:rPr>
          <w:rStyle w:val="Fontdeparagrafimplicit"/>
          <w:rFonts w:ascii="Bookman Old Style" w:hAnsi="Bookman Old Style"/>
          <w:vanish/>
          <w:lang w:val="pt-PT"/>
        </w:rPr>
        <w:t>&lt;LLNK 12006    27180 302  35 57&gt;</w:t>
      </w:r>
      <w:r w:rsidRPr="00AD134A">
        <w:rPr>
          <w:rStyle w:val="Fontdeparagrafimplicit"/>
          <w:rFonts w:ascii="Bookman Old Style" w:hAnsi="Bookman Old Style"/>
          <w:color w:val="0000FF"/>
          <w:u w:val="single"/>
          <w:lang w:val="pt-PT"/>
        </w:rPr>
        <w:t>art. 35 din Ordonanţa de urgenţă a Guvernului nr. 27/2006</w:t>
      </w:r>
      <w:r w:rsidRPr="00AD134A">
        <w:rPr>
          <w:rStyle w:val="Fontdeparagrafimplicit"/>
          <w:rFonts w:ascii="Bookman Old Style" w:hAnsi="Bookman Old Style"/>
          <w:lang w:val="pt-PT"/>
        </w:rPr>
        <w:t xml:space="preserve"> privind salarizarea şi alte drepturi ale judecătorilor, procurorilor şi altor categorii de personal din sistemul justiţiei, conform căruia drepturile de salarizare prevăzute de prezenta ordonanţă de urgenţă sunt brute şi impozabile. Acestea vor fi actualizate prin aplicarea indexărilor acordate în conformitate cu prevederile legale.</w:t>
      </w:r>
    </w:p>
    <w:p w:rsidRPr="00AD134A" w:rsidR="00246E68" w14:paraId="1D4DB416"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Înalta Curte consideră că trebuie avută în vedere şi jurisprudenţa Curţii Constituţionale.</w:t>
      </w:r>
    </w:p>
    <w:p w:rsidRPr="00AD134A" w:rsidR="00246E68" w14:paraId="4902833D"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Prin </w:t>
      </w:r>
      <w:r w:rsidRPr="00AD134A">
        <w:rPr>
          <w:rStyle w:val="Fontdeparagrafimplicit"/>
          <w:rFonts w:ascii="Bookman Old Style" w:hAnsi="Bookman Old Style"/>
          <w:vanish/>
          <w:lang w:val="pt-PT"/>
        </w:rPr>
        <w:t>&lt;LLNK 12008   8181701701   0 38&gt;</w:t>
      </w:r>
      <w:r w:rsidRPr="00AD134A">
        <w:rPr>
          <w:rStyle w:val="Fontdeparagrafimplicit"/>
          <w:rFonts w:ascii="Bookman Old Style" w:hAnsi="Bookman Old Style"/>
          <w:color w:val="0000FF"/>
          <w:u w:val="single"/>
          <w:lang w:val="pt-PT"/>
        </w:rPr>
        <w:t>deciziile nr. 818-820 din 3 iulie 2008</w:t>
      </w:r>
      <w:r w:rsidRPr="00AD134A">
        <w:rPr>
          <w:rStyle w:val="Fontdeparagrafimplicit"/>
          <w:rFonts w:ascii="Bookman Old Style" w:hAnsi="Bookman Old Style"/>
          <w:lang w:val="pt-PT"/>
        </w:rPr>
        <w:t xml:space="preserve">, publicate în Monitorul Oficial al României, Partea I, nr. 537 din 16 iulie 2008, Curtea Constituţională a admis excepţia de neconstituţionalitate ridicată de Ministerul Justiţiei şi a constatat că prevederile art. 1, art. 2 alin. (3) şi </w:t>
      </w:r>
      <w:r w:rsidRPr="00AD134A">
        <w:rPr>
          <w:rStyle w:val="Fontdeparagrafimplicit"/>
          <w:rFonts w:ascii="Bookman Old Style" w:hAnsi="Bookman Old Style"/>
          <w:vanish/>
          <w:lang w:val="pt-PT"/>
        </w:rPr>
        <w:t>&lt;LLNK 12000   137131 302  27 55&gt;</w:t>
      </w:r>
      <w:r w:rsidRPr="00AD134A">
        <w:rPr>
          <w:rStyle w:val="Fontdeparagrafimplicit"/>
          <w:rFonts w:ascii="Bookman Old Style" w:hAnsi="Bookman Old Style"/>
          <w:color w:val="0000FF"/>
          <w:u w:val="single"/>
          <w:lang w:val="pt-PT"/>
        </w:rPr>
        <w:t>art. 27 alin. (1) din Ordonanţa Guvernului nr. 137/2000</w:t>
      </w:r>
      <w:r w:rsidRPr="00AD134A">
        <w:rPr>
          <w:rStyle w:val="Fontdeparagrafimplicit"/>
          <w:rFonts w:ascii="Bookman Old Style" w:hAnsi="Bookman Old Style"/>
          <w:lang w:val="pt-PT"/>
        </w:rPr>
        <w:t xml:space="preserve"> privind prevenirea şi sancţionarea tuturor formelor de discriminare, republicată, sunt neconstituţionale, în măsura în care din acestea se desprinde înţelesul că instanţele judecătoreşti au competenţa să anuleze ori să refuze aplicarea unor acte normative cu putere de lege, considerând că sunt discriminatorii, şi să le înlocuiască cu norme create pe cale judiciară sau cu prevederi cuprinse în alte acte normative.</w:t>
      </w:r>
    </w:p>
    <w:p w:rsidRPr="00E7041E" w:rsidR="00246E68" w14:paraId="00718D70" w14:textId="77777777">
      <w:pPr>
        <w:jc w:val="both"/>
        <w:rPr>
          <w:rStyle w:val="Fontdeparagrafimplicit"/>
          <w:rFonts w:ascii="Bookman Old Style" w:hAnsi="Bookman Old Style"/>
          <w:lang w:val="ro-RO"/>
        </w:rPr>
      </w:pPr>
      <w:r w:rsidRPr="00E7041E">
        <w:rPr>
          <w:rStyle w:val="Fontdeparagrafimplicit"/>
          <w:rFonts w:ascii="Bookman Old Style" w:hAnsi="Bookman Old Style"/>
          <w:lang w:val="ro-RO"/>
        </w:rPr>
        <w:t xml:space="preserve">    În considerentele deciziilor s-a reţinut că prevederile art. 1, art. 2 alin. (3) şi </w:t>
      </w:r>
      <w:r w:rsidRPr="00E7041E">
        <w:rPr>
          <w:rStyle w:val="Fontdeparagrafimplicit"/>
          <w:rFonts w:ascii="Bookman Old Style" w:hAnsi="Bookman Old Style"/>
          <w:vanish/>
          <w:lang w:val="ro-RO"/>
        </w:rPr>
        <w:t>&lt;LLNK 12000   137131 302  27 55&gt;</w:t>
      </w:r>
      <w:r w:rsidRPr="00E7041E">
        <w:rPr>
          <w:rStyle w:val="Fontdeparagrafimplicit"/>
          <w:rFonts w:ascii="Bookman Old Style" w:hAnsi="Bookman Old Style"/>
          <w:color w:val="0000FF"/>
          <w:u w:val="single"/>
          <w:lang w:val="ro-RO"/>
        </w:rPr>
        <w:t>art. 27 alin. (1) din Ordonanţa Guvernului nr. 137/2000</w:t>
      </w:r>
      <w:r w:rsidRPr="00E7041E">
        <w:rPr>
          <w:rStyle w:val="Fontdeparagrafimplicit"/>
          <w:rFonts w:ascii="Bookman Old Style" w:hAnsi="Bookman Old Style"/>
          <w:lang w:val="ro-RO"/>
        </w:rPr>
        <w:t xml:space="preserve"> lasă posibilitatea desprinderii unui înţeles neconstituţional, în virtutea căruia instanţele judecătoreşti au posibilitatea să anuleze prevederile legale pe care le consideră discriminatorii şi să le înlocuiască cu alte norme de aplicare generală, neavute în vedere de legiuitor sau instituite prin acte normative inaplicabile în cazurile deduse judecăţii.</w:t>
      </w:r>
    </w:p>
    <w:p w:rsidRPr="00E7041E" w:rsidR="00246E68" w14:paraId="1F4B9FBC" w14:textId="77777777">
      <w:pPr>
        <w:jc w:val="both"/>
        <w:rPr>
          <w:rStyle w:val="Fontdeparagrafimplicit"/>
          <w:rFonts w:ascii="Bookman Old Style" w:hAnsi="Bookman Old Style"/>
          <w:lang w:val="ro-RO"/>
        </w:rPr>
      </w:pPr>
      <w:r w:rsidRPr="00E7041E">
        <w:rPr>
          <w:rStyle w:val="Fontdeparagrafimplicit"/>
          <w:rFonts w:ascii="Bookman Old Style" w:hAnsi="Bookman Old Style"/>
          <w:lang w:val="ro-RO"/>
        </w:rPr>
        <w:t xml:space="preserve">    Art. 2 alin. (3) din ordonanţă caracterizează ca discriminatorii, între altele, prevederile care dezavantajează anumite persoane faţă de alte persoane, fără să facă vreo distincţie cu privire la natura juridică a acestor prevederi, ceea ce poate fi înţeles că se referă şi la acte normative cu putere de lege, cum sunt cele adoptate de Parlament şi ordonanţele Guvernului, emise în virtutea delegării legislative prevăzute de art. 115 din Constituţie.</w:t>
      </w:r>
    </w:p>
    <w:p w:rsidRPr="00AD134A" w:rsidR="00246E68" w14:paraId="333BC2EB" w14:textId="77777777">
      <w:pPr>
        <w:jc w:val="both"/>
        <w:rPr>
          <w:rStyle w:val="Fontdeparagrafimplicit"/>
          <w:rFonts w:ascii="Bookman Old Style" w:hAnsi="Bookman Old Style"/>
          <w:lang w:val="pt-PT"/>
        </w:rPr>
      </w:pPr>
      <w:r w:rsidRPr="00E7041E">
        <w:rPr>
          <w:rStyle w:val="Fontdeparagrafimplicit"/>
          <w:rFonts w:ascii="Bookman Old Style" w:hAnsi="Bookman Old Style"/>
          <w:lang w:val="ro-RO"/>
        </w:rPr>
        <w:t xml:space="preserve">    Luând în considerare şi dispoziţiile art. 27 alin. (1) din ordonanţă, prin care se instituie dreptul persoanei care se consideră discriminată de</w:t>
      </w:r>
      <w:r w:rsidRPr="00AD134A">
        <w:rPr>
          <w:rStyle w:val="Fontdeparagrafimplicit"/>
          <w:rFonts w:ascii="Bookman Old Style" w:hAnsi="Bookman Old Style"/>
          <w:lang w:val="pt-PT"/>
        </w:rPr>
        <w:t xml:space="preserve"> a cere instanţei de judecată, între altele, restabilirea situaţiei anterioare şi anularea situaţiei create prin discriminare, deci şi a prevederilor cu caracter discriminatoriu, instanţa de judecată poate să înţeleagă că are competenţa să anuleze o dispoziţie legală pe care o consideră discriminatorie şi pentru a restabili situaţia de echilibru între subiectele de drept, să instituie ea însăşi o normă juridică nediscriminatorie sau </w:t>
      </w:r>
      <w:r w:rsidRPr="00AD134A">
        <w:rPr>
          <w:rStyle w:val="Fontdeparagrafimplicit"/>
          <w:rFonts w:ascii="Bookman Old Style" w:hAnsi="Bookman Old Style"/>
          <w:lang w:val="pt-PT"/>
        </w:rPr>
        <w:t>să aplice dispoziţii prevăzute în acte normative aplicabile altor subiecte de drept, în raport cu care persoana care s-a adresat instanţei se consideră discriminată.</w:t>
      </w:r>
    </w:p>
    <w:p w:rsidRPr="00AD134A" w:rsidR="00246E68" w14:paraId="16B18BA0"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Un asemenea înţeles al dispoziţiilor ordonanţei, prin care se conferă instanţelor judecătoreşti competenţa de a desfiinţa norme juridice instituite prin lege şi de a crea în locul acestora alte norme sau de a le substitui cu norme cuprinse în alte acte normative, este evident neconstituţional, întrucât încalcă principiul separaţiei puterilor, consacrat în art. 1 alin. (4) din Constituţie, precum şi prevederile art. 61 alin. (1), conform cărora Parlamentul este unica autoritate legiuitoare a ţării.</w:t>
      </w:r>
    </w:p>
    <w:p w:rsidRPr="00AD134A" w:rsidR="00246E68" w14:paraId="34463794"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În virtutea textelor constituţionale menţionate, Parlamentul şi, prin delegare legislativă, în condiţiile art. 115 din Constituţie, Guvernul au competenţa de a institui, modifica şi abroga norme juridice de aplicare generală. Instanţele judecătoreşti nu au o asemenea competenţă, misiunea lor constituţională fiind aceea de a realiza justiţia - art. 126 alin. (1) din Legea fundamentală -, adică de a soluţiona, aplicând legea, litigiile dintre subiectele de drept cu privire la existenţa, întinderea şi exercitarea drepturilor lor subiective.</w:t>
      </w:r>
    </w:p>
    <w:p w:rsidRPr="00AD134A" w:rsidR="00246E68" w14:paraId="04CEFEAD"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În contextul expus, rezultă că este corectă opinia potrivit căreia magistraţii nu pot beneficia de drepturile </w:t>
      </w:r>
      <w:r w:rsidRPr="00AD134A">
        <w:rPr>
          <w:rStyle w:val="Fontdeparagrafimplicit"/>
          <w:rFonts w:ascii="Bookman Old Style" w:hAnsi="Bookman Old Style"/>
          <w:vanish/>
          <w:lang w:val="pt-PT"/>
        </w:rPr>
        <w:t>&lt;LLNK 12007    10130 301   0 33&gt;</w:t>
      </w:r>
      <w:r w:rsidRPr="00AD134A">
        <w:rPr>
          <w:rStyle w:val="Fontdeparagrafimplicit"/>
          <w:rFonts w:ascii="Bookman Old Style" w:hAnsi="Bookman Old Style"/>
          <w:color w:val="0000FF"/>
          <w:u w:val="single"/>
          <w:lang w:val="pt-PT"/>
        </w:rPr>
        <w:t>Ordonanţei Guvernului nr. 10/2007</w:t>
      </w:r>
      <w:r w:rsidRPr="00AD134A">
        <w:rPr>
          <w:rStyle w:val="Fontdeparagrafimplicit"/>
          <w:rFonts w:ascii="Bookman Old Style" w:hAnsi="Bookman Old Style"/>
          <w:lang w:val="pt-PT"/>
        </w:rPr>
        <w:t>.</w:t>
      </w:r>
    </w:p>
    <w:p w:rsidRPr="00AD134A" w:rsidR="00246E68" w14:paraId="140CDCC6"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Principiul nediscriminării, care este înscris, practic, în toate tratatele şi documentele internaţionale de protecţie a drepturilor omului, presupune aplicarea unui tratament egal tuturor persoanelor care sunt egale în drepturi.</w:t>
      </w:r>
    </w:p>
    <w:p w:rsidRPr="00AD134A" w:rsidR="00246E68" w14:paraId="4C7E5050"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Conform art. 14 din Convenţia pentru apărarea drepturilor omului şi libertăţilor fundamentale, exercitarea drepturilor şi libertăţilor recunoscute de Convenţie trebuie să fie asigurată fără nicio deosebire bazată, în special, pe sex, rasă, culoare, limbă, religie, opinii politice sau orice alte opinii, origine naţională ori socială, apartenenţă la o minoritate naţională, avere, naştere sau orice altă situaţie.</w:t>
      </w:r>
    </w:p>
    <w:p w:rsidRPr="00AD134A" w:rsidR="00246E68" w14:paraId="24DBEDFC"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Legat de acest text, instanţa europeană a arătat că art. 14 nu poate fi interpretat în sensul că ar interzice orice discriminare bazată pe criteriile pe care le conţine sau pe altele cuprinse implicit în sintagma "orice altă situaţie" pentru că a distinge nu înseamnă a discrimina.</w:t>
      </w:r>
    </w:p>
    <w:p w:rsidRPr="00AD134A" w:rsidR="00246E68" w14:paraId="2445A155"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Diferenţa de tratament devine discriminare numai atunci când autorităţile statale introduc distincţii între situaţii analoage şi comparabile, fără ca acestea să se bazeze pe o justificare rezonabilă şi obiectivă.</w:t>
      </w:r>
    </w:p>
    <w:p w:rsidRPr="00AD134A" w:rsidR="00246E68" w14:paraId="1E4B09FB"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Ca atare, dacă art. 14 din Convenţia pentru apărarea drepturilor omului şi a libertăţilor fundamentale oferă o protecţie împotriva oricărei discriminări în exerciţiul drepturilor şi libertăţilor pe care Convenţia le garantează, orice diferenţă de tratament nu semnifică, automat, încălcarea sa.</w:t>
      </w:r>
    </w:p>
    <w:p w:rsidRPr="00AD134A" w:rsidR="00246E68" w14:paraId="3FCA9C54"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Pentru ca o asemenea încălcare să se producă, trebuie stabilit că persoane aflate în situaţii analoage şi comparabile beneficiază de un tratament preferenţial şi că această distincţie nu îşi găseşte nicio justificare obiectivă sau rezonabilă.</w:t>
      </w:r>
    </w:p>
    <w:p w:rsidRPr="00AD134A" w:rsidR="00246E68" w14:paraId="5ADC1A8E"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Totuşi, instanţa europeană a precizat, de asemenea, că statele contractante dispun de o anumită marjă de apreciere pentru a determina dacă şi în ce măsură diferenţele între situaţii analoage sau comparabile sunt de natură să justifice distincţiile de tratament juridic aplicate.</w:t>
      </w:r>
    </w:p>
    <w:p w:rsidRPr="00AD134A" w:rsidR="00246E68" w14:paraId="48F3A3D6"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Întinderea acestei marje depinde de circumstanţele concrete ale fiecărei cauze, de domeniul şi contextul în discuţie.</w:t>
      </w:r>
    </w:p>
    <w:p w:rsidRPr="00AD134A" w:rsidR="00246E68" w14:paraId="45E111F2"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Prin </w:t>
      </w:r>
      <w:r w:rsidRPr="00AD134A">
        <w:rPr>
          <w:rStyle w:val="Fontdeparagrafimplicit"/>
          <w:rFonts w:ascii="Bookman Old Style" w:hAnsi="Bookman Old Style"/>
          <w:vanish/>
          <w:lang w:val="pt-PT"/>
        </w:rPr>
        <w:t>&lt;LLNK 12007    10130 301   0 32&gt;</w:t>
      </w:r>
      <w:r w:rsidRPr="00AD134A">
        <w:rPr>
          <w:rStyle w:val="Fontdeparagrafimplicit"/>
          <w:rFonts w:ascii="Bookman Old Style" w:hAnsi="Bookman Old Style"/>
          <w:color w:val="0000FF"/>
          <w:u w:val="single"/>
          <w:lang w:val="pt-PT"/>
        </w:rPr>
        <w:t>Ordonanţa Guvernului nr. 10/2007</w:t>
      </w:r>
      <w:r w:rsidRPr="00AD134A">
        <w:rPr>
          <w:rStyle w:val="Fontdeparagrafimplicit"/>
          <w:rFonts w:ascii="Bookman Old Style" w:hAnsi="Bookman Old Style"/>
          <w:lang w:val="pt-PT"/>
        </w:rPr>
        <w:t xml:space="preserve"> s-a prevăzut majorarea salariului de bază al personalului contractual din sectorul bugetar anume prevăzut în art. 1, magistraţii nefigurând în această enumerare.</w:t>
      </w:r>
    </w:p>
    <w:p w:rsidRPr="00AD134A" w:rsidR="00246E68" w14:paraId="667A5C82"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Împrejurarea că şi magistraţii sunt bugetari, asemenea celor vizaţi de actul normativ menţionat, nu înseamnă că s-a produs o discriminare între categorii de bugetari, tocmai pentru că situaţiile în discuţie nu sunt analoage şi comparabile. </w:t>
      </w:r>
      <w:r w:rsidRPr="00AD134A">
        <w:rPr>
          <w:rStyle w:val="Fontdeparagrafimplicit"/>
          <w:rFonts w:ascii="Bookman Old Style" w:hAnsi="Bookman Old Style"/>
          <w:lang w:val="pt-PT"/>
        </w:rPr>
        <w:t>Ar fi fost discriminare numai dacă ordonanţa s-ar fi aplicat unor magistraţi, excluzând de la incidenţa ei alţi magistraţi. Or, magistraţii fac parte dintr-o categorie profesională diferită de cele care au beneficiat de majorările salariale anuale, astfel că regulile în ceea ce îi priveşte pot fi diferite.</w:t>
      </w:r>
    </w:p>
    <w:p w:rsidRPr="00AD134A" w:rsidR="00246E68" w14:paraId="7F3BE122"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Faptul că </w:t>
      </w:r>
      <w:r w:rsidRPr="00AD134A">
        <w:rPr>
          <w:rStyle w:val="Fontdeparagrafimplicit"/>
          <w:rFonts w:ascii="Bookman Old Style" w:hAnsi="Bookman Old Style"/>
          <w:vanish/>
          <w:lang w:val="pt-PT"/>
        </w:rPr>
        <w:t>&lt;LLNK 12006    27180 302  35 57&gt;</w:t>
      </w:r>
      <w:r w:rsidRPr="00AD134A">
        <w:rPr>
          <w:rStyle w:val="Fontdeparagrafimplicit"/>
          <w:rFonts w:ascii="Bookman Old Style" w:hAnsi="Bookman Old Style"/>
          <w:color w:val="0000FF"/>
          <w:u w:val="single"/>
          <w:lang w:val="pt-PT"/>
        </w:rPr>
        <w:t>art. 35 din Ordonanţa de urgenţă a Guvernului nr. 27/2006</w:t>
      </w:r>
      <w:r w:rsidRPr="00AD134A">
        <w:rPr>
          <w:rStyle w:val="Fontdeparagrafimplicit"/>
          <w:rFonts w:ascii="Bookman Old Style" w:hAnsi="Bookman Old Style"/>
          <w:lang w:val="pt-PT"/>
        </w:rPr>
        <w:t xml:space="preserve"> privind salarizarea şi alte drepturi ale judecătorilor, procurorilor şi altor categorii de personal din sistemul justiţiei, în vigoare la data apariţiei </w:t>
      </w:r>
      <w:r w:rsidRPr="00AD134A">
        <w:rPr>
          <w:rStyle w:val="Fontdeparagrafimplicit"/>
          <w:rFonts w:ascii="Bookman Old Style" w:hAnsi="Bookman Old Style"/>
          <w:vanish/>
          <w:lang w:val="pt-PT"/>
        </w:rPr>
        <w:t>&lt;LLNK 12007    10130 301   0 33&gt;</w:t>
      </w:r>
      <w:r w:rsidRPr="00AD134A">
        <w:rPr>
          <w:rStyle w:val="Fontdeparagrafimplicit"/>
          <w:rFonts w:ascii="Bookman Old Style" w:hAnsi="Bookman Old Style"/>
          <w:color w:val="0000FF"/>
          <w:u w:val="single"/>
          <w:lang w:val="pt-PT"/>
        </w:rPr>
        <w:t>Ordonanţei Guvernului nr. 10/2007</w:t>
      </w:r>
      <w:r w:rsidRPr="00AD134A">
        <w:rPr>
          <w:rStyle w:val="Fontdeparagrafimplicit"/>
          <w:rFonts w:ascii="Bookman Old Style" w:hAnsi="Bookman Old Style"/>
          <w:lang w:val="pt-PT"/>
        </w:rPr>
        <w:t>, arăta că drepturile de salarizare ale categoriilor de persoane la care se referă vor fi actualizate prin aplicarea indexărilor acordate în conformitate cu prevederile legale nu poate conduce la concluzia exprimată în opinia majoritară. Aceasta, deoarece textul se referă la aplicarea indexărilor acordate în conformitate cu prevederile legale, or prevederile legale invocate sunt tocmai cele care nu recunosc şi magistraţilor dreptul la indexările acordate altor bugetari.</w:t>
      </w:r>
    </w:p>
    <w:p w:rsidRPr="00AD134A" w:rsidR="00246E68" w14:paraId="3738C37F"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Magistraţii beneficiază de drepturile stabilite prin legea specială de salarizare, fără a putea pretinde, în lipsa unor dispoziţii legale, alte drepturi.</w:t>
      </w:r>
    </w:p>
    <w:p w:rsidRPr="00AD134A" w:rsidR="00246E68" w14:paraId="17B0B994"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    În consecinţă, urmează a se admite recursul în interesul legii formulat de Colegiul de conducere al Înaltei Curţi de Casaţie şi Justiţie, în sensul că dispoziţiile </w:t>
      </w:r>
      <w:r w:rsidRPr="00AD134A">
        <w:rPr>
          <w:rStyle w:val="Fontdeparagrafimplicit"/>
          <w:rFonts w:ascii="Bookman Old Style" w:hAnsi="Bookman Old Style"/>
          <w:vanish/>
          <w:lang w:val="pt-PT"/>
        </w:rPr>
        <w:t>&lt;LLNK 12007    10130 301   0 33&gt;</w:t>
      </w:r>
      <w:r w:rsidRPr="00AD134A">
        <w:rPr>
          <w:rStyle w:val="Fontdeparagrafimplicit"/>
          <w:rFonts w:ascii="Bookman Old Style" w:hAnsi="Bookman Old Style"/>
          <w:color w:val="0000FF"/>
          <w:u w:val="single"/>
          <w:lang w:val="pt-PT"/>
        </w:rPr>
        <w:t>Ordonanţei Guvernului nr. 10/2007</w:t>
      </w:r>
      <w:r w:rsidRPr="00AD134A">
        <w:rPr>
          <w:rStyle w:val="Fontdeparagrafimplicit"/>
          <w:rFonts w:ascii="Bookman Old Style" w:hAnsi="Bookman Old Style"/>
          <w:lang w:val="pt-PT"/>
        </w:rPr>
        <w:t xml:space="preserve"> privind creşterile salariale ce se vor acorda în anul 2007 personalului bugetar salarizat potrivit </w:t>
      </w:r>
      <w:r w:rsidRPr="00AD134A">
        <w:rPr>
          <w:rStyle w:val="Fontdeparagrafimplicit"/>
          <w:rFonts w:ascii="Bookman Old Style" w:hAnsi="Bookman Old Style"/>
          <w:vanish/>
          <w:lang w:val="pt-PT"/>
        </w:rPr>
        <w:t>&lt;LLNK 12000    24180 301   0 46&gt;</w:t>
      </w:r>
      <w:r w:rsidRPr="00AD134A">
        <w:rPr>
          <w:rStyle w:val="Fontdeparagrafimplicit"/>
          <w:rFonts w:ascii="Bookman Old Style" w:hAnsi="Bookman Old Style"/>
          <w:color w:val="0000FF"/>
          <w:u w:val="single"/>
          <w:lang w:val="pt-PT"/>
        </w:rPr>
        <w:t>Ordonanţei de urgenţă a Guvernului nr. 24/2000</w:t>
      </w:r>
      <w:r w:rsidRPr="00AD134A">
        <w:rPr>
          <w:rStyle w:val="Fontdeparagrafimplicit"/>
          <w:rFonts w:ascii="Bookman Old Style" w:hAnsi="Bookman Old Style"/>
          <w:lang w:val="pt-PT"/>
        </w:rPr>
        <w:t xml:space="preserve"> privind sistemul de stabilire a salariilor de bază pentru personalul contractual din sectorul bugetar şi personalului salarizat potrivit anexelor nr. II şi III la </w:t>
      </w:r>
      <w:r w:rsidRPr="00AD134A">
        <w:rPr>
          <w:rStyle w:val="Fontdeparagrafimplicit"/>
          <w:rFonts w:ascii="Bookman Old Style" w:hAnsi="Bookman Old Style"/>
          <w:vanish/>
          <w:lang w:val="pt-PT"/>
        </w:rPr>
        <w:t>&lt;LLNK 11998   154 10 201   0 18&gt;</w:t>
      </w:r>
      <w:r w:rsidRPr="00AD134A">
        <w:rPr>
          <w:rStyle w:val="Fontdeparagrafimplicit"/>
          <w:rFonts w:ascii="Bookman Old Style" w:hAnsi="Bookman Old Style"/>
          <w:color w:val="0000FF"/>
          <w:u w:val="single"/>
          <w:lang w:val="pt-PT"/>
        </w:rPr>
        <w:t>Legea nr. 154/1998</w:t>
      </w:r>
      <w:r w:rsidRPr="00AD134A">
        <w:rPr>
          <w:rStyle w:val="Fontdeparagrafimplicit"/>
          <w:rFonts w:ascii="Bookman Old Style" w:hAnsi="Bookman Old Style"/>
          <w:lang w:val="pt-PT"/>
        </w:rPr>
        <w:t xml:space="preserve"> privind sistemul de stabilire a salariilor de bază în sectorul bugetar şi a indemnizaţiilor pentru persoane care ocupă funcţii de demnitate publică se interpretează în sensul că nu se aplică şi magistraţilor.”</w:t>
      </w:r>
    </w:p>
    <w:p w:rsidRPr="00AD134A" w:rsidR="00246E68" w14:paraId="71CC1F74"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ab/>
        <w:t>Or, deşi decizia amintită mai sus tranşează problema îndreptăţirii magistraţilor la drepturile pretinse de intervenienţii recurenţi, problema de drept lămurită prin mecanismul recursului în interesul legii este pe deplin aplicabilă în cauză, argumentele invocate în cele două situaţii fiind aceleaşi.</w:t>
      </w:r>
    </w:p>
    <w:p w:rsidRPr="00AD134A" w:rsidR="00246E68" w14:paraId="3EDFAA4A"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ab/>
        <w:t xml:space="preserve">În lumina dispoziţiilor art. 329 C.pr.civilă, dezlegarea dată problemelor de drept judecate în cadrul unui recurs în interesul legii este obligatorie pentru instanţe. Aşa fiind, nu pot fi reţinute criticile recurenţilor care tind spre o altă interpretare şi aplicare a normelor de drept invocate în susţinerea acţiunii decât cea reţinută de Înalta Curte de Casaţie şi Justiţie. </w:t>
      </w:r>
    </w:p>
    <w:p w:rsidRPr="00AD134A" w:rsidR="00246E68" w14:paraId="2594AA2F" w14:textId="77777777">
      <w:pPr>
        <w:jc w:val="both"/>
        <w:rPr>
          <w:rStyle w:val="Fontdeparagrafimplicit"/>
          <w:rFonts w:ascii="Bookman Old Style" w:hAnsi="Bookman Old Style"/>
          <w:lang w:val="pt-PT"/>
        </w:rPr>
      </w:pPr>
      <w:r w:rsidRPr="00AD134A">
        <w:rPr>
          <w:rStyle w:val="Fontdeparagrafimplicit"/>
          <w:rFonts w:ascii="Bookman Old Style" w:hAnsi="Bookman Old Style"/>
          <w:lang w:val="pt-PT"/>
        </w:rPr>
        <w:tab/>
        <w:t>Astfel, după cum a reţinut Înalta Curte de Casaţie şi Justiţie, magistraţii, dar şi personalul auxiliar de specialitate,  beneficiază de drepturile stabilite prin legea specială de salarizare, fără a putea pretinde, în lipsa unor dispoziţii legale, alte drepturi, neputându-se reţine existenţa unei discriminări.</w:t>
      </w:r>
    </w:p>
    <w:p w:rsidRPr="00AD134A" w:rsidR="00246E68" w14:paraId="5351839F" w14:textId="1CF31A10">
      <w:pPr>
        <w:ind w:firstLine="708"/>
        <w:jc w:val="both"/>
        <w:rPr>
          <w:rStyle w:val="Fontdeparagrafimplicit"/>
          <w:rFonts w:ascii="Bookman Old Style" w:hAnsi="Bookman Old Style"/>
          <w:lang w:val="pt-PT"/>
        </w:rPr>
      </w:pPr>
      <w:r w:rsidRPr="00AD134A">
        <w:rPr>
          <w:rStyle w:val="Fontdeparagrafimplicit"/>
          <w:rFonts w:ascii="Bookman Old Style" w:hAnsi="Bookman Old Style"/>
          <w:lang w:val="pt-PT"/>
        </w:rPr>
        <w:tab/>
        <w:t xml:space="preserve">În consecinţă, faţă de considerentele mai sus arătate, în temeiul art. 312 alin.1 C.pr.civilă, curtea va respinge ca nefondat recursul declarat de intervenienţii </w:t>
      </w:r>
      <w:r w:rsidR="00E64B78">
        <w:rPr>
          <w:rStyle w:val="Fontdeparagrafimplicit"/>
          <w:rFonts w:ascii="Bookman Old Style" w:hAnsi="Bookman Old Style"/>
          <w:lang w:val="pt-PT"/>
        </w:rPr>
        <w:t>5</w:t>
      </w:r>
      <w:r w:rsidRPr="00AD134A">
        <w:rPr>
          <w:rStyle w:val="Fontdeparagrafimplicit"/>
          <w:rFonts w:ascii="Bookman Old Style" w:hAnsi="Bookman Old Style"/>
          <w:lang w:val="pt-PT"/>
        </w:rPr>
        <w:t xml:space="preserve">, ş.a., împotriva sentinţei civile nr.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din </w:t>
      </w:r>
      <w:r w:rsidR="00E64B78">
        <w:rPr>
          <w:rStyle w:val="Fontdeparagrafimplicit"/>
          <w:rFonts w:ascii="Bookman Old Style" w:hAnsi="Bookman Old Style"/>
          <w:lang w:val="pt-PT"/>
        </w:rPr>
        <w:t>.......</w:t>
      </w:r>
      <w:r w:rsidR="001D4422">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a Tribunalului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pronunţată în dosar nr. </w:t>
      </w:r>
      <w:r w:rsidR="00E64B78">
        <w:rPr>
          <w:rStyle w:val="Fontdeparagrafimplicit"/>
          <w:rFonts w:ascii="Bookman Old Style" w:hAnsi="Bookman Old Style"/>
          <w:lang w:val="pt-PT"/>
        </w:rPr>
        <w:t>7.1</w:t>
      </w:r>
      <w:r w:rsidRPr="00AD134A">
        <w:rPr>
          <w:rStyle w:val="Fontdeparagrafimplicit"/>
          <w:rFonts w:ascii="Bookman Old Style" w:hAnsi="Bookman Old Style"/>
          <w:lang w:val="pt-PT"/>
        </w:rPr>
        <w:t>* pe care o menţine.</w:t>
      </w:r>
    </w:p>
    <w:p w:rsidRPr="00AD134A" w:rsidR="00246E68" w14:paraId="79334D97" w14:textId="77777777">
      <w:pPr>
        <w:jc w:val="both"/>
        <w:rPr>
          <w:rStyle w:val="Fontdeparagrafimplicit"/>
          <w:rFonts w:ascii="Bookman Old Style" w:hAnsi="Bookman Old Style"/>
          <w:lang w:val="pt-PT"/>
        </w:rPr>
      </w:pPr>
    </w:p>
    <w:p w:rsidRPr="00AD134A" w:rsidR="00246E68" w14:paraId="40348A19" w14:textId="77777777">
      <w:pPr>
        <w:rPr>
          <w:rStyle w:val="Fontdeparagrafimplicit"/>
          <w:rFonts w:ascii="Bookman Old Style" w:hAnsi="Bookman Old Style"/>
          <w:lang w:val="pt-PT"/>
        </w:rPr>
      </w:pPr>
    </w:p>
    <w:p w:rsidRPr="00AD134A" w:rsidR="00246E68" w14:paraId="3AA2BED1" w14:textId="77777777">
      <w:pPr>
        <w:rPr>
          <w:rStyle w:val="Fontdeparagrafimplicit"/>
          <w:rFonts w:ascii="Bookman Old Style" w:hAnsi="Bookman Old Style"/>
          <w:lang w:val="pt-PT"/>
        </w:rPr>
      </w:pPr>
    </w:p>
    <w:p w:rsidRPr="00AD134A" w:rsidR="00246E68" w14:paraId="107F3AAF" w14:textId="77777777">
      <w:pPr>
        <w:jc w:val="center"/>
        <w:rPr>
          <w:rStyle w:val="Fontdeparagrafimplicit"/>
          <w:rFonts w:ascii="Bookman Old Style" w:hAnsi="Bookman Old Style"/>
          <w:lang w:val="pt-PT"/>
        </w:rPr>
      </w:pPr>
      <w:r w:rsidRPr="00AD134A">
        <w:rPr>
          <w:rStyle w:val="Fontdeparagrafimplicit"/>
          <w:rFonts w:ascii="Bookman Old Style" w:hAnsi="Bookman Old Style"/>
          <w:lang w:val="pt-PT"/>
        </w:rPr>
        <w:t>PENTRU ACESTE MOTIVE</w:t>
      </w:r>
    </w:p>
    <w:p w:rsidRPr="00AD134A" w:rsidR="00246E68" w14:paraId="7BFB0E7B" w14:textId="77777777">
      <w:pPr>
        <w:jc w:val="center"/>
        <w:rPr>
          <w:rStyle w:val="Fontdeparagrafimplicit"/>
          <w:rFonts w:ascii="Bookman Old Style" w:hAnsi="Bookman Old Style"/>
          <w:lang w:val="pt-PT"/>
        </w:rPr>
      </w:pPr>
      <w:r w:rsidRPr="00AD134A">
        <w:rPr>
          <w:rStyle w:val="Fontdeparagrafimplicit"/>
          <w:rFonts w:ascii="Bookman Old Style" w:hAnsi="Bookman Old Style"/>
          <w:lang w:val="pt-PT"/>
        </w:rPr>
        <w:t>ÎN NUMELE LEGII</w:t>
      </w:r>
    </w:p>
    <w:p w:rsidRPr="00AD134A" w:rsidR="00246E68" w14:paraId="69678CC0" w14:textId="77777777">
      <w:pPr>
        <w:jc w:val="center"/>
        <w:rPr>
          <w:rStyle w:val="Fontdeparagrafimplicit"/>
          <w:rFonts w:ascii="Bookman Old Style" w:hAnsi="Bookman Old Style"/>
          <w:lang w:val="pt-PT"/>
        </w:rPr>
      </w:pPr>
      <w:r w:rsidRPr="00AD134A">
        <w:rPr>
          <w:rStyle w:val="Fontdeparagrafimplicit"/>
          <w:rFonts w:ascii="Bookman Old Style" w:hAnsi="Bookman Old Style"/>
          <w:lang w:val="pt-PT"/>
        </w:rPr>
        <w:t>DECIDE :</w:t>
      </w:r>
    </w:p>
    <w:p w:rsidRPr="00AD134A" w:rsidR="00246E68" w14:paraId="448F9C8F" w14:textId="77777777">
      <w:pPr>
        <w:rPr>
          <w:rStyle w:val="Fontdeparagrafimplicit"/>
          <w:rFonts w:ascii="Bookman Old Style" w:hAnsi="Bookman Old Style"/>
          <w:lang w:val="pt-PT"/>
        </w:rPr>
      </w:pPr>
    </w:p>
    <w:p w:rsidRPr="00AD134A" w:rsidR="00246E68" w14:paraId="5475E89F" w14:textId="5D0F1307">
      <w:pPr>
        <w:ind w:firstLine="708"/>
        <w:jc w:val="both"/>
        <w:rPr>
          <w:rStyle w:val="Fontdeparagrafimplicit"/>
          <w:rFonts w:ascii="Bookman Old Style" w:hAnsi="Bookman Old Style"/>
          <w:lang w:val="pt-PT"/>
        </w:rPr>
      </w:pPr>
      <w:r w:rsidRPr="00AD134A">
        <w:rPr>
          <w:rStyle w:val="Fontdeparagrafimplicit"/>
          <w:rFonts w:ascii="Bookman Old Style" w:hAnsi="Bookman Old Style"/>
          <w:lang w:val="pt-PT"/>
        </w:rPr>
        <w:t xml:space="preserve">Respinge ca nefondat recursul declarat de intervenienţii </w:t>
      </w:r>
      <w:r w:rsidR="00E64B78">
        <w:rPr>
          <w:rStyle w:val="Fontdeparagrafimplicit"/>
          <w:rFonts w:ascii="Bookman Old Style" w:hAnsi="Bookman Old Style"/>
          <w:lang w:val="pt-PT"/>
        </w:rPr>
        <w:t>5</w:t>
      </w:r>
      <w:r w:rsidRPr="00AD134A">
        <w:rPr>
          <w:rStyle w:val="Fontdeparagrafimplicit"/>
          <w:rFonts w:ascii="Bookman Old Style" w:hAnsi="Bookman Old Style"/>
          <w:lang w:val="pt-PT"/>
        </w:rPr>
        <w:t xml:space="preserve">, ş.a., împotriva sentinţei civile nr.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din </w:t>
      </w:r>
      <w:r w:rsidR="001D4422">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a Tribunalului </w:t>
      </w:r>
      <w:r w:rsidR="00AD134A">
        <w:rPr>
          <w:rStyle w:val="Fontdeparagrafimplicit"/>
          <w:rFonts w:ascii="Bookman Old Style" w:hAnsi="Bookman Old Style"/>
          <w:lang w:val="pt-PT"/>
        </w:rPr>
        <w:t>..........</w:t>
      </w:r>
      <w:r w:rsidRPr="00AD134A">
        <w:rPr>
          <w:rStyle w:val="Fontdeparagrafimplicit"/>
          <w:rFonts w:ascii="Bookman Old Style" w:hAnsi="Bookman Old Style"/>
          <w:lang w:val="pt-PT"/>
        </w:rPr>
        <w:t xml:space="preserve"> pronunţată în dosar nr. </w:t>
      </w:r>
      <w:r w:rsidR="00E64B78">
        <w:rPr>
          <w:rStyle w:val="Fontdeparagrafimplicit"/>
          <w:rFonts w:ascii="Bookman Old Style" w:hAnsi="Bookman Old Style"/>
          <w:lang w:val="pt-PT"/>
        </w:rPr>
        <w:t>7.1</w:t>
      </w:r>
      <w:r w:rsidRPr="00AD134A">
        <w:rPr>
          <w:rStyle w:val="Fontdeparagrafimplicit"/>
          <w:rFonts w:ascii="Bookman Old Style" w:hAnsi="Bookman Old Style"/>
          <w:lang w:val="pt-PT"/>
        </w:rPr>
        <w:t>* pe care o menţine.</w:t>
      </w:r>
    </w:p>
    <w:p w:rsidRPr="00AD134A" w:rsidR="00246E68" w14:paraId="4A6A1153" w14:textId="77777777">
      <w:pPr>
        <w:ind w:firstLine="708"/>
        <w:rPr>
          <w:rStyle w:val="Fontdeparagrafimplicit"/>
          <w:rFonts w:ascii="Bookman Old Style" w:hAnsi="Bookman Old Style"/>
          <w:lang w:val="pt-PT"/>
        </w:rPr>
      </w:pPr>
      <w:r w:rsidRPr="00AD134A">
        <w:rPr>
          <w:rStyle w:val="Fontdeparagrafimplicit"/>
          <w:rFonts w:ascii="Bookman Old Style" w:hAnsi="Bookman Old Style"/>
          <w:lang w:val="pt-PT"/>
        </w:rPr>
        <w:t>Decizia este irevocabilă.</w:t>
      </w:r>
    </w:p>
    <w:p w:rsidRPr="00AD134A" w:rsidR="00246E68" w14:paraId="622776C4" w14:textId="5DBD5BE5">
      <w:pPr>
        <w:ind w:firstLine="708"/>
        <w:rPr>
          <w:rStyle w:val="Fontdeparagrafimplicit"/>
          <w:rFonts w:ascii="Bookman Old Style" w:hAnsi="Bookman Old Style"/>
          <w:lang w:val="pt-PT"/>
        </w:rPr>
      </w:pPr>
      <w:r w:rsidRPr="00AD134A">
        <w:rPr>
          <w:rStyle w:val="Fontdeparagrafimplicit"/>
          <w:rFonts w:ascii="Bookman Old Style" w:hAnsi="Bookman Old Style"/>
          <w:lang w:val="pt-PT"/>
        </w:rPr>
        <w:t xml:space="preserve">Dată şi pronunţată în şedinţa publică din </w:t>
      </w:r>
      <w:r w:rsidR="00E64B78">
        <w:rPr>
          <w:rStyle w:val="Fontdeparagrafimplicit"/>
          <w:rFonts w:ascii="Bookman Old Style" w:hAnsi="Bookman Old Style"/>
          <w:lang w:val="pt-PT"/>
        </w:rPr>
        <w:t>..............</w:t>
      </w:r>
      <w:r w:rsidRPr="00AD134A">
        <w:rPr>
          <w:rStyle w:val="Fontdeparagrafimplicit"/>
          <w:rFonts w:ascii="Bookman Old Style" w:hAnsi="Bookman Old Style"/>
          <w:lang w:val="pt-PT"/>
        </w:rPr>
        <w:t>.</w:t>
      </w:r>
    </w:p>
    <w:p w:rsidRPr="00AD134A" w:rsidR="00246E68" w14:paraId="1F042056" w14:textId="77777777">
      <w:pPr>
        <w:rPr>
          <w:rStyle w:val="Fontdeparagrafimplicit"/>
          <w:rFonts w:ascii="Bookman Old Style" w:hAnsi="Bookman Old Style"/>
          <w:lang w:val="pt-PT"/>
        </w:rPr>
      </w:pPr>
    </w:p>
    <w:p w:rsidRPr="00AD134A" w:rsidR="00246E68" w14:paraId="7C5942A1" w14:textId="77777777">
      <w:pPr>
        <w:rPr>
          <w:rStyle w:val="Fontdeparagrafimplicit"/>
          <w:rFonts w:ascii="Bookman Old Style" w:hAnsi="Bookman Old Style"/>
          <w:b/>
          <w:lang w:val="pt-PT"/>
        </w:rPr>
      </w:pPr>
      <w:r w:rsidRPr="00AD134A">
        <w:rPr>
          <w:rStyle w:val="Fontdeparagrafimplicit"/>
          <w:rFonts w:ascii="Bookman Old Style" w:hAnsi="Bookman Old Style"/>
          <w:b/>
          <w:lang w:val="pt-PT"/>
        </w:rPr>
        <w:t xml:space="preserve">       PREŞEDINTE</w:t>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t xml:space="preserve">  JUDECĂTORI</w:t>
      </w:r>
    </w:p>
    <w:p w:rsidRPr="00AD134A" w:rsidR="00246E68" w:rsidP="00E64B78" w14:paraId="075E0DF5" w14:textId="49976E0C">
      <w:pPr>
        <w:ind w:firstLine="720"/>
        <w:rPr>
          <w:rStyle w:val="Fontdeparagrafimplicit"/>
          <w:rFonts w:ascii="Bookman Old Style" w:hAnsi="Bookman Old Style"/>
          <w:b/>
          <w:lang w:val="pt-PT"/>
        </w:rPr>
      </w:pPr>
      <w:r>
        <w:rPr>
          <w:rStyle w:val="Fontdeparagrafimplicit"/>
          <w:rFonts w:ascii="Bookman Old Style" w:hAnsi="Bookman Old Style"/>
          <w:b/>
          <w:lang w:val="pt-PT"/>
        </w:rPr>
        <w:t>...............</w:t>
      </w:r>
      <w:r w:rsidRPr="00AD134A" w:rsidR="00E7041E">
        <w:rPr>
          <w:rStyle w:val="Fontdeparagrafimplicit"/>
          <w:rFonts w:ascii="Bookman Old Style" w:hAnsi="Bookman Old Style"/>
          <w:b/>
          <w:lang w:val="pt-PT"/>
        </w:rPr>
        <w:t xml:space="preserve">            </w:t>
      </w:r>
      <w:r>
        <w:rPr>
          <w:rStyle w:val="Fontdeparagrafimplicit"/>
          <w:rFonts w:ascii="Bookman Old Style" w:hAnsi="Bookman Old Style"/>
          <w:b/>
          <w:lang w:val="pt-PT"/>
        </w:rPr>
        <w:tab/>
      </w:r>
      <w:r>
        <w:rPr>
          <w:rStyle w:val="Fontdeparagrafimplicit"/>
          <w:rFonts w:ascii="Bookman Old Style" w:hAnsi="Bookman Old Style"/>
          <w:b/>
          <w:lang w:val="pt-PT"/>
        </w:rPr>
        <w:tab/>
      </w:r>
      <w:r w:rsidRPr="00AD134A" w:rsidR="00E7041E">
        <w:rPr>
          <w:rStyle w:val="Fontdeparagrafimplicit"/>
          <w:rFonts w:ascii="Bookman Old Style" w:hAnsi="Bookman Old Style"/>
          <w:b/>
          <w:lang w:val="pt-PT"/>
        </w:rPr>
        <w:t xml:space="preserve"> </w:t>
      </w:r>
      <w:r w:rsidR="00586608">
        <w:rPr>
          <w:rStyle w:val="Fontdeparagrafimplicit"/>
          <w:rFonts w:ascii="Bookman Old Style" w:hAnsi="Bookman Old Style"/>
          <w:b/>
          <w:lang w:val="pt-PT"/>
        </w:rPr>
        <w:tab/>
      </w:r>
      <w:r w:rsidR="00AD134A">
        <w:rPr>
          <w:rStyle w:val="Fontdeparagrafimplicit"/>
          <w:rFonts w:ascii="Bookman Old Style" w:hAnsi="Bookman Old Style"/>
          <w:b/>
          <w:lang w:val="pt-PT"/>
        </w:rPr>
        <w:t xml:space="preserve">................. </w:t>
      </w:r>
      <w:r w:rsidRPr="00AD134A" w:rsidR="00E7041E">
        <w:rPr>
          <w:rStyle w:val="Fontdeparagrafimplicit"/>
          <w:rFonts w:ascii="Bookman Old Style" w:hAnsi="Bookman Old Style"/>
          <w:b/>
          <w:lang w:val="pt-PT"/>
        </w:rPr>
        <w:t xml:space="preserve">    </w:t>
      </w:r>
      <w:r>
        <w:rPr>
          <w:rStyle w:val="Fontdeparagrafimplicit"/>
          <w:rFonts w:ascii="Bookman Old Style" w:hAnsi="Bookman Old Style"/>
          <w:b/>
          <w:lang w:val="pt-PT"/>
        </w:rPr>
        <w:t>A0019</w:t>
      </w:r>
    </w:p>
    <w:p w:rsidRPr="00AD134A" w:rsidR="00246E68" w14:paraId="3E4A2009" w14:textId="77777777">
      <w:pPr>
        <w:rPr>
          <w:rStyle w:val="Fontdeparagrafimplicit"/>
          <w:rFonts w:ascii="Bookman Old Style" w:hAnsi="Bookman Old Style"/>
          <w:b/>
          <w:lang w:val="pt-PT"/>
        </w:rPr>
      </w:pPr>
    </w:p>
    <w:p w:rsidRPr="00AD134A" w:rsidR="00246E68" w14:paraId="3CBBBD4E" w14:textId="77777777">
      <w:pPr>
        <w:rPr>
          <w:rStyle w:val="Fontdeparagrafimplicit"/>
          <w:rFonts w:ascii="Bookman Old Style" w:hAnsi="Bookman Old Style"/>
          <w:b/>
          <w:lang w:val="pt-PT"/>
        </w:rPr>
      </w:pPr>
    </w:p>
    <w:p w:rsidRPr="00AD134A" w:rsidR="00246E68" w14:paraId="095A307B" w14:textId="77777777">
      <w:pPr>
        <w:rPr>
          <w:rStyle w:val="Fontdeparagrafimplicit"/>
          <w:rFonts w:ascii="Bookman Old Style" w:hAnsi="Bookman Old Style"/>
          <w:b/>
          <w:lang w:val="pt-PT"/>
        </w:rPr>
      </w:pPr>
    </w:p>
    <w:p w:rsidRPr="00AD134A" w:rsidR="00246E68" w14:paraId="64029BAC" w14:textId="77777777">
      <w:pPr>
        <w:rPr>
          <w:rStyle w:val="Fontdeparagrafimplicit"/>
          <w:rFonts w:ascii="Bookman Old Style" w:hAnsi="Bookman Old Style"/>
          <w:b/>
          <w:lang w:val="pt-PT"/>
        </w:rPr>
      </w:pPr>
    </w:p>
    <w:p w:rsidRPr="00AD134A" w:rsidR="00246E68" w14:paraId="531B1024" w14:textId="77777777">
      <w:pPr>
        <w:rPr>
          <w:rStyle w:val="Fontdeparagrafimplicit"/>
          <w:rFonts w:ascii="Bookman Old Style" w:hAnsi="Bookman Old Style"/>
          <w:b/>
          <w:lang w:val="pt-PT"/>
        </w:rPr>
      </w:pPr>
    </w:p>
    <w:p w:rsidRPr="00AD134A" w:rsidR="00246E68" w14:paraId="50471C2E" w14:textId="77777777">
      <w:pPr>
        <w:rPr>
          <w:rStyle w:val="Fontdeparagrafimplicit"/>
          <w:rFonts w:ascii="Bookman Old Style" w:hAnsi="Bookman Old Style"/>
          <w:b/>
          <w:lang w:val="pt-PT"/>
        </w:rPr>
      </w:pP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t>GREFIER</w:t>
      </w:r>
    </w:p>
    <w:p w:rsidRPr="00AD134A" w:rsidR="00246E68" w14:paraId="5310E827" w14:textId="3985F2B6">
      <w:pPr>
        <w:rPr>
          <w:rStyle w:val="Fontdeparagrafimplicit"/>
          <w:rFonts w:ascii="Bookman Old Style" w:hAnsi="Bookman Old Style"/>
          <w:b/>
          <w:lang w:val="pt-PT"/>
        </w:rPr>
      </w:pP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Pr="00AD134A">
        <w:rPr>
          <w:rStyle w:val="Fontdeparagrafimplicit"/>
          <w:rFonts w:ascii="Bookman Old Style" w:hAnsi="Bookman Old Style"/>
          <w:b/>
          <w:lang w:val="pt-PT"/>
        </w:rPr>
        <w:tab/>
      </w:r>
      <w:r w:rsidR="00E64B78">
        <w:rPr>
          <w:rStyle w:val="Fontdeparagrafimplicit"/>
          <w:rFonts w:ascii="Bookman Old Style" w:hAnsi="Bookman Old Style"/>
          <w:b/>
          <w:lang w:val="pt-PT"/>
        </w:rPr>
        <w:t xml:space="preserve">      </w:t>
      </w:r>
      <w:r w:rsidRPr="00AD134A">
        <w:rPr>
          <w:rStyle w:val="Fontdeparagrafimplicit"/>
          <w:rFonts w:ascii="Bookman Old Style" w:hAnsi="Bookman Old Style"/>
          <w:b/>
          <w:lang w:val="pt-PT"/>
        </w:rPr>
        <w:t xml:space="preserve">   </w:t>
      </w:r>
      <w:r w:rsidR="00AD134A">
        <w:rPr>
          <w:rStyle w:val="Fontdeparagrafimplicit"/>
          <w:rFonts w:ascii="Bookman Old Style" w:hAnsi="Bookman Old Style"/>
          <w:b/>
          <w:lang w:val="pt-PT"/>
        </w:rPr>
        <w:t xml:space="preserve">.............. </w:t>
      </w:r>
    </w:p>
    <w:p w:rsidRPr="00AD134A" w:rsidR="00246E68" w14:paraId="4AA6F908" w14:textId="77777777">
      <w:pPr>
        <w:rPr>
          <w:rStyle w:val="Fontdeparagrafimplicit"/>
          <w:rFonts w:ascii="Bookman Old Style" w:hAnsi="Bookman Old Style"/>
          <w:b/>
          <w:lang w:val="pt-PT"/>
        </w:rPr>
      </w:pPr>
    </w:p>
    <w:p w:rsidRPr="00AD134A" w:rsidR="00246E68" w14:paraId="02AC9215" w14:textId="77777777">
      <w:pPr>
        <w:rPr>
          <w:rStyle w:val="Fontdeparagrafimplicit"/>
          <w:rFonts w:ascii="Bookman Old Style" w:hAnsi="Bookman Old Style"/>
          <w:b/>
          <w:sz w:val="20"/>
          <w:lang w:val="pt-PT"/>
        </w:rPr>
      </w:pPr>
    </w:p>
    <w:p w:rsidRPr="00AD134A" w:rsidR="00246E68" w14:paraId="316CF1DE" w14:textId="77777777">
      <w:pPr>
        <w:rPr>
          <w:rStyle w:val="Fontdeparagrafimplicit"/>
          <w:rFonts w:ascii="Bookman Old Style" w:hAnsi="Bookman Old Style"/>
          <w:b/>
          <w:sz w:val="20"/>
          <w:lang w:val="pt-PT"/>
        </w:rPr>
      </w:pPr>
    </w:p>
    <w:p w:rsidRPr="00AD134A" w:rsidR="00246E68" w14:paraId="3B879B02" w14:textId="7F4956F2">
      <w:pPr>
        <w:rPr>
          <w:rStyle w:val="Fontdeparagrafimplicit"/>
          <w:rFonts w:ascii="Bookman Old Style" w:hAnsi="Bookman Old Style"/>
          <w:sz w:val="20"/>
          <w:lang w:val="pt-PT"/>
        </w:rPr>
      </w:pPr>
      <w:r w:rsidRPr="00AD134A">
        <w:rPr>
          <w:rStyle w:val="Fontdeparagrafimplicit"/>
          <w:rFonts w:ascii="Bookman Old Style" w:hAnsi="Bookman Old Style"/>
          <w:sz w:val="20"/>
          <w:lang w:val="pt-PT"/>
        </w:rPr>
        <w:t>Red.</w:t>
      </w:r>
      <w:r w:rsidR="00E64B78">
        <w:rPr>
          <w:rStyle w:val="Fontdeparagrafimplicit"/>
          <w:rFonts w:ascii="Bookman Old Style" w:hAnsi="Bookman Old Style"/>
          <w:sz w:val="20"/>
          <w:lang w:val="pt-PT"/>
        </w:rPr>
        <w:t>A0019</w:t>
      </w:r>
      <w:r w:rsidRPr="00AD134A">
        <w:rPr>
          <w:rStyle w:val="Fontdeparagrafimplicit"/>
          <w:rFonts w:ascii="Bookman Old Style" w:hAnsi="Bookman Old Style"/>
          <w:sz w:val="20"/>
          <w:lang w:val="pt-PT"/>
        </w:rPr>
        <w:t>/</w:t>
      </w:r>
      <w:r w:rsidR="00E64B78">
        <w:rPr>
          <w:rStyle w:val="Fontdeparagrafimplicit"/>
          <w:rFonts w:ascii="Bookman Old Style" w:hAnsi="Bookman Old Style"/>
          <w:sz w:val="20"/>
          <w:lang w:val="pt-PT"/>
        </w:rPr>
        <w:t>............</w:t>
      </w:r>
      <w:r w:rsidRPr="00AD134A">
        <w:rPr>
          <w:rStyle w:val="Fontdeparagrafimplicit"/>
          <w:rFonts w:ascii="Bookman Old Style" w:hAnsi="Bookman Old Style"/>
          <w:sz w:val="20"/>
          <w:lang w:val="pt-PT"/>
        </w:rPr>
        <w:t xml:space="preserve"> </w:t>
      </w:r>
    </w:p>
    <w:p w:rsidRPr="00E64B78" w:rsidR="00246E68" w14:paraId="5C525F89" w14:textId="6BF6FC34">
      <w:pPr>
        <w:rPr>
          <w:rStyle w:val="Fontdeparagrafimplicit"/>
          <w:rFonts w:ascii="Bookman Old Style" w:hAnsi="Bookman Old Style"/>
          <w:sz w:val="20"/>
          <w:lang w:val="pt-PT"/>
        </w:rPr>
      </w:pPr>
      <w:r w:rsidRPr="00E64B78">
        <w:rPr>
          <w:rStyle w:val="Fontdeparagrafimplicit"/>
          <w:rFonts w:ascii="Bookman Old Style" w:hAnsi="Bookman Old Style"/>
          <w:sz w:val="20"/>
          <w:lang w:val="pt-PT"/>
        </w:rPr>
        <w:t>Dact.</w:t>
      </w:r>
      <w:r w:rsidR="00E64B78">
        <w:rPr>
          <w:rStyle w:val="Fontdeparagrafimplicit"/>
          <w:rFonts w:ascii="Bookman Old Style" w:hAnsi="Bookman Old Style"/>
          <w:sz w:val="20"/>
          <w:lang w:val="pt-PT"/>
        </w:rPr>
        <w:t>...........</w:t>
      </w:r>
      <w:r w:rsidRPr="00E64B78">
        <w:rPr>
          <w:rStyle w:val="Fontdeparagrafimplicit"/>
          <w:rFonts w:ascii="Bookman Old Style" w:hAnsi="Bookman Old Style"/>
          <w:sz w:val="20"/>
          <w:lang w:val="pt-PT"/>
        </w:rPr>
        <w:t>/2ex.</w:t>
      </w:r>
    </w:p>
    <w:p w:rsidRPr="00E64B78" w:rsidR="00246E68" w14:paraId="5F27F35E" w14:textId="77777777">
      <w:pPr>
        <w:rPr>
          <w:rStyle w:val="Fontdeparagrafimplicit"/>
          <w:rFonts w:ascii="Bookman Old Style" w:hAnsi="Bookman Old Style"/>
          <w:lang w:val="pt-PT"/>
        </w:rPr>
      </w:pPr>
    </w:p>
    <w:sectPr>
      <w:footerReference w:type="even" r:id="rId4"/>
      <w:footerReference w:type="default" r:id="rId5"/>
      <w:pgSz w:w="11906" w:h="16838"/>
      <w:pgMar w:top="851" w:right="851" w:bottom="851" w:left="1418"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46E68" w14:paraId="2B84B164"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246E68" w14:paraId="1C9609B2"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46E68" w14:paraId="3E3D45CF"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246E68" w14:paraId="4FABFE80"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E68"/>
    <w:rsid w:val="001D4422"/>
    <w:rsid w:val="00246E68"/>
    <w:rsid w:val="00260C9C"/>
    <w:rsid w:val="00344EA7"/>
    <w:rsid w:val="003C74FD"/>
    <w:rsid w:val="005646EA"/>
    <w:rsid w:val="00586608"/>
    <w:rsid w:val="00607DBB"/>
    <w:rsid w:val="0066468E"/>
    <w:rsid w:val="00AD134A"/>
    <w:rsid w:val="00B94027"/>
    <w:rsid w:val="00D13067"/>
    <w:rsid w:val="00DB7597"/>
    <w:rsid w:val="00E64B78"/>
    <w:rsid w:val="00E7041E"/>
    <w:rsid w:val="00EC209B"/>
  </w:rsids>
  <w:docVars>
    <w:docVar w:name="url" w:val="http://bd-cjca:80/ecris_cdms/document_upload.aspx?id_document=3300000000414951&amp;id_departament=3&amp;id_sesiune=269146&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EC9AB14"/>
  <w15:docId w15:val="{6A694B26-E8FC-4DA5-BADF-3FD7C3B3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pPr>
      <w:keepNext/>
      <w:jc w:val="center"/>
      <w:outlineLvl w:val="0"/>
    </w:pPr>
    <w:rPr>
      <w:b/>
      <w:sz w:val="28"/>
      <w:lang w:val="en-US"/>
    </w:rPr>
  </w:style>
  <w:style w:type="paragraph" w:customStyle="1" w:styleId="Titlu2">
    <w:name w:val="Titlu 2"/>
    <w:basedOn w:val="Normal"/>
    <w:next w:val="Normal"/>
    <w:pPr>
      <w:keepNext/>
      <w:spacing w:before="240" w:after="60"/>
      <w:outlineLvl w:val="1"/>
    </w:pPr>
    <w:rPr>
      <w:rFonts w:ascii="Arial" w:hAnsi="Arial"/>
      <w:b/>
      <w:i/>
      <w:sz w:val="28"/>
    </w:rPr>
  </w:style>
  <w:style w:type="paragraph" w:customStyle="1" w:styleId="Titlu3">
    <w:name w:val="Titlu 3"/>
    <w:basedOn w:val="Normal"/>
    <w:next w:val="Normal"/>
    <w:pPr>
      <w:keepNext/>
      <w:spacing w:before="240" w:after="60"/>
      <w:outlineLvl w:val="2"/>
    </w:pPr>
    <w:rPr>
      <w:rFonts w:ascii="Arial" w:hAnsi="Arial"/>
      <w:b/>
      <w:sz w:val="26"/>
    </w:rPr>
  </w:style>
  <w:style w:type="paragraph" w:styleId="NormalWeb">
    <w:name w:val="Normal (Web)"/>
    <w:basedOn w:val="Normal"/>
    <w:pPr>
      <w:spacing w:before="100" w:beforeAutospacing="1" w:after="100" w:afterAutospacing="1"/>
    </w:pPr>
  </w:style>
  <w:style w:type="paragraph" w:customStyle="1" w:styleId="CharChar">
    <w:name w:val="Char Char"/>
    <w:basedOn w:val="Normal"/>
    <w:link w:val="Fontdeparagrafimplicit"/>
    <w:rPr>
      <w:lang w:val="pl-PL"/>
    </w:rPr>
  </w:style>
  <w:style w:type="paragraph" w:customStyle="1" w:styleId="Subsol">
    <w:name w:val="Subsol"/>
    <w:basedOn w:val="Normal"/>
    <w:pPr>
      <w:tabs>
        <w:tab w:val="center" w:pos="4320"/>
        <w:tab w:val="right" w:pos="8640"/>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link w:val="CharChar"/>
    <w:rPr>
      <w:lang w:val="pl-PL"/>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47</ap:TotalTime>
  <ap:Pages>12</ap:Pages>
  <ap:Words>6339</ap:Words>
  <ap:Characters>36138</ap:Characters>
  <ap:Application>Microsoft Office Word</ap:Application>
  <ap:DocSecurity>0</ap:DocSecurity>
  <ap:Lines>301</ap:Lines>
  <ap:Paragraphs>84</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42393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