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735ECB" w14:paraId="480E3DCA" w14:textId="632868BE">
      <w:pPr>
        <w:pStyle w:val="Style8"/>
        <w:widowControl/>
        <w:spacing w:line="240" w:lineRule="auto"/>
        <w:ind w:firstLine="709"/>
        <w:jc w:val="left"/>
        <w:rPr>
          <w:rStyle w:val="FontStyle26"/>
          <w:rFonts w:ascii="Times New Roman" w:hAnsi="Times New Roman"/>
          <w:b/>
          <w:sz w:val="24"/>
          <w:lang w:val="ro-RO"/>
        </w:rPr>
      </w:pPr>
      <w:r>
        <w:rPr>
          <w:rStyle w:val="FontStyle26"/>
          <w:rFonts w:ascii="Times New Roman" w:hAnsi="Times New Roman"/>
          <w:sz w:val="24"/>
          <w:lang w:val="ro-RO"/>
        </w:rPr>
        <w:t xml:space="preserve">Dosar nr. </w:t>
      </w:r>
      <w:r w:rsidR="00713A80">
        <w:rPr>
          <w:rStyle w:val="FontStyle26"/>
          <w:rFonts w:ascii="Times New Roman" w:hAnsi="Times New Roman"/>
          <w:sz w:val="24"/>
          <w:lang w:val="ro-RO"/>
        </w:rPr>
        <w:t xml:space="preserve">1 </w:t>
      </w:r>
    </w:p>
    <w:p w:rsidR="00735ECB" w14:paraId="65654C31" w14:textId="77777777">
      <w:pPr>
        <w:pStyle w:val="Style8"/>
        <w:widowControl/>
        <w:spacing w:line="240" w:lineRule="auto"/>
        <w:ind w:firstLine="709"/>
        <w:jc w:val="left"/>
        <w:rPr>
          <w:rStyle w:val="FontStyle26"/>
          <w:rFonts w:ascii="Times New Roman" w:hAnsi="Times New Roman"/>
          <w:b/>
          <w:sz w:val="24"/>
          <w:lang w:val="ro-RO"/>
        </w:rPr>
      </w:pPr>
    </w:p>
    <w:p w:rsidR="00735ECB" w14:paraId="7A28DD85" w14:textId="77777777">
      <w:pPr>
        <w:pStyle w:val="Style8"/>
        <w:widowControl/>
        <w:spacing w:line="240" w:lineRule="auto"/>
        <w:ind w:right="19" w:firstLine="709"/>
        <w:jc w:val="center"/>
        <w:rPr>
          <w:rStyle w:val="FontStyle26"/>
          <w:rFonts w:ascii="Times New Roman" w:hAnsi="Times New Roman"/>
          <w:b/>
          <w:sz w:val="24"/>
          <w:lang w:val="ro-RO"/>
        </w:rPr>
      </w:pPr>
      <w:r>
        <w:rPr>
          <w:rStyle w:val="FontStyle26"/>
          <w:rFonts w:ascii="Times New Roman" w:hAnsi="Times New Roman"/>
          <w:sz w:val="24"/>
          <w:lang w:val="ro-RO"/>
        </w:rPr>
        <w:t>ROMÂNIA</w:t>
      </w:r>
    </w:p>
    <w:p w:rsidR="00735ECB" w14:paraId="0CC742D6" w14:textId="2E3DD219">
      <w:pPr>
        <w:pStyle w:val="Style8"/>
        <w:widowControl/>
        <w:spacing w:line="240" w:lineRule="auto"/>
        <w:ind w:right="24" w:firstLine="709"/>
        <w:jc w:val="center"/>
        <w:rPr>
          <w:rStyle w:val="FontStyle26"/>
          <w:rFonts w:ascii="Times New Roman" w:hAnsi="Times New Roman"/>
          <w:b/>
          <w:sz w:val="24"/>
          <w:lang w:val="ro-RO"/>
        </w:rPr>
      </w:pPr>
      <w:r>
        <w:rPr>
          <w:rStyle w:val="FontStyle26"/>
          <w:rFonts w:ascii="Times New Roman" w:hAnsi="Times New Roman"/>
          <w:sz w:val="24"/>
          <w:lang w:val="ro-RO"/>
        </w:rPr>
        <w:t xml:space="preserve">CURTEA DE APEL </w:t>
      </w:r>
      <w:r w:rsidR="00713A80">
        <w:rPr>
          <w:rStyle w:val="FontStyle26"/>
          <w:rFonts w:ascii="Times New Roman" w:hAnsi="Times New Roman"/>
          <w:sz w:val="24"/>
          <w:lang w:val="ro-RO"/>
        </w:rPr>
        <w:t xml:space="preserve">                  </w:t>
      </w:r>
      <w:r>
        <w:rPr>
          <w:rStyle w:val="FontStyle26"/>
          <w:rFonts w:ascii="Times New Roman" w:hAnsi="Times New Roman"/>
          <w:sz w:val="24"/>
          <w:lang w:val="ro-RO"/>
        </w:rPr>
        <w:t xml:space="preserve"> </w:t>
      </w:r>
    </w:p>
    <w:p w:rsidR="00735ECB" w14:paraId="535BC79C" w14:textId="7624B0C0">
      <w:pPr>
        <w:pStyle w:val="Style8"/>
        <w:widowControl/>
        <w:spacing w:line="240" w:lineRule="auto"/>
        <w:ind w:right="24" w:firstLine="709"/>
        <w:jc w:val="center"/>
        <w:rPr>
          <w:rStyle w:val="FontStyle26"/>
          <w:rFonts w:ascii="Times New Roman" w:hAnsi="Times New Roman"/>
          <w:b/>
          <w:sz w:val="24"/>
          <w:lang w:val="ro-RO"/>
        </w:rPr>
      </w:pPr>
      <w:r>
        <w:rPr>
          <w:rStyle w:val="FontStyle26"/>
          <w:rFonts w:ascii="Times New Roman" w:hAnsi="Times New Roman"/>
          <w:sz w:val="24"/>
          <w:lang w:val="ro-RO"/>
        </w:rPr>
        <w:t xml:space="preserve">SECŢIA </w:t>
      </w:r>
      <w:r w:rsidR="00713A80">
        <w:rPr>
          <w:rStyle w:val="FontStyle26"/>
          <w:rFonts w:ascii="Times New Roman" w:hAnsi="Times New Roman"/>
          <w:sz w:val="24"/>
          <w:lang w:val="ro-RO"/>
        </w:rPr>
        <w:t xml:space="preserve">  </w:t>
      </w:r>
    </w:p>
    <w:p w:rsidR="00735ECB" w14:paraId="03058A89" w14:textId="77777777">
      <w:pPr>
        <w:pStyle w:val="Style8"/>
        <w:widowControl/>
        <w:spacing w:line="240" w:lineRule="auto"/>
        <w:ind w:right="24" w:firstLine="709"/>
        <w:jc w:val="center"/>
        <w:rPr>
          <w:rStyle w:val="FontStyle26"/>
          <w:rFonts w:ascii="Times New Roman" w:hAnsi="Times New Roman"/>
          <w:b/>
          <w:sz w:val="24"/>
          <w:lang w:val="ro-RO"/>
        </w:rPr>
      </w:pPr>
    </w:p>
    <w:p w:rsidR="00735ECB" w14:paraId="06A05B9A" w14:textId="0A143731">
      <w:pPr>
        <w:pStyle w:val="Style5"/>
        <w:widowControl/>
        <w:spacing w:line="240" w:lineRule="auto"/>
        <w:ind w:firstLine="709"/>
        <w:jc w:val="center"/>
        <w:rPr>
          <w:rStyle w:val="Fontdeparagrafimplicit"/>
          <w:rFonts w:ascii="Times New Roman" w:hAnsi="Times New Roman"/>
          <w:lang w:val="ro-RO"/>
        </w:rPr>
      </w:pPr>
      <w:r>
        <w:rPr>
          <w:rStyle w:val="Fontdeparagrafimplicit"/>
          <w:rFonts w:ascii="Times New Roman" w:hAnsi="Times New Roman"/>
          <w:b/>
          <w:lang w:val="ro-RO"/>
        </w:rPr>
        <w:t xml:space="preserve">DECIZIA CIVILĂ NR. </w:t>
      </w:r>
      <w:r w:rsidR="00713A80">
        <w:rPr>
          <w:rStyle w:val="Fontdeparagrafimplicit"/>
          <w:rFonts w:ascii="Times New Roman" w:hAnsi="Times New Roman"/>
          <w:b/>
          <w:lang w:val="ro-RO"/>
        </w:rPr>
        <w:t>30</w:t>
      </w:r>
    </w:p>
    <w:p w:rsidR="00735ECB" w14:paraId="50E6CE68" w14:textId="482E5DFA">
      <w:pPr>
        <w:pStyle w:val="Style5"/>
        <w:widowControl/>
        <w:spacing w:line="240" w:lineRule="auto"/>
        <w:ind w:left="2078" w:firstLine="709"/>
        <w:rPr>
          <w:rStyle w:val="FontStyle25"/>
          <w:rFonts w:ascii="Times New Roman" w:hAnsi="Times New Roman"/>
          <w:lang w:val="ro-RO"/>
        </w:rPr>
      </w:pPr>
      <w:r>
        <w:rPr>
          <w:rStyle w:val="FontStyle26"/>
          <w:rFonts w:ascii="Times New Roman" w:hAnsi="Times New Roman"/>
          <w:sz w:val="24"/>
          <w:lang w:val="ro-RO"/>
        </w:rPr>
        <w:t xml:space="preserve">     Şedinţa publică din data de </w:t>
      </w:r>
      <w:r w:rsidR="00713A80">
        <w:rPr>
          <w:rStyle w:val="FontStyle26"/>
          <w:rFonts w:ascii="Times New Roman" w:hAnsi="Times New Roman"/>
          <w:sz w:val="24"/>
          <w:lang w:val="ro-RO"/>
        </w:rPr>
        <w:t xml:space="preserve"> </w:t>
      </w:r>
    </w:p>
    <w:p w:rsidR="00735ECB" w14:paraId="418943BD" w14:textId="77777777">
      <w:pPr>
        <w:pStyle w:val="Style5"/>
        <w:widowControl/>
        <w:spacing w:line="240" w:lineRule="auto"/>
        <w:ind w:left="2078" w:firstLine="709"/>
        <w:rPr>
          <w:rStyle w:val="FontStyle26"/>
          <w:rFonts w:ascii="Times New Roman" w:hAnsi="Times New Roman"/>
          <w:sz w:val="24"/>
          <w:lang w:val="ro-RO"/>
        </w:rPr>
      </w:pPr>
      <w:r>
        <w:rPr>
          <w:rStyle w:val="FontStyle26"/>
          <w:rFonts w:ascii="Times New Roman" w:hAnsi="Times New Roman"/>
          <w:sz w:val="24"/>
          <w:lang w:val="ro-RO"/>
        </w:rPr>
        <w:t xml:space="preserve">                  Curtea constituită din:</w:t>
      </w:r>
    </w:p>
    <w:p w:rsidR="00735ECB" w14:paraId="49F87DA8" w14:textId="40E98905">
      <w:pPr>
        <w:pStyle w:val="Style5"/>
        <w:widowControl/>
        <w:spacing w:line="240" w:lineRule="auto"/>
        <w:ind w:left="2370" w:firstLine="709"/>
        <w:rPr>
          <w:rStyle w:val="FontStyle26"/>
          <w:rFonts w:ascii="Times New Roman" w:hAnsi="Times New Roman"/>
          <w:b/>
          <w:sz w:val="24"/>
          <w:lang w:val="ro-RO"/>
        </w:rPr>
      </w:pPr>
      <w:r>
        <w:rPr>
          <w:rStyle w:val="FontStyle26"/>
          <w:rFonts w:ascii="Times New Roman" w:hAnsi="Times New Roman"/>
          <w:sz w:val="24"/>
          <w:lang w:val="ro-RO"/>
        </w:rPr>
        <w:t xml:space="preserve">Preşedinte  -  </w:t>
      </w:r>
      <w:r w:rsidR="00713A80">
        <w:rPr>
          <w:rStyle w:val="FontStyle26"/>
          <w:rFonts w:ascii="Times New Roman" w:hAnsi="Times New Roman"/>
          <w:sz w:val="24"/>
          <w:lang w:val="ro-RO"/>
        </w:rPr>
        <w:t xml:space="preserve">                  </w:t>
      </w:r>
      <w:r>
        <w:rPr>
          <w:rStyle w:val="FontStyle26"/>
          <w:rFonts w:ascii="Times New Roman" w:hAnsi="Times New Roman"/>
          <w:sz w:val="24"/>
          <w:lang w:val="ro-RO"/>
        </w:rPr>
        <w:tab/>
      </w:r>
    </w:p>
    <w:p w:rsidR="00735ECB" w14:paraId="5CF96142" w14:textId="7D2AFCC5">
      <w:pPr>
        <w:pStyle w:val="Style5"/>
        <w:widowControl/>
        <w:spacing w:line="240" w:lineRule="auto"/>
        <w:ind w:left="2452" w:firstLine="709"/>
        <w:rPr>
          <w:rStyle w:val="FontStyle26"/>
          <w:rFonts w:ascii="Times New Roman" w:hAnsi="Times New Roman"/>
          <w:b/>
          <w:sz w:val="24"/>
          <w:lang w:val="ro-RO"/>
        </w:rPr>
      </w:pPr>
      <w:r>
        <w:rPr>
          <w:rStyle w:val="FontStyle26"/>
          <w:rFonts w:ascii="Times New Roman" w:hAnsi="Times New Roman"/>
          <w:sz w:val="24"/>
          <w:lang w:val="ro-RO"/>
        </w:rPr>
        <w:t xml:space="preserve">Judecător  -  </w:t>
      </w:r>
      <w:r w:rsidR="00713A80">
        <w:rPr>
          <w:rStyle w:val="FontStyle26"/>
          <w:rFonts w:ascii="Times New Roman" w:hAnsi="Times New Roman"/>
          <w:sz w:val="24"/>
          <w:lang w:val="ro-RO"/>
        </w:rPr>
        <w:t xml:space="preserve">                  </w:t>
      </w:r>
      <w:r>
        <w:rPr>
          <w:rStyle w:val="FontStyle26"/>
          <w:rFonts w:ascii="Times New Roman" w:hAnsi="Times New Roman"/>
          <w:sz w:val="24"/>
          <w:lang w:val="ro-RO"/>
        </w:rPr>
        <w:t xml:space="preserve"> </w:t>
      </w:r>
    </w:p>
    <w:p w:rsidR="00735ECB" w14:paraId="661508E6" w14:textId="4FB3BEBE">
      <w:pPr>
        <w:pStyle w:val="Style5"/>
        <w:widowControl/>
        <w:spacing w:line="240" w:lineRule="auto"/>
        <w:ind w:left="2452" w:firstLine="709"/>
        <w:rPr>
          <w:rStyle w:val="FontStyle26"/>
          <w:rFonts w:ascii="Times New Roman" w:hAnsi="Times New Roman"/>
          <w:b/>
          <w:sz w:val="24"/>
          <w:lang w:val="ro-RO"/>
        </w:rPr>
      </w:pPr>
      <w:r>
        <w:rPr>
          <w:rStyle w:val="FontStyle26"/>
          <w:rFonts w:ascii="Times New Roman" w:hAnsi="Times New Roman"/>
          <w:sz w:val="24"/>
          <w:lang w:val="ro-RO"/>
        </w:rPr>
        <w:t xml:space="preserve">Judecător  -  </w:t>
      </w:r>
      <w:r w:rsidR="00713A80">
        <w:rPr>
          <w:rStyle w:val="FontStyle26"/>
          <w:rFonts w:ascii="Times New Roman" w:hAnsi="Times New Roman"/>
          <w:sz w:val="24"/>
          <w:lang w:val="ro-RO"/>
        </w:rPr>
        <w:t xml:space="preserve">A0008 </w:t>
      </w:r>
    </w:p>
    <w:p w:rsidR="00735ECB" w14:paraId="50035D49" w14:textId="40429C3B">
      <w:pPr>
        <w:pStyle w:val="Style5"/>
        <w:widowControl/>
        <w:spacing w:line="240" w:lineRule="auto"/>
        <w:ind w:left="2078" w:firstLine="709"/>
        <w:rPr>
          <w:rStyle w:val="FontStyle26"/>
          <w:rFonts w:ascii="Times New Roman" w:hAnsi="Times New Roman"/>
          <w:b/>
          <w:sz w:val="24"/>
          <w:lang w:val="ro-RO"/>
        </w:rPr>
      </w:pPr>
      <w:r>
        <w:rPr>
          <w:rStyle w:val="FontStyle26"/>
          <w:rFonts w:ascii="Times New Roman" w:hAnsi="Times New Roman"/>
          <w:sz w:val="24"/>
          <w:lang w:val="ro-RO"/>
        </w:rPr>
        <w:t xml:space="preserve">      Grefier  -  </w:t>
      </w:r>
      <w:r w:rsidR="00713A80">
        <w:rPr>
          <w:rStyle w:val="FontStyle26"/>
          <w:rFonts w:ascii="Times New Roman" w:hAnsi="Times New Roman"/>
          <w:sz w:val="24"/>
          <w:lang w:val="ro-RO"/>
        </w:rPr>
        <w:t xml:space="preserve">                   </w:t>
      </w:r>
    </w:p>
    <w:p w:rsidR="00735ECB" w14:paraId="2C1E8B6B" w14:textId="77777777">
      <w:pPr>
        <w:pStyle w:val="Style5"/>
        <w:widowControl/>
        <w:spacing w:line="240" w:lineRule="auto"/>
        <w:ind w:left="2078" w:firstLine="709"/>
        <w:rPr>
          <w:rStyle w:val="FontStyle26"/>
          <w:rFonts w:ascii="Times New Roman" w:hAnsi="Times New Roman"/>
          <w:b/>
          <w:sz w:val="24"/>
          <w:lang w:val="ro-RO"/>
        </w:rPr>
      </w:pPr>
    </w:p>
    <w:p w:rsidR="00735ECB" w14:paraId="2AD74FCE" w14:textId="4E777BEE">
      <w:pPr>
        <w:pStyle w:val="Corptext"/>
        <w:spacing w:line="240" w:lineRule="auto"/>
        <w:ind w:firstLine="709"/>
        <w:jc w:val="both"/>
        <w:rPr>
          <w:rStyle w:val="Fontdeparagrafimplicit"/>
          <w:b/>
          <w:lang w:val="ro-RO"/>
        </w:rPr>
      </w:pPr>
      <w:r>
        <w:rPr>
          <w:rStyle w:val="Fontdeparagrafimplicit"/>
          <w:lang w:val="ro-RO"/>
        </w:rPr>
        <w:t xml:space="preserve">Pe rol se află soluţionarea cererii de revizuire formulate de </w:t>
      </w:r>
      <w:r>
        <w:rPr>
          <w:rStyle w:val="Fontdeparagrafimplicit"/>
          <w:b/>
          <w:lang w:val="ro-RO"/>
        </w:rPr>
        <w:t xml:space="preserve">revizuentele </w:t>
      </w:r>
      <w:r w:rsidR="00713A80">
        <w:rPr>
          <w:rStyle w:val="Fontdeparagrafimplicit"/>
          <w:b/>
          <w:lang w:val="ro-RO"/>
        </w:rPr>
        <w:t xml:space="preserve">2 </w:t>
      </w:r>
      <w:r>
        <w:rPr>
          <w:rStyle w:val="Fontdeparagrafimplicit"/>
          <w:b/>
          <w:lang w:val="ro-RO"/>
        </w:rPr>
        <w:t xml:space="preserve">, </w:t>
      </w:r>
      <w:r w:rsidR="00713A80">
        <w:rPr>
          <w:rStyle w:val="Fontdeparagrafimplicit"/>
          <w:b/>
          <w:lang w:val="ro-RO"/>
        </w:rPr>
        <w:t xml:space="preserve">3 </w:t>
      </w:r>
      <w:r>
        <w:rPr>
          <w:rStyle w:val="Fontdeparagrafimplicit"/>
          <w:b/>
          <w:lang w:val="ro-RO"/>
        </w:rPr>
        <w:t xml:space="preserve"> SA și </w:t>
      </w:r>
      <w:r w:rsidR="00713A80">
        <w:rPr>
          <w:rStyle w:val="Fontdeparagrafimplicit"/>
          <w:b/>
          <w:lang w:val="ro-RO"/>
        </w:rPr>
        <w:t xml:space="preserve">4 </w:t>
      </w:r>
      <w:r>
        <w:rPr>
          <w:rStyle w:val="Fontdeparagrafimplicit"/>
          <w:b/>
          <w:lang w:val="ro-RO"/>
        </w:rPr>
        <w:t xml:space="preserve"> SA </w:t>
      </w:r>
      <w:r>
        <w:rPr>
          <w:rStyle w:val="Fontdeparagrafimplicit"/>
          <w:lang w:val="ro-RO"/>
        </w:rPr>
        <w:t xml:space="preserve">împotriva Deciziei civile nr. </w:t>
      </w:r>
      <w:r w:rsidR="00713A80">
        <w:rPr>
          <w:rStyle w:val="Fontdeparagrafimplicit"/>
          <w:lang w:val="ro-RO"/>
        </w:rPr>
        <w:t>5</w:t>
      </w:r>
      <w:r>
        <w:rPr>
          <w:rStyle w:val="Fontdeparagrafimplicit"/>
          <w:lang w:val="ro-RO"/>
        </w:rPr>
        <w:t xml:space="preserve">, pronunțată la data de </w:t>
      </w:r>
      <w:r w:rsidR="00713A80">
        <w:rPr>
          <w:rStyle w:val="Fontdeparagrafimplicit"/>
          <w:lang w:val="ro-RO"/>
        </w:rPr>
        <w:t xml:space="preserve"> </w:t>
      </w:r>
      <w:r>
        <w:rPr>
          <w:rStyle w:val="Fontdeparagrafimplicit"/>
          <w:lang w:val="ro-RO"/>
        </w:rPr>
        <w:t xml:space="preserve"> de către Curtea de Apel </w:t>
      </w:r>
      <w:r w:rsidR="00713A80">
        <w:rPr>
          <w:rStyle w:val="Fontdeparagrafimplicit"/>
          <w:lang w:val="ro-RO"/>
        </w:rPr>
        <w:t xml:space="preserve">                  </w:t>
      </w:r>
      <w:r>
        <w:rPr>
          <w:rStyle w:val="Fontdeparagrafimplicit"/>
          <w:lang w:val="ro-RO"/>
        </w:rPr>
        <w:t xml:space="preserve"> – Secția </w:t>
      </w:r>
      <w:r w:rsidR="00713A80">
        <w:rPr>
          <w:rStyle w:val="Fontdeparagrafimplicit"/>
          <w:lang w:val="ro-RO"/>
        </w:rPr>
        <w:t xml:space="preserve">                  </w:t>
      </w:r>
      <w:r>
        <w:rPr>
          <w:rStyle w:val="Fontdeparagrafimplicit"/>
          <w:lang w:val="ro-RO"/>
        </w:rPr>
        <w:t xml:space="preserve"> în dosarul nr. </w:t>
      </w:r>
      <w:r w:rsidR="00713A80">
        <w:rPr>
          <w:rStyle w:val="Fontdeparagrafimplicit"/>
          <w:lang w:val="ro-RO"/>
        </w:rPr>
        <w:t xml:space="preserve">6 </w:t>
      </w:r>
      <w:r>
        <w:rPr>
          <w:rStyle w:val="Fontdeparagrafimplicit"/>
          <w:lang w:val="ro-RO"/>
        </w:rPr>
        <w:t xml:space="preserve">, în contradictoriu cu </w:t>
      </w:r>
      <w:r>
        <w:rPr>
          <w:rStyle w:val="Fontdeparagrafimplicit"/>
          <w:b/>
          <w:lang w:val="ro-RO"/>
        </w:rPr>
        <w:t xml:space="preserve">intimata COMPANIA NAŢIONALĂ DE CĂI FERATE CFR SA și intervenienta ASOCIEREA </w:t>
      </w:r>
      <w:r w:rsidR="00A3315D">
        <w:rPr>
          <w:rStyle w:val="Fontdeparagrafimplicit"/>
          <w:b/>
          <w:lang w:val="ro-RO"/>
        </w:rPr>
        <w:t xml:space="preserve">7 </w:t>
      </w:r>
      <w:r>
        <w:rPr>
          <w:rStyle w:val="Fontdeparagrafimplicit"/>
          <w:b/>
          <w:lang w:val="ro-RO"/>
        </w:rPr>
        <w:t xml:space="preserve"> A.S. - </w:t>
      </w:r>
      <w:r w:rsidR="00A3315D">
        <w:rPr>
          <w:rStyle w:val="Fontdeparagrafimplicit"/>
          <w:b/>
          <w:lang w:val="ro-RO"/>
        </w:rPr>
        <w:t xml:space="preserve">8 </w:t>
      </w:r>
      <w:r>
        <w:rPr>
          <w:rStyle w:val="Fontdeparagrafimplicit"/>
          <w:b/>
          <w:lang w:val="ro-RO"/>
        </w:rPr>
        <w:t xml:space="preserve"> AS.</w:t>
      </w:r>
    </w:p>
    <w:p w:rsidR="00735ECB" w14:paraId="211D53B3" w14:textId="34671985">
      <w:pPr>
        <w:ind w:firstLine="709"/>
        <w:jc w:val="both"/>
      </w:pPr>
      <w:r>
        <w:t xml:space="preserve">Dezbaterile au avut loc în ședință publică, fiind consemnate în încheierea de ședință din data de </w:t>
      </w:r>
      <w:r w:rsidR="00A3315D">
        <w:t xml:space="preserve"> </w:t>
      </w:r>
      <w:r>
        <w:t xml:space="preserve">, care face parte integrantă a prezentei hotărâri, când, având nevoie de timp pentru a delibera și pentru a da posibilitate părților să formuleze concluzii scrise, a amânat pronunțarea la data de </w:t>
      </w:r>
      <w:r w:rsidR="00A3315D">
        <w:t xml:space="preserve"> </w:t>
      </w:r>
      <w:r>
        <w:t xml:space="preserve"> când a decis:</w:t>
      </w:r>
    </w:p>
    <w:p w:rsidR="00735ECB" w14:paraId="7D20C6E6" w14:textId="77777777">
      <w:pPr>
        <w:ind w:firstLine="709"/>
        <w:jc w:val="center"/>
        <w:rPr>
          <w:rStyle w:val="Fontdeparagrafimplicit"/>
          <w:b/>
        </w:rPr>
      </w:pPr>
    </w:p>
    <w:p w:rsidR="00735ECB" w14:paraId="6D7B73B1" w14:textId="77777777">
      <w:pPr>
        <w:ind w:firstLine="709"/>
        <w:jc w:val="center"/>
        <w:rPr>
          <w:rStyle w:val="Fontdeparagrafimplicit"/>
          <w:b/>
        </w:rPr>
      </w:pPr>
      <w:r>
        <w:rPr>
          <w:rStyle w:val="Fontdeparagrafimplicit"/>
          <w:b/>
        </w:rPr>
        <w:t>C U R T E A,</w:t>
      </w:r>
    </w:p>
    <w:p w:rsidR="00735ECB" w14:paraId="34123D2B" w14:textId="77777777">
      <w:pPr>
        <w:ind w:firstLine="709"/>
        <w:jc w:val="center"/>
        <w:rPr>
          <w:rStyle w:val="Fontdeparagrafimplicit"/>
          <w:b/>
        </w:rPr>
      </w:pPr>
    </w:p>
    <w:p w:rsidR="00735ECB" w14:paraId="3AC17BCE" w14:textId="77777777">
      <w:pPr>
        <w:ind w:firstLine="709"/>
        <w:jc w:val="both"/>
        <w:rPr>
          <w:rStyle w:val="Fontdeparagrafimplicit"/>
          <w:b/>
        </w:rPr>
      </w:pPr>
      <w:r>
        <w:rPr>
          <w:rStyle w:val="Fontdeparagrafimplicit"/>
          <w:b/>
        </w:rPr>
        <w:t>1. Împrejurările cauzei</w:t>
      </w:r>
    </w:p>
    <w:p w:rsidR="00735ECB" w14:paraId="2BB757DE" w14:textId="2D40E205">
      <w:pPr>
        <w:ind w:firstLine="709"/>
        <w:jc w:val="both"/>
      </w:pPr>
      <w:r>
        <w:t xml:space="preserve">Prin Decizia civilă nr. </w:t>
      </w:r>
      <w:r w:rsidR="00A3315D">
        <w:t>5</w:t>
      </w:r>
      <w:r>
        <w:t xml:space="preserve">, pronunțată la data de </w:t>
      </w:r>
      <w:r w:rsidR="00A3315D">
        <w:t xml:space="preserve">       </w:t>
      </w:r>
      <w:r>
        <w:t xml:space="preserve"> în dosarul nr. </w:t>
      </w:r>
      <w:r w:rsidR="00713A80">
        <w:t xml:space="preserve">6 </w:t>
      </w:r>
      <w:r>
        <w:t xml:space="preserve">, Curtea de Apel </w:t>
      </w:r>
      <w:r w:rsidR="00713A80">
        <w:t xml:space="preserve">                  </w:t>
      </w:r>
      <w:r>
        <w:t xml:space="preserve"> – Secția </w:t>
      </w:r>
      <w:r w:rsidR="00713A80">
        <w:t xml:space="preserve">                  </w:t>
      </w:r>
      <w:r>
        <w:t xml:space="preserve"> a respins plângerea, ca nefondată și a luat act de renunțarea petentei la judecarea cererii de suspendare a procedurii de atribuire, cu opinia separată, în sensul admiterii plângerii, cu consecinţa reevaluării ofertelor.</w:t>
      </w:r>
    </w:p>
    <w:p w:rsidR="00735ECB" w14:paraId="33B2A4CF" w14:textId="77777777">
      <w:pPr>
        <w:ind w:firstLine="709"/>
        <w:jc w:val="both"/>
        <w:rPr>
          <w:rStyle w:val="Fontdeparagrafimplicit"/>
          <w:b/>
        </w:rPr>
      </w:pPr>
      <w:r>
        <w:rPr>
          <w:rStyle w:val="Fontdeparagrafimplicit"/>
          <w:b/>
        </w:rPr>
        <w:t>2. Calea extraordinară de atac formulată în cauză</w:t>
      </w:r>
    </w:p>
    <w:p w:rsidR="00735ECB" w14:paraId="676965C6" w14:textId="77777777">
      <w:pPr>
        <w:ind w:firstLine="709"/>
        <w:jc w:val="both"/>
      </w:pPr>
      <w:r>
        <w:t>Împotriva acestei decizii, petentele au formulat cerere de revizuire, solicitând instanței admiterea cererii de revizuire cu consecința schimbării în tot a deciziei atacate, în sensul admiterii plângerii formulate, precum și, până la soluționarea cauzei, suspendarea efectelor produse de decizia atacată, respectiv suspendarea dreptului CFR de a semna Contractul.</w:t>
      </w:r>
    </w:p>
    <w:p w:rsidR="00735ECB" w14:paraId="51724F32" w14:textId="77777777">
      <w:pPr>
        <w:ind w:firstLine="709"/>
        <w:jc w:val="both"/>
      </w:pPr>
      <w:r>
        <w:t>A.</w:t>
      </w:r>
      <w:r>
        <w:tab/>
        <w:t>ADMISIBILITATEA CERERII DE REVIZUIRE</w:t>
      </w:r>
    </w:p>
    <w:p w:rsidR="00735ECB" w14:paraId="29550B14" w14:textId="77777777">
      <w:pPr>
        <w:ind w:firstLine="709"/>
        <w:jc w:val="both"/>
      </w:pPr>
      <w:r>
        <w:tab/>
        <w:t>Dispoziţiile art. 21 alin. (2) din Legea nr. 554/2004 permit revizuirea unei hotărâri definitive dacă aceasta încalcă principiul priorităţii dreptului comunitar, reglementat de art. 148 alin. (2) coroborat cu art. 20 alin. (2) din Constituţia României. Decizia pronunţată în plângere încalcă principiul tratamentul egal şi nediscriminării reglementat de art 36 alin. (l) din Directiva 2014/25/UE astfel cum acesta a fost interpretat prin jurisprudenţa obligatorie a CJUE din cauzele care vor fi evidenţiate mai jos, în detaliu.</w:t>
      </w:r>
    </w:p>
    <w:p w:rsidR="00735ECB" w14:paraId="3E96D6E8" w14:textId="77777777">
      <w:pPr>
        <w:ind w:firstLine="709"/>
        <w:jc w:val="both"/>
      </w:pPr>
      <w:r>
        <w:t>În consecinţă, examenul juridic de admisibilitate al prezentei căi de retractare presupune indicarea unei incompatibilităţi între raţionamentul aplicat de hotărârea revizuită şi necesitatea preeminenţei dreptului Uniunii Europene, garantată de art. 148 al Constituţiei României. Acest examen legal este îndeplinit în speţă.</w:t>
      </w:r>
    </w:p>
    <w:p w:rsidR="00735ECB" w14:paraId="3BBF578D" w14:textId="77777777">
      <w:pPr>
        <w:ind w:firstLine="709"/>
        <w:jc w:val="both"/>
      </w:pPr>
      <w:r>
        <w:t xml:space="preserve">Aşa cum s-a arătat în jurisprudenţa Curţii de Justiţie a Uniunii Europene, „interpretarea pe care Curte o dă unei norme de drept comunitar, în exercitarea competenţei pe care i-o conferă articolul 177 (n.n., actual art 267din TFUE), lămureşte şi precizează, dacă este nevoie, semnificația şi domeniul de aplicare al acestei norme, astfel cum trebuie sau ar fi </w:t>
      </w:r>
      <w:r>
        <w:t xml:space="preserve">trebuit să fie înţeleasă şi aplicată de la intrarea sa în vigoare* (cauza Denkavit, C-61/79, paragraful nr. 16). </w:t>
      </w:r>
    </w:p>
    <w:p w:rsidR="00735ECB" w14:paraId="368E8AD3" w14:textId="77777777">
      <w:pPr>
        <w:ind w:firstLine="709"/>
        <w:jc w:val="both"/>
      </w:pPr>
      <w:r>
        <w:t>Curtea a arătat în repetate rânduri că „îndeplinirea completă a obiectivului urmărit de Directiva 89/665 ar fi compromisă dacă ar fi posibil pentru candidaţi şi ofertanţi să invoce, în orice moment al procedurii de atribuire, încălcări ale normelor de atribuire a contractelor, obligând astfel autoritatea contractantă să reia întreaga procedură pentru a îndrepta aceste încălcări" - cauza Lammerzahl GmbH c/a Freie Hansestadt Bremen (C-241/06), paragraful 51, cauza Comisia Europeană c/a Irlandei (C-456/08), paragraful 52</w:t>
      </w:r>
    </w:p>
    <w:p w:rsidR="00735ECB" w14:paraId="157088E3" w14:textId="77777777">
      <w:pPr>
        <w:ind w:firstLine="709"/>
        <w:jc w:val="both"/>
      </w:pPr>
      <w:r>
        <w:t xml:space="preserve">Revizuientele precizează faptul că dezlegările CJUE de mai sus, care fac corp comun cu Directiva 89/665, sunt elocvente pentru contrarietatea Deciziei revizuite cu principiul preeminenţei dreptului unional. </w:t>
      </w:r>
    </w:p>
    <w:p w:rsidR="00735ECB" w14:paraId="194023D7" w14:textId="77777777">
      <w:pPr>
        <w:ind w:firstLine="709"/>
        <w:jc w:val="both"/>
      </w:pPr>
      <w:r>
        <w:t>Astfel, dacă se urmează raţionamentul dat de instanţa naţională în speţa, "îndeplinirea completă a obiectivului urmărit de Directiva 89/665 ar fi compromisă", căci devine posibil pentru autoritatea însăşi şi ofertanţi să modifice, chiar la momentul final al procedurii de atribuire, sensul şi conţinutul documentaţiei de atribuire.</w:t>
      </w:r>
    </w:p>
    <w:p w:rsidR="00735ECB" w14:paraId="4CABAB7F" w14:textId="77777777">
      <w:pPr>
        <w:ind w:firstLine="709"/>
        <w:jc w:val="both"/>
      </w:pPr>
      <w:r>
        <w:t>Altfel spus, (i) dezlegarea dată de instanţa naţională prin Decizia revizuită şi (ii) dezlegările obligatorii date de CJUE în Universale Bau, Lammerzaht sunt mutual exclusive. Această concluzie dovedeşte îndeplinirea examenului legal pentru admiterea unei cereri de revizuire întemeiate pe art. 21 alin. (2) al Legii nr. 554/2004.</w:t>
      </w:r>
    </w:p>
    <w:p w:rsidR="00735ECB" w14:paraId="70DF1069" w14:textId="77777777">
      <w:pPr>
        <w:ind w:firstLine="709"/>
        <w:jc w:val="both"/>
      </w:pPr>
      <w:r>
        <w:t>Revizuientele apreciază faptul că, practic, prin decizia sa, instanţa învestită cu soluţionare plângerii a încălcat principiul tratamentul egal, transparenţei şi nediscriminării, reglementate de art. 36 alin. (l) din Directiva 2014/25/UE11 întrucât:</w:t>
      </w:r>
    </w:p>
    <w:p w:rsidR="00735ECB" w14:paraId="38856DDA" w14:textId="6A853AA9">
      <w:pPr>
        <w:pStyle w:val="Listparagraf"/>
        <w:numPr>
          <w:ilvl w:val="0"/>
          <w:numId w:val="4"/>
        </w:numPr>
        <w:jc w:val="both"/>
      </w:pPr>
      <w:r>
        <w:t xml:space="preserve">a permis evaluarea ofertei </w:t>
      </w:r>
      <w:r w:rsidR="00A3315D">
        <w:t xml:space="preserve">9 </w:t>
      </w:r>
      <w:r>
        <w:t xml:space="preserve"> prin prisma unei cerinţe de calificare nescrise; nici în FDA, nici în altă parte componentă a documentaţiei de atribuire nu se impune obligaţia ofertanţilor de a prezenta agrement tehnic şi / sau orice alte acreditări pentru activitate de sudură;</w:t>
      </w:r>
    </w:p>
    <w:p w:rsidR="00735ECB" w14:paraId="71D418A3" w14:textId="372CD83F">
      <w:pPr>
        <w:pStyle w:val="Listparagraf"/>
        <w:numPr>
          <w:ilvl w:val="0"/>
          <w:numId w:val="4"/>
        </w:numPr>
        <w:jc w:val="both"/>
      </w:pPr>
      <w:r>
        <w:t xml:space="preserve">a permis evaluarea ofertelor într-o manieră diferită, rigoarea aplicată ofertei </w:t>
      </w:r>
      <w:r w:rsidR="00A3315D">
        <w:t xml:space="preserve">9 </w:t>
      </w:r>
      <w:r>
        <w:t xml:space="preserve"> neregăsindu-se în cazul celorlalţi ofertanţi; practic, doar subscrisa a fost sancţionată pentru pretinsa nerespectare a acestei presupuse cerinţe de calificare, CFR demonstrând că, în cazul celorlalţi ofertanţi (şi, în special, în cazul </w:t>
      </w:r>
      <w:r w:rsidR="00525B35">
        <w:t xml:space="preserve">7 </w:t>
      </w:r>
      <w:r>
        <w:t>, a ignorat complet lipsa agrementelor tehnice pentru alte tipuri de lucrări necesar a fi executate în cadrul Contractului);</w:t>
      </w:r>
    </w:p>
    <w:p w:rsidR="00735ECB" w14:paraId="70C21A40" w14:textId="77777777">
      <w:pPr>
        <w:pStyle w:val="Listparagraf"/>
        <w:numPr>
          <w:ilvl w:val="0"/>
          <w:numId w:val="4"/>
        </w:numPr>
        <w:jc w:val="both"/>
      </w:pPr>
      <w:r>
        <w:t>a permis ignorarea documentelor echivalente prezentate de unul dintre membrii asocierii şi validarea concluziei că doar operatorii economici români ar putea, de fapt, să participe la procedură. Validarea raţionamentului CNSC (prin respingerea plângerii subscrisei) reprezintă un precedent extrem de periculos care, în continuare, va permite restricţiona rea accesului la procedurile de atribuire din România.</w:t>
      </w:r>
    </w:p>
    <w:p w:rsidR="00735ECB" w14:paraId="6175FEF6" w14:textId="77777777">
      <w:pPr>
        <w:ind w:firstLine="709"/>
        <w:jc w:val="both"/>
      </w:pPr>
      <w:r>
        <w:t>Revizuientele apreciază că raţionamentul care fundamentează soluţia de respingere a plângerii nu poate fi decât eronat. Punctual, fiecare dintre liniile de argumentaţie subsumate acestei demonstraţii au fost prezentate detaliat de către subscrisa, instanţa soluţionând plângerea cu ignorarea completă a acestora şi, totodată, cu flagranta încălcare a normelor comunitare prioritare.</w:t>
      </w:r>
      <w:r>
        <w:tab/>
      </w:r>
    </w:p>
    <w:p w:rsidR="00735ECB" w14:paraId="06C30AFF" w14:textId="77777777">
      <w:pPr>
        <w:ind w:firstLine="709"/>
        <w:jc w:val="both"/>
      </w:pPr>
      <w:r>
        <w:t>Acest raţionament este contrar principiilor fundamentale ce guvernează dreptul unional al achiziţiilor publice - tratamentul egal, nediscriminarea, precurm şi principiul transparenţei. Astfel după cum a arătat-o constant jurisprudenţa CJUE, o modificare a documentaţiei de atribuire la momentul evaluării finale a ofertelor reprezintă o încălcare esenţială a principiilor de bază sus amintite, întrucât reprezintă o schimbare a regulilor competiţiei la finalul acesteia.</w:t>
      </w:r>
    </w:p>
    <w:p w:rsidR="00735ECB" w14:paraId="03899422" w14:textId="77777777">
      <w:pPr>
        <w:ind w:firstLine="709"/>
        <w:jc w:val="both"/>
      </w:pPr>
      <w:r>
        <w:t>Potrivit art. 18 alin. (l) ai Directivei 2014/24, „Autorităţile contractante li tratează pe operatorii economici în mod egal şi fără discriminare şi acţionează într-o manieră transparentă şi proporţională” Textul de drept unional constituie o preluare a art. 2 din fosta Directivă 2004/18. în aplicarea acestor texte legale, Curtea de Justiţie a Uniunii Europene a statuat în cauza Enterprise Focused Solutions SRL c/a Spitalul Judeţean de Urgenţă Alba lulia (C-278/14):</w:t>
      </w:r>
    </w:p>
    <w:p w:rsidR="00735ECB" w14:paraId="5004985E" w14:textId="77777777">
      <w:pPr>
        <w:ind w:firstLine="709"/>
        <w:jc w:val="both"/>
      </w:pPr>
      <w:r>
        <w:t>„26. Obligația de transparenţă are ca scop în special să garanteze că este înlăturat riscul de arbitrar din partea autorității contractante (a se vedea, în ceea ce priveşte articolul2 din Directiva 2004/18, Hotărârea SAG ELV Slovensko şi alţii, C-599/10, EU:C:2012:l9l, punctul 25, precum şi jurisprudenţa citată).</w:t>
      </w:r>
    </w:p>
    <w:p w:rsidR="00735ECB" w14:paraId="5B563AF1" w14:textId="77777777">
      <w:pPr>
        <w:ind w:firstLine="709"/>
        <w:jc w:val="both"/>
      </w:pPr>
      <w:r>
        <w:t>27. Or, acest obiectiv nu ar fi atins dacă autoritatea contractantă ar putea să deroge de la condiţiile pe care ea însăşi le-a stabilit. Astfel, acesteia îi este interzis să modifice criteriile de atribuire în cursul procedurii de atribuire. Principiile egalităţii de tratament si nediscriminării, precum si obligaţia de transparentă au. în acest sens, acelaşi efect în ceea ce priveşte specificaţiile tehnice. [...]</w:t>
      </w:r>
    </w:p>
    <w:p w:rsidR="00735ECB" w14:paraId="162025DE" w14:textId="77777777">
      <w:pPr>
        <w:ind w:firstLine="709"/>
        <w:jc w:val="both"/>
      </w:pPr>
      <w:r>
        <w:t>29. în consecinţă, autoritatea contractantă nu poate recurge, după publicarea unui anunţ de participare, ta o modificare a specificaţiei tehnice referitoare fa un element al unui contract, cu încălcarea principiilor egalităţii de tratament si nediscriminării. precum si a obligaţiei de transparentă. în această privinţă, este lipsit de relevanţă dacă elementul la care se referă această specificaţie mai este sau nu mai este în fabricaţie sau disponibil pe piaţă." [subl. ns.]</w:t>
      </w:r>
    </w:p>
    <w:p w:rsidR="00735ECB" w14:paraId="6A5961DB" w14:textId="77777777">
      <w:pPr>
        <w:ind w:firstLine="709"/>
        <w:jc w:val="both"/>
      </w:pPr>
      <w:r>
        <w:t>Aceleaşi concluzii au fost formulate de Curte şi în multiple alte speţe: „astfel cum Curtea a statuat deja, principiile egalităţii de tratament şi transparenţei procedurilor de atribuire implică obligaţia autorităţilor contractante de a respecta aceeaşi interpretare a criteriilor de atribuire pe tot parcursul procedurii [...] în ceea ce priveşte chiar criteriile de atribuire, trebuie să se admită, cu atât mai mult, că acestea nu trebuie să suporte nicio modificare în cursul procedurii de atribuire“ (Comisia Europeană c/a Irlandei (C-266/09), paragrafele 59-60, EVN şi Wienstrom c/a Austriei, paragrafele 92-93).</w:t>
      </w:r>
    </w:p>
    <w:p w:rsidR="00735ECB" w14:paraId="020BEED8" w14:textId="77777777">
      <w:pPr>
        <w:ind w:firstLine="709"/>
        <w:jc w:val="both"/>
      </w:pPr>
      <w:r>
        <w:t xml:space="preserve">Revizuentele precizează faptul că dezlegările CJUE de mai sus, care fac corp comun cu art. 18 alin. (l) din Directiva 2014/24, sunt elocvente pentru contrarietatea Deciziei revizuite cu principiul preeminenţei dreptului unional. </w:t>
      </w:r>
    </w:p>
    <w:p w:rsidR="00735ECB" w14:paraId="1ED6979B" w14:textId="77777777">
      <w:pPr>
        <w:ind w:firstLine="709"/>
        <w:jc w:val="both"/>
      </w:pPr>
      <w:r>
        <w:t>A permite contrariul, anume a permite ideea (i) modificării pe cale ocultă a unor cerinţe de calificare şi a (ii) evaluării ofertelor în baza acestor interpretări, reprezintă un precedent extrem de vătămător pentru orice desfăşurare a unei proceduri de achiziţie publică.</w:t>
      </w:r>
    </w:p>
    <w:p w:rsidR="00735ECB" w14:paraId="2982E590" w14:textId="77777777">
      <w:pPr>
        <w:ind w:firstLine="709"/>
        <w:jc w:val="both"/>
      </w:pPr>
      <w:r>
        <w:t>Un astfel de precedent este repudiat expres şi direct de dreptul unional aplicabil. În acest sens, revizuentele se întemeiază pe Decizii ale CJUE care au efect direct în speţă şi se impun instanţelor naţionale:</w:t>
      </w:r>
    </w:p>
    <w:p w:rsidR="00735ECB" w14:paraId="1DAD7E09" w14:textId="77777777">
      <w:pPr>
        <w:pStyle w:val="Listparagraf"/>
        <w:numPr>
          <w:ilvl w:val="0"/>
          <w:numId w:val="4"/>
        </w:numPr>
        <w:jc w:val="both"/>
      </w:pPr>
      <w:r>
        <w:t>în ceea ce priveşte principiile fundamentale ale tratamentului egal, nediscriminării şi transparenţei, aplicabile sunt cauzele Enterprise Focused Solutions SRL c/a Spitalul Judeţean de Urgenţă Alba Iulia (C-278/14), paragrafele 26-29, Comisia Europeană c/a Irlandei(C-266/09), paragrafele 59-60 şi EVN şi Wienstrom c/a Austriei(C-448/01), paragrafele 92-93.</w:t>
      </w:r>
    </w:p>
    <w:p w:rsidR="00735ECB" w14:paraId="23C8E601" w14:textId="77777777">
      <w:pPr>
        <w:pStyle w:val="Listparagraf"/>
        <w:numPr>
          <w:ilvl w:val="0"/>
          <w:numId w:val="4"/>
        </w:numPr>
        <w:jc w:val="both"/>
      </w:pPr>
      <w:r>
        <w:t>în ceea ce priveşte principiul fundamental al securităţii juridice în materia remediilor din domeniul achiziţiilor publice, aplicabile sunt cauzele Universale-Bau AG, Bietergemeinschaft (C-470/99), paragrafele 75-76, Lammerzahl GmbH c/a Freie Hansestadt Bremen (C-241/06), paragraful 51, cauza Comisia Europeană c/a Irlandei(C-4S6/08), paragraful 52.</w:t>
      </w:r>
    </w:p>
    <w:p w:rsidR="00735ECB" w14:paraId="6D2C79D2" w14:textId="77777777">
      <w:pPr>
        <w:ind w:firstLine="709"/>
        <w:jc w:val="both"/>
      </w:pPr>
      <w:r>
        <w:t>Altfel spus, (i) dezlegarea dată de instanţa naţională şi (ii) dezlegările obligatorii date de CJUE în speţele sus citate sunt mutual exclusive.</w:t>
      </w:r>
    </w:p>
    <w:p w:rsidR="00735ECB" w14:paraId="5E4A55BD" w14:textId="77777777">
      <w:pPr>
        <w:ind w:firstLine="709"/>
        <w:jc w:val="both"/>
      </w:pPr>
      <w:r>
        <w:t>Concluzie a celor de mai sus, un ofertant nu poate fi în niciun context respins ca inacceptabil pentru un criteriu de calificare care nu este prevăzut explicit şi literal în Fişa de date a achiziţiei. Nici (i) pretinsa prioritate a legii, nici (ii) pretinsa incidenţa a autorizărilor solicitate de diverse acte administrative normative şi nici (iii) caracterul „notoriu” al cerinţei implicite nu permit autorităţii să depăşească cu orice măsură, oricât de minimală, ceea ce a solicitat literal prin FDA.</w:t>
      </w:r>
    </w:p>
    <w:p w:rsidR="00735ECB" w14:paraId="64C81597" w14:textId="77777777">
      <w:pPr>
        <w:ind w:firstLine="709"/>
        <w:jc w:val="both"/>
      </w:pPr>
      <w:r>
        <w:t>În cauză, este evident că nu există un text al FDA care să precizeze necesitatea deţinerii agrementului AFER pentru activitatea de sudură. Acest aspect dovedeşte de sine stătător temeinicia cererii de revizuire şi, pe cale de consecinţă, a plângerii.</w:t>
      </w:r>
    </w:p>
    <w:p w:rsidR="00735ECB" w14:paraId="6AF12B34" w14:textId="77777777">
      <w:pPr>
        <w:ind w:firstLine="709"/>
        <w:jc w:val="both"/>
      </w:pPr>
      <w:r>
        <w:t>Pe de altă parte, Curtea de Justiţie a Uniunii Europene a pronunţat multiple decizii prin care a evocat încălcarea principiului transparenţei printr-o conduită echivalentă cu cea din speţă. Astfel, în cauza Enterprised Focused Solutions SRL (C-278/14), Curtea a statuat că "normele fundamentale şi principiile generale ale Tratatului FUE, în special principiile egalităţii de tratament şi nediscriminării precum şi obligaţia de transparenţă care rezultă din acestea trebuie interpretate în sensul că autoritatea contractantă nu poate respinge o ofertă care îndeplineşte cerinţele anunţului de participare pe baza unor motive care nu sunt prevăzute în anunţul menţionat".</w:t>
      </w:r>
    </w:p>
    <w:p w:rsidR="00735ECB" w14:paraId="41135291" w14:textId="77777777">
      <w:pPr>
        <w:ind w:firstLine="709"/>
        <w:jc w:val="both"/>
      </w:pPr>
      <w:r>
        <w:t>În acelaşi sens Curtea s-a pronunţat în cauza Medipac – Kazantzidis (C-6/05), unde a arătat în mod expres că obligaţia de transparenţă „interzice autorităţii contractante să respingă o ofertă care respectă cerinţele anunţului privind cererea de ofertă întemeindu-se pe motive care nu au fost prevăzute în acest anunţ şi care sunt invocate ulterior depunerii acestei oferte” (considerentul 54).</w:t>
      </w:r>
    </w:p>
    <w:p w:rsidR="00735ECB" w14:paraId="1D535514" w14:textId="77777777">
      <w:pPr>
        <w:ind w:firstLine="709"/>
        <w:jc w:val="both"/>
      </w:pPr>
      <w:r>
        <w:t>La fel de elocvente sunt dezlegările oferite de instanţa unională în cauza Pippo Pizzo (C-27/15), Hotărârea pronunţată în cauza C- 359/93 Comisia Comunităţilor Europene vs. Regatul Ţărilor de Jos, din care reiese că toate informaţiile care, conform Directivei, sunt prevăzute a fi incluse într-un anunţ, trebuie să fie completate în mod obligatoriu şi necondiţionat în anunţul de participare. Autorităţii contractante nu îi este acordată nicio marjă de apreciere în ceea ce priveşte utilitatea sau inutilitatea acestor informaţii.</w:t>
      </w:r>
    </w:p>
    <w:p w:rsidR="00735ECB" w14:paraId="20F38FEC" w14:textId="77777777">
      <w:pPr>
        <w:ind w:firstLine="709"/>
        <w:jc w:val="both"/>
      </w:pPr>
      <w:r>
        <w:t>Or, potrivit art. 257 al TFUE, Curtea de Justiţie a Uniunii Europene este interpretul actelor Uniunii, astfel încât modalitatea de aplicare a exigenţei interpretării conforme a principiilor statuate de legislaţia unională îi revine acesteia.</w:t>
      </w:r>
    </w:p>
    <w:p w:rsidR="00735ECB" w14:paraId="3AE5184B" w14:textId="77777777">
      <w:pPr>
        <w:ind w:firstLine="709"/>
        <w:jc w:val="both"/>
      </w:pPr>
      <w:r>
        <w:t>Prioritatea asigurării libertăţii de participare transfrontaliere, obiectiv ce stă la fundamentul sistemului unional al achiziţiilor publice, ar fi contrazisă dacă participanţii ar fi ţinuţi să „deducă” conţinutul integral al unei cerinţe de calificare prin coroborare cu interpretări de acte administrative aparţinând unor autorităţi naţionale.</w:t>
      </w:r>
    </w:p>
    <w:p w:rsidR="00735ECB" w14:paraId="01E1BAA2" w14:textId="77777777">
      <w:pPr>
        <w:ind w:firstLine="709"/>
        <w:jc w:val="both"/>
      </w:pPr>
      <w:r>
        <w:t>Aşadar, în argumentarea organului jurisdicţional, respingerea ca inacceptabilă a ofertei unui participant la o procedură de achiziţie publică ar putea fi justificată prin interpretarea extensiunii unui act administrativ normativ - chiar fără caracter de lege - al unui Stat membru.</w:t>
      </w:r>
    </w:p>
    <w:p w:rsidR="00735ECB" w14:paraId="4BC193F8" w14:textId="77777777">
      <w:pPr>
        <w:ind w:firstLine="709"/>
        <w:jc w:val="both"/>
      </w:pPr>
      <w:r>
        <w:t>O astfel de susţinere reprezintă o vătămare gravă a principiului tratamentului egal, statuat în legislaţia naţională la art. 2 alin. (2) lit. b) al Legii nr. 99/2016, precum şi al imperativului libertăţii de participare transfrontalieră la procedurile de achiziţii. În acest sens, revizuentele se întemeiază pe efectul direct al hotărârii CJUE din 2.05.2015 din cauza Pippo Pizzo (C-27/15), care explică inclusiv raţiunile interdicţiei unei asemenea conduite a autorităţii contractante.</w:t>
      </w:r>
    </w:p>
    <w:p w:rsidR="00735ECB" w14:paraId="5C5676FF" w14:textId="77777777">
      <w:pPr>
        <w:ind w:firstLine="709"/>
        <w:jc w:val="both"/>
      </w:pPr>
      <w:r>
        <w:t xml:space="preserve">De asemenea, Consiliul a omis să aibă în vedere şi exigenţele în materie de publicitate impuse de reglementările europene, în special Regulamentul de punere în aplicare (UE) 2015/1986 al Comisiei din 11 noiembrie 2015 de stabilire a formularelor standard pentru publicarea anunţurilor în domeniul achiziţiilor publice şi de abrogare a Regulamentului de punere în aplicare (UE) nr. 842/2011 (Text cu relevanţă pentru SEE) care stabileşte conţinutul obligatoriu al anunţurilor de participare la procedurile de atribuire. Astfel, formularul standard </w:t>
      </w:r>
      <w:r>
        <w:t>al acestui tip de anunţ include la Secţiunea III: Informații juridice, economice, financiare şi tehnice rubrici specifice pentru cerinţele de calificare (III.l) Condiţii de participare) care trebuie incluse în respectivul anunţ. Astfel cum impun şi prevederile art 69 din Directiva 2014/25/UE, „Anunţurile de participare [...] conțin informaţi/e prevăzute în partea corespunzătoare din anexa XI", inclusiv cele menţionate la pct. 16 din Anexa XI a Directivei, respectiv „Condiţiile economice şi tehnice minime pe care trebuie să le îndeplinească operatorul economic căruia i s-a atribuit contractul". Din aceste dispoziţii reiese importanţa fundamentală a inserării în cuprinsul anunţului de participare a condiţiilor minime de participare la procedura de atribuire, exigenţă care a fundament jurisprudenţa CJUE citată de revizuente şi ignorată de CNSC, în special Cauza C. 278/14 Enterprise Focused Solutions.</w:t>
      </w:r>
    </w:p>
    <w:p w:rsidR="00735ECB" w14:paraId="7C2006AD" w14:textId="7748A30F">
      <w:pPr>
        <w:ind w:firstLine="709"/>
        <w:jc w:val="both"/>
      </w:pPr>
      <w:r>
        <w:t xml:space="preserve">Or, se observă din analiza conţinutului proceselor-verbale de evaluare faptul că, în realitate, documentul echivalent prezentat de </w:t>
      </w:r>
      <w:r w:rsidR="00A3315D">
        <w:t xml:space="preserve">2 </w:t>
      </w:r>
      <w:r>
        <w:t xml:space="preserve"> în cadrul ofertei sale şi indicat, de altfel, în mod expres în răspunsul la clarificări, nu a fost niciodată analizat. </w:t>
      </w:r>
    </w:p>
    <w:p w:rsidR="00735ECB" w14:paraId="73AD0638" w14:textId="77777777">
      <w:pPr>
        <w:ind w:firstLine="709"/>
        <w:jc w:val="both"/>
      </w:pPr>
      <w:r>
        <w:t>În plus, cu ignorarea completă a revizuientelor, CNSC adaugă nepermis în documentaţia de atribuire, precizând că, de fapt, faţă de referirea expresă a FDA la OMT nr. 290/2000, documentele echivalente nici nu ar fi permise; se susţine că, de fapt, doar agrementele emise de către AFER (organism naţional) ar putea să fie utilizate în vederea îndeplinirii cerinţei. Interpretarea proprie CNSC, validată de instanţa învestită cu soluţionarea plângerii, contravine flagrant unor norme şi principii legale ferme şi clare: recunoaşterea documentelor echivalente este ea însăşi o expresie a acestora. Astfel, potrivit art 2 alin. (2) lit c) al Legii nr. 99/2016, "principiile care stau la baza atribuirii contractelor sectoriale şi a organizării concursurilor de soluții sunt: […] c) recunoaşterea reciprocă."</w:t>
      </w:r>
    </w:p>
    <w:p w:rsidR="00735ECB" w14:paraId="4FD4776C" w14:textId="77777777">
      <w:pPr>
        <w:ind w:firstLine="709"/>
        <w:jc w:val="both"/>
      </w:pPr>
      <w:r>
        <w:t>Prin omisiunea analizării certificării anterior menţionate, CFR a încălcat în mod grav atât dispoziţiile art. 133 din H.6. nr. 394/2016 care precizează atribuţiile şi responsabilităţile comisiei de evaluare (inclusiv obligaţia solicitării de clarificări/completări ale documentelor prezentate) cât şi principiul recunoaşterii reciproce prevăzut expres de art. 2 alin. (2) lit c) din Legea nr. 99/2016 şi de considerentul (2) al Directivei 2014/25/UE. Atât timp cât documentul echivalent s-a aflat la dispoziţia comisiei de evaluare, refuzul de a- I lua în considerare reprezintă un abuz în sensul normelor comunitare.</w:t>
      </w:r>
    </w:p>
    <w:p w:rsidR="00735ECB" w14:paraId="24F6456D" w14:textId="77777777">
      <w:pPr>
        <w:ind w:firstLine="709"/>
        <w:jc w:val="both"/>
      </w:pPr>
      <w:r>
        <w:t>B.</w:t>
      </w:r>
      <w:r>
        <w:tab/>
        <w:t>PRINCIPIILE ACHIZIŢIILOR PUBLICE SUNT GRAV AFECTATE</w:t>
      </w:r>
    </w:p>
    <w:p w:rsidR="00735ECB" w14:paraId="16D21C40" w14:textId="1C5357B0">
      <w:pPr>
        <w:ind w:firstLine="709"/>
        <w:jc w:val="both"/>
      </w:pPr>
      <w:r>
        <w:t xml:space="preserve">Revizuientele precizează faptul că tratamentul egal, transparenţa şi eficienta utilizare a fondurilor publice impuneau interpretarea şi aplicarea cerinţelor de calificare într-o manieră unitară, transparentă şi lipsită de echivoc. Pretinsa neconcludenţă a răspunsului </w:t>
      </w:r>
      <w:r w:rsidR="00A3315D">
        <w:t xml:space="preserve">9 </w:t>
      </w:r>
      <w:r>
        <w:t xml:space="preserve"> nu poate fi reţinută şi, mai mult, nici presupusa evaluare unitară şi riguroasă din partea CFR este contrazisă de chiar modalitatea extrem de permisivă care a determinat soluţia de desemnare câştigătoare a ofertei </w:t>
      </w:r>
      <w:r w:rsidR="00525B35">
        <w:t xml:space="preserve">7 </w:t>
      </w:r>
      <w:r>
        <w:t>.</w:t>
      </w:r>
    </w:p>
    <w:p w:rsidR="00735ECB" w14:paraId="159278D4" w14:textId="77777777">
      <w:pPr>
        <w:ind w:firstLine="709"/>
        <w:jc w:val="both"/>
      </w:pPr>
      <w:r>
        <w:t>Cu privire la concludenţa răspunsurilor la solicitările de clarificări, în practica judiciară s-a statuat că: „interpretând gramatical dispoziţia art. 79 alin. 1, pornind de la sensul comun al termenului &lt;concludent&gt;, indicat în dicţionarul explicativ al limbii române, instanţa a constatat că, pentru a fi concludent, un răspuns la solicitarea de clarificări trebuie să conţină datele necesare pentru stabilirea de către autoritatea contractantă, prin comisia de evaluare, a unei stări de fapt, relevantă din punct de vedere al documentaţiei de atribuire. Un răspuns concludent este acela pe baza căruia se poate trage o concluzie asupra unei probleme indicate [...]” Or, revizuentele apreciază că răspunsul acestora respectă exigenţele impuse de practica judiciară, deoarece s-a referit strict la chestiunile necesar a fi clarificate potrivit solicitării comisiei de evaluare, fiind concludent în raport de solicitarea concretă a Autorităţii contractante şi totodată pe deplin clarificator în privinţa aspectelor supuse analizei.</w:t>
      </w:r>
    </w:p>
    <w:p w:rsidR="00735ECB" w14:paraId="2F320B9F" w14:textId="1785A08F">
      <w:pPr>
        <w:ind w:firstLine="709"/>
        <w:jc w:val="both"/>
      </w:pPr>
      <w:r>
        <w:t xml:space="preserve">În situaţia în care Autoritatea contractantă se simţea nelămurită, această chestiune putea fi cu uşurinţă clarificată prin adresarea unei întrebări corecte şi lipsite de echivoc. Întrebarea care încadrează cerinţa privind agrementul AFER în categoria cerinţelor de </w:t>
      </w:r>
      <w:r>
        <w:t xml:space="preserve">calificare şi, respectiv, operaţiunea de sudare în categoria lucrărilor de suprastructură nu poate fi elocventă. Revizuentele arată că au răspuns în limitele întrebărilor adresate, sensul întrebării adresate fiind înţeles în contextul documentaţiei de atribuire. Acestea nu puteau deduce faptul că documentaţia prezentată de </w:t>
      </w:r>
      <w:r w:rsidR="00A3315D">
        <w:t xml:space="preserve">2 </w:t>
      </w:r>
      <w:r>
        <w:t xml:space="preserve"> (aflată la dispoziţia comisiei de evaluare) va fi, de fapt, ignorată (deşi a fost menţionată expres în răspunsul la solicitarea de clarificări, documentul doveditor fiind pus ia dispoziţia comisiei de evaluare). Acestea arată că nu puteau nici intui faptul că, în contra dispoziţiilor FDA, CNSC va aprecia ca nefiind permisă prezentarea unor documente echivalente.</w:t>
      </w:r>
    </w:p>
    <w:p w:rsidR="00735ECB" w14:paraId="2DF4ABDA" w14:textId="77777777">
      <w:pPr>
        <w:ind w:firstLine="709"/>
        <w:jc w:val="both"/>
      </w:pPr>
      <w:r>
        <w:t>Atât jurisprudenţa CNSC cât şi cea a instanţelor naţionale confirmă obligaţia Autorităţii contractante de a exercita un anumit grad de diligenţă atunci când analizează conţinutul fiecărei oferte iar, în cazul în care există o chestiune care ar putea fi lămurită prin solicitarea de clarificări, aceasta nu poate să respingă în mod abuziv o ofertă fără clarificări elocvente. în acest sens, relevante sunt următoarele repere jurisprudenţiale dintre care, faţă de etapa în care ne aflăm, şi suplimentar încălcării principiilor ilustrate în secţiunea anterioară, rugăm a fi avute în vedere şi următoarele aspecte:</w:t>
      </w:r>
    </w:p>
    <w:p w:rsidR="00735ECB" w14:paraId="1E71A2EA" w14:textId="77777777">
      <w:pPr>
        <w:ind w:firstLine="709"/>
        <w:jc w:val="both"/>
      </w:pPr>
      <w:r>
        <w:t>Curtea de Justiţie a Uniunii Europene a evidenţiat că în conformitate cu principiul dreptului comunitar ai bunei administrări', vocaţia conferită autorităţii contractante cu privire la solicitarea de clarificări este „însoţită de o obligaţie dea fi exercitată în împrejurări în care clarificarea ofertei este, practic posibilă, cât şi necesară.”</w:t>
      </w:r>
    </w:p>
    <w:p w:rsidR="00735ECB" w14:paraId="0883A0E3" w14:textId="092E44D9">
      <w:pPr>
        <w:ind w:firstLine="709"/>
        <w:jc w:val="both"/>
      </w:pPr>
      <w:r>
        <w:t xml:space="preserve">Mai mult, principiul proporționalității care guvernează întreaga procedură de atribuire, impune cu necesitate ca actele autorităţii contractante să nu depăşească limitele a ceea ce este adecvat si necesar în scopul realizării obiectivelor urmărite, înţelegându-se că, în cazul în care este posibilă o alegere între mai multe măsuri adecvate, trebuie să se recurgă la cea mai puţin constrângătoare, iar măsurile luate nu trebuie să fie disproporţionate în raport cu scopurile urmărite. Or, în speţă, CFR a respins oferta </w:t>
      </w:r>
      <w:r w:rsidR="00A3315D">
        <w:t xml:space="preserve">9 </w:t>
      </w:r>
      <w:r>
        <w:t xml:space="preserve"> sub pretextul nerespectării unei cerinţe de calificare (de altfel, inexistente) şi a declarat câştigătoare oferta având o valoare cu 27 milioane Euro mai mare, fără măcar să se edifice în privinţa documentelor aflate la dispoziţia sa, fără să recunoască echivalenţa documentului </w:t>
      </w:r>
      <w:r w:rsidR="00A3315D">
        <w:t xml:space="preserve">2 </w:t>
      </w:r>
      <w:r>
        <w:t xml:space="preserve">, fără să formuleze măcar corect întrebarea de clarificare şi, practic, a permis astfel cheltuirea a 27 de milioane de Euro în plus pentru o pretinsă neregulă privind o activitate care. în total proiect, nu valorează mai mult de 0.193% din valoarea estimată a contractului (atât reprezintă sudura din total valoare contract, procent obţinut din raportul valorii cumulate a serviciilor de sudură la valoarea totală ofertată de Asocierea </w:t>
      </w:r>
      <w:r w:rsidR="00A3315D">
        <w:t xml:space="preserve">9 </w:t>
      </w:r>
      <w:r>
        <w:t>).</w:t>
      </w:r>
    </w:p>
    <w:p w:rsidR="00735ECB" w14:paraId="3CBFC895" w14:textId="77777777">
      <w:pPr>
        <w:ind w:firstLine="709"/>
        <w:jc w:val="both"/>
      </w:pPr>
      <w:r>
        <w:t xml:space="preserve">Această conduită a fost observată şi de către ANAP care, prin punctul de vedere formulat, a atras atenţia asupra necesităţii de a respecta principiul proporţionalităţii; în plus, practica instanţelor confirmă obligaţia Autorităţii contractante de a solicita clarificări anterior respingerii unei oferte ca inacceptabile, sens în care exemplificativ menționează: </w:t>
      </w:r>
    </w:p>
    <w:p w:rsidR="00735ECB" w14:paraId="247EC4BD" w14:textId="77777777">
      <w:pPr>
        <w:ind w:firstLine="709"/>
        <w:jc w:val="both"/>
      </w:pPr>
      <w:r>
        <w:t>„În mod corect Consiliul a apreciat că admiterea sau respingerea unei oferte trebuia fundamentată pe o evaluare temeinică sub toate aspectele, bazată pe probe concludente, pe care autoritatea contractantă trebuia să le obţină în vederea unei evaluări obiective a ofertei. […] Neprocedând în acest fel, autoritatea contractantă a întocmit raportul privind evaluarea ofertelor cu încălcarea prevederilor legale citate, situaţie în care Consiliul a admis contestaţia, a anulat raportul şi a obligat autoritatea la reevaluarea ofertelor."</w:t>
      </w:r>
    </w:p>
    <w:p w:rsidR="00735ECB" w14:paraId="2E4E3A83" w14:textId="77777777">
      <w:pPr>
        <w:ind w:firstLine="709"/>
        <w:jc w:val="both"/>
      </w:pPr>
      <w:r>
        <w:t xml:space="preserve">„Apreciind că există un risc privind oferta contestatoarei, întrucât anumite date şi documente îi erau în continuare neclare sau insuficiente, nimic nu opreşte autoritatea contractantă să adreseze o nouă solicitare de clarificare ofertantului, ştiut fiind că orice hotărâre a autorităţii contractante privind admiterea sau respingerea unei oferte trebuie fundamentată pe o evaluare temeinică a ofertei, sub toate aspectele ei şi pe probe concludente, iar nu pe documente insuficiente. Cu alte cuvinte, nimic nu împiedică autoritatea să reîntrebe ofertantul despre formarea preţului global al ofertei sau componente care o interesau, pentru a </w:t>
      </w:r>
      <w:r>
        <w:t>nu mai avea suspiciuni ori neclarităţi. Evident, accentul trebui pus nu pe respingerea ofertei cu orice preţ, pentru a exclude din competiţie ofertantul cu propunerea cea mai avantajoasă, ci pe clarificarea ei în sensul dorit şi necesar evaluării corespunzătoare a ofertei. Faţă de ansamblul considerentelor expuse se constată că evaluarea ofertei SC... S.R.L s-a realizat cu nerespectarea condiţiilor legale în vigoare şi, pe cale de consecinţă, critica contestatoarei privind ne/egalitatea respingerii ofertei sale, este fondată." (subl. ns.)</w:t>
      </w:r>
    </w:p>
    <w:p w:rsidR="00735ECB" w14:paraId="0A2781BE" w14:textId="77777777">
      <w:pPr>
        <w:ind w:firstLine="709"/>
        <w:jc w:val="both"/>
      </w:pPr>
      <w:r>
        <w:t>„Este adevărat că, potrivit art. 201 din ordonanţă, autoritatea are dreptul de a solicita clarificări sau completări ale cerinţelor stabilite prin criteriile de calificare şi selecţie sau pentru a demonstra conformitatea ofertei cu cerinţele solicitate, însă aşa cum a reţinut şi Consiliul, acest articol nu îi dă dreptul să solicite participanţilor la procedură prezentarea unor documente care exced documentaţiei de atribuire, în măsură să le creeze acestora o situaţie dezavantajoasă în raport cu ceilalţi participanţi. Or, procedând astfel, autoritatea contractantă a încălcat principiul egalităţii de tratament" (subl. ns.)</w:t>
      </w:r>
    </w:p>
    <w:p w:rsidR="00735ECB" w14:paraId="28A91ACF" w14:textId="77777777">
      <w:pPr>
        <w:ind w:firstLine="709"/>
        <w:jc w:val="both"/>
      </w:pPr>
      <w:r>
        <w:t>„Este subînţeles că autoritatea contractantă nu îşi poate întemeia decizia de respingere a unei oferte pe eventuala lipsă a unor documente de calificare care nu au fost cerute ori pe neîndeplinirea unor cerinţe neprevăzute în documentaţia de atribuire. [~] în aceeaşi direcţie, art 200 din ordonanţă dispune că autoritatea contractantă are obligaţia de a stabili oferta câştigătoare pe baza criteriului de atribuire precizat în anunţul de participare şi în documentaţia de atribuire, în condiţiile în care ofertantul respectiv îndeplineşte criteriile de selecţie şi calificare impuse. Din cele evocate este evident că evaluarea fiecărei oferte se raportează numai la cerinţele de calificare din documentaţia de atribuire, nu la altele sau la aceleaşi, însă diminuate ori majorate." (subl. ns)</w:t>
      </w:r>
    </w:p>
    <w:p w:rsidR="00735ECB" w14:paraId="7A76474B" w14:textId="35F3138D">
      <w:pPr>
        <w:ind w:firstLine="709"/>
        <w:jc w:val="both"/>
      </w:pPr>
      <w:r>
        <w:t xml:space="preserve">Pentru toate motivele anterior arătate, revizuientele solicită instanței să dispună admiterea prezentei cereri de revizuire a deciziei pronunţate de către Curtea de Apel </w:t>
      </w:r>
      <w:r w:rsidR="00713A80">
        <w:t xml:space="preserve">                  </w:t>
      </w:r>
      <w:r>
        <w:t xml:space="preserve">, Secţia de Contencios Administrativ şi Fiscal în dosarul nr. </w:t>
      </w:r>
      <w:r w:rsidR="00713A80">
        <w:t xml:space="preserve">6 </w:t>
      </w:r>
      <w:r>
        <w:t xml:space="preserve"> cu consecinţa schimbării în tot a Deciziei atacate, pronunţate cu încălcarea priorităţii dreptului Uniunii Europene, în sensul admiterii plângerii formulate de către acestea împotriva Deciziei CNSC nr. </w:t>
      </w:r>
      <w:r w:rsidR="00525B35">
        <w:t>.......</w:t>
      </w:r>
      <w:r>
        <w:t xml:space="preserve"> din data de 26.03.2019 Totodată, în temeiul dispoziţiilor art. 512 Cod proc.civ. vă solicităm ca, până la soluţionarea prezentei cauzei, şă dispuneţi si suspendarea efectelor produse de Decizia atacată, respectiv suspendarea dreptului CFR de a semna Contractul.</w:t>
      </w:r>
    </w:p>
    <w:p w:rsidR="00735ECB" w14:paraId="269A0F1E" w14:textId="77777777">
      <w:pPr>
        <w:ind w:firstLine="709"/>
        <w:jc w:val="both"/>
      </w:pPr>
      <w:r>
        <w:t>În drept, dispoziţiile art. 21 din Legea nr. 554/2004 coroborat cu dispoziţiile art. 509 şi următoarele Cod proc.civ.</w:t>
      </w:r>
    </w:p>
    <w:p w:rsidR="00735ECB" w14:paraId="7F42C9F0" w14:textId="77777777">
      <w:pPr>
        <w:ind w:firstLine="709"/>
        <w:jc w:val="both"/>
      </w:pPr>
    </w:p>
    <w:p w:rsidR="00735ECB" w14:paraId="4049E670" w14:textId="446DB3F9">
      <w:pPr>
        <w:ind w:firstLine="709"/>
        <w:jc w:val="both"/>
        <w:rPr>
          <w:rStyle w:val="Fontdeparagrafimplicit"/>
          <w:b/>
        </w:rPr>
      </w:pPr>
      <w:r>
        <w:rPr>
          <w:rStyle w:val="Fontdeparagrafimplicit"/>
          <w:b/>
        </w:rPr>
        <w:t xml:space="preserve">3. Cererea depusă de intervenienta ASOCIEREA </w:t>
      </w:r>
      <w:r w:rsidR="00A3315D">
        <w:rPr>
          <w:rStyle w:val="Fontdeparagrafimplicit"/>
          <w:b/>
        </w:rPr>
        <w:t xml:space="preserve">7 </w:t>
      </w:r>
      <w:r>
        <w:rPr>
          <w:rStyle w:val="Fontdeparagrafimplicit"/>
          <w:b/>
        </w:rPr>
        <w:t xml:space="preserve"> A.S. - </w:t>
      </w:r>
      <w:r w:rsidR="00A3315D">
        <w:rPr>
          <w:rStyle w:val="Fontdeparagrafimplicit"/>
          <w:b/>
        </w:rPr>
        <w:t xml:space="preserve">8 </w:t>
      </w:r>
      <w:r>
        <w:rPr>
          <w:rStyle w:val="Fontdeparagrafimplicit"/>
          <w:b/>
        </w:rPr>
        <w:t xml:space="preserve"> AS</w:t>
      </w:r>
    </w:p>
    <w:p w:rsidR="00735ECB" w14:paraId="6E1A200A" w14:textId="77777777">
      <w:pPr>
        <w:ind w:firstLine="709"/>
        <w:jc w:val="both"/>
        <w:rPr>
          <w:rStyle w:val="Fontdeparagrafimplicit"/>
        </w:rPr>
      </w:pPr>
    </w:p>
    <w:p w:rsidR="00735ECB" w14:paraId="7B4C192A" w14:textId="4560163A">
      <w:pPr>
        <w:ind w:firstLine="709"/>
        <w:jc w:val="both"/>
      </w:pPr>
      <w:r>
        <w:t xml:space="preserve">La termenul din data de </w:t>
      </w:r>
      <w:r w:rsidR="00A3315D">
        <w:t xml:space="preserve">       </w:t>
      </w:r>
      <w:r>
        <w:t xml:space="preserve">, s-a formulat cerere de intervenție de către intervenienta ASOCIEREA </w:t>
      </w:r>
      <w:r w:rsidR="00A3315D">
        <w:t xml:space="preserve">7 </w:t>
      </w:r>
      <w:r>
        <w:t xml:space="preserve"> A.S. - </w:t>
      </w:r>
      <w:r w:rsidR="00A3315D">
        <w:t xml:space="preserve">8 </w:t>
      </w:r>
      <w:r>
        <w:t xml:space="preserve"> AS, cerere ce a fost admisă la acel termen de judecată.</w:t>
      </w:r>
    </w:p>
    <w:p w:rsidR="00735ECB" w14:paraId="316E5213" w14:textId="6CC047E3">
      <w:pPr>
        <w:ind w:firstLine="709"/>
        <w:jc w:val="both"/>
      </w:pPr>
      <w:r>
        <w:t xml:space="preserve">Aceasta a formulat, ulterior, întâmpinare, solicitând instanței admiterea excepției inadmisibilității cererii de suspendare formulate prin cererea de revizuire, admiterea excepției prematurității cererii de revizuire formulate de Asocierea </w:t>
      </w:r>
      <w:r w:rsidR="00A3315D">
        <w:t xml:space="preserve">9 </w:t>
      </w:r>
      <w:r>
        <w:t xml:space="preserve"> raportat la art. 21 alin. 3 din Legea nr. 554/2004, admiterea excepției lipsei de interes a cererii de suspendare, iar pe fond, respingerea cererii de suspendare ca neîntemeiată, admiterea excepției inadmisibilității cererii de revizuire formulate de Asocierea </w:t>
      </w:r>
      <w:r w:rsidR="00A3315D">
        <w:t xml:space="preserve">9 </w:t>
      </w:r>
      <w:r>
        <w:t xml:space="preserve">, precum și respingerea ca neîntemeiată a cererii de revizuire. </w:t>
      </w:r>
      <w:r>
        <w:tab/>
      </w:r>
    </w:p>
    <w:p w:rsidR="00735ECB" w14:paraId="704F7971" w14:textId="41B7D899">
      <w:pPr>
        <w:ind w:firstLine="709"/>
        <w:jc w:val="both"/>
      </w:pPr>
      <w:r>
        <w:t xml:space="preserve">Din analiza cererii de revizuire înaintata de către Asocierea </w:t>
      </w:r>
      <w:r w:rsidR="00A3315D">
        <w:t xml:space="preserve">9 </w:t>
      </w:r>
      <w:r>
        <w:t xml:space="preserve"> rezulta ca următoarele considerente ale Deciziei nr. 45/2016 a ICCJ sunt pe deplin aplicabile:</w:t>
      </w:r>
    </w:p>
    <w:p w:rsidR="00735ECB" w14:paraId="33F2DC63" w14:textId="77777777">
      <w:pPr>
        <w:ind w:firstLine="709"/>
        <w:jc w:val="both"/>
      </w:pPr>
      <w:r>
        <w:t xml:space="preserve">1.73. “Dacă dreptul Uniunii sau hotărârea interpretativă a CJUE a fost invocată în fata instanţei care a pronunţat hotărârea a cărei revizuire se cere si această instanţă a analizat-o, partea nu poate critica soluţia pe calea revizuirii deoarece se opune autoritatea de lucru judecat asupra rezolvării date de instanţa de fond sau de recurs. Inadmisibilitatea se impune în </w:t>
      </w:r>
      <w:r>
        <w:t>această ipoteză întrucât a socoti revizuirea admisibilă ar însemna ca instanţa sesizată cu cererea de revizuire să examineze soluţia instanţei care a pronunţat hotărârea supusă revizuirii, adică să exercite un control judiciar, care nu se poate realiza pe calea revizuirii.”</w:t>
      </w:r>
    </w:p>
    <w:p w:rsidR="00735ECB" w14:paraId="06FD9105" w14:textId="4342FAB9">
      <w:pPr>
        <w:ind w:firstLine="709"/>
        <w:jc w:val="both"/>
      </w:pPr>
      <w:r>
        <w:t xml:space="preserve">Intervenienta învederează instanței faptul ca revizuirea Asocierii </w:t>
      </w:r>
      <w:r w:rsidR="00A3315D">
        <w:t xml:space="preserve">9 </w:t>
      </w:r>
      <w:r>
        <w:t xml:space="preserve"> este “presărata” cu drept al Uniunii si cu hotărâri interpretative ale CJUE. Este inadmisibil sa se susţină ca acestea nu au fost invocate in fata Curţii de Apel si ca aceasta instanță, in complet specializat in astfel de problematici nu a analizat toate argumentele, mai ales care invoca dreptul unional.</w:t>
      </w:r>
    </w:p>
    <w:p w:rsidR="00735ECB" w14:paraId="48B11221" w14:textId="1F11F22F">
      <w:pPr>
        <w:ind w:firstLine="709"/>
        <w:jc w:val="both"/>
      </w:pPr>
      <w:r>
        <w:t xml:space="preserve">In urma comparării cererii de revizuirii si a plângerii formulate in Dosarul nr. </w:t>
      </w:r>
      <w:r w:rsidR="00713A80">
        <w:t xml:space="preserve">6 </w:t>
      </w:r>
      <w:r>
        <w:t xml:space="preserve"> am identificat si in una si cealaltă aceleaşi dispoziţii ale dreptului european si aceleaşi hotărâri interpretative.</w:t>
      </w:r>
    </w:p>
    <w:p w:rsidR="00735ECB" w14:paraId="4C11675C" w14:textId="77777777">
      <w:pPr>
        <w:ind w:firstLine="709"/>
        <w:jc w:val="both"/>
      </w:pPr>
      <w:r>
        <w:t>Cu titlu de exemplu, menţionează: la pagina 8 din cererea de revizuire si la pagina 13 din revizuire Cauza C-278/14 prin care se invoca principiile europene care guvernează achiziţiile si anume autoritatile contractante trebuie sa trateze operatorii economici in mod egal si fara discriminare si actioneaza intr-o maniera transparenta si proporţionala.</w:t>
      </w:r>
    </w:p>
    <w:p w:rsidR="00735ECB" w14:paraId="52B7196D" w14:textId="48DA171B">
      <w:pPr>
        <w:ind w:firstLine="709"/>
        <w:jc w:val="both"/>
      </w:pPr>
      <w:r>
        <w:t xml:space="preserve">Intervenienta precizează cu aceasta ocazie faptul ca aceste principii au reprezentant si argumentul principal in revizuirea formulata de către Asocierea </w:t>
      </w:r>
      <w:r w:rsidR="00A3315D">
        <w:t xml:space="preserve">9 </w:t>
      </w:r>
      <w:r>
        <w:t>, toate celelalte argumente având foarte strânsă legătură de aceasta cauza, astfel incat nu se poate susţine in mod temeinic prin intermediul revizuirii ca instanța de recurs când s-a pronunţat asupra plângerii a “omis” sau “nu a voit” sa analizeze daca aceste principii de baza a dreptului european, dar si romanesc, nu au fost respectate cu prioritate.</w:t>
      </w:r>
    </w:p>
    <w:p w:rsidR="00735ECB" w14:paraId="55573EBE" w14:textId="77777777">
      <w:pPr>
        <w:ind w:firstLine="709"/>
        <w:jc w:val="both"/>
      </w:pPr>
      <w:r>
        <w:t>Celelalte cauze invocate in cererea de revizuire sunt strâns legate de aceste principii ale achiziţiilor publice si in plus au fost invocate si detaliate si in cadrul plângerii. Cu titlu din exemplificativ mai enumeră din ele: Cauza C-266/09, Cauza C-278/14, C-448/01 si toate celelalte statuează din nou prioritatea dreptului european in sensul aplicării principiilor transparentei, egalitatii de tratament si toate aceste aspecte, fara nicio excepţie au fost menţionate si detalitate in revizuire si dezbătute pe larg in fata instanţei de recurs. In sensul celor de mai sus, concluzia neechivoca care se desprinde priveşte evidenta inadmisbilitate a cererii de revizuire raportata chiar la considerentele Deciziei ICCJ invocata pe tot parcursul cererii de revizuire.</w:t>
      </w:r>
    </w:p>
    <w:p w:rsidR="00735ECB" w14:paraId="0F0ED831" w14:textId="77777777">
      <w:pPr>
        <w:ind w:firstLine="709"/>
        <w:jc w:val="both"/>
      </w:pPr>
      <w:r>
        <w:t>2.72. „În lumina considerentelor precedente este inadmisibilă cererea de revizuire prin care, în lipsa oricărui element de noutate (care ar putea fi hotărâri pronunţate de CJUE sau dispoziţii de drept unional neinvocate în cauză sau, deşi invocate, netratate de instanţă), se urmăreşte revizuirea unei hotărâri definitive prin care a fost deja dezlegată problematica legată de aplicarea principiului priorităţii dreptului unional, deoarece se opune caracterul revizuirii, de cale extraordinară de atac de retractare (iar nu de reformare), corelat cu principiul autorităţii de lucru judecat.”</w:t>
      </w:r>
    </w:p>
    <w:p w:rsidR="00735ECB" w14:paraId="4788891F" w14:textId="522A6A37">
      <w:pPr>
        <w:ind w:firstLine="709"/>
        <w:jc w:val="both"/>
      </w:pPr>
      <w:r>
        <w:t xml:space="preserve">Astfel, cum rezulta foarte clar din motivarea Deciziei ICCJ pe care isi intemeiaza cererea de revizuire Asocierea </w:t>
      </w:r>
      <w:r w:rsidR="00A3315D">
        <w:t xml:space="preserve">9 </w:t>
      </w:r>
      <w:r>
        <w:t>, in lipsa unui element de noutate o eventuala cerere de revizuire este inadmisibila. Aceasta condiţie este identificata ca urmare a spiritul legii ce subzista si in art. 21, precum si in dispoziţiile Codului de procedura civila, respectiv revizuirea este o cale extraordinara de atac, cu motive prevăzute limitativ si daca este sa fie luat fiecare motiv de revizuire prevăzute de Codul de procedura civila se poate lesne observa ca exista un element de noutate in toate: daca instanta s-a pronunţat plus sau minus petita, elementul de noutate rezida in o pronunţare pe ceva ce nu s-a cerut sau omisiunea de a se pronunţa pe ceva cerut; in cazul inscrisurilor, acestea trebuie sa fie descoperite ulterior; in cazul hotărârilor CEDO, chiar daca acestea sunt anterioare efectul trebuie sa continue sa se producă si sa se fi afla de el la momentul revizuirii.</w:t>
      </w:r>
    </w:p>
    <w:p w:rsidR="00735ECB" w14:paraId="5C014260" w14:textId="77777777">
      <w:pPr>
        <w:ind w:firstLine="709"/>
        <w:jc w:val="both"/>
      </w:pPr>
      <w:r>
        <w:t xml:space="preserve">Înalta Curte de Casaţie si Justiție a statuat in acelaşi sens, respectiv daca se doreşte promovarea caii extraordinare de atac a revizuirii atunci trebuie identificat un element de noutate, ce nu era cunoscut si nu a fost invocat in fata instanţei a cărei hotarare se ataca, sau </w:t>
      </w:r>
      <w:r>
        <w:t>daca a fost invocat nu a fost analizat si astfel prin hotararea atacata, instanta care a pronuntat-o incalca prioritatea aplicării dreptului unional.</w:t>
      </w:r>
    </w:p>
    <w:p w:rsidR="00735ECB" w14:paraId="375C4E18" w14:textId="77777777">
      <w:pPr>
        <w:ind w:firstLine="709"/>
        <w:jc w:val="both"/>
      </w:pPr>
      <w:r>
        <w:t>Or, in cauza de fata, instanta de recurs este clar ca a analizat toate argumentele menţionate si, raportat la conţinutul cererii de revuzuire, nu au fost invocate alte hotarari CJUE sau dispoziţii de drept unional noi care sa afecteze legalitatea si temeinicia acestei hotarari raportat la dispoziţiilor art. 21 din Legea 554/2004.</w:t>
      </w:r>
    </w:p>
    <w:p w:rsidR="00735ECB" w14:paraId="6B2CB3CD" w14:textId="0061682A">
      <w:pPr>
        <w:ind w:firstLine="709"/>
        <w:jc w:val="both"/>
      </w:pPr>
      <w:r>
        <w:t xml:space="preserve">Intervenienta arată că lipsa elementului de noutate si temeinicia susţinerilor acesteia in ceea ce priveşte inadmisibilitatea cererii de revizuire reies in mod clar si din situatia pronunţării din Dosarul nr. </w:t>
      </w:r>
      <w:r w:rsidR="00713A80">
        <w:t xml:space="preserve">6 </w:t>
      </w:r>
      <w:r>
        <w:t xml:space="preserve"> si din soluţia pe scurt de pe portal. Astfel, instanța a amânat pronunţarea de pe 15.05.2019 pana pe </w:t>
      </w:r>
      <w:r w:rsidR="00A3315D">
        <w:t xml:space="preserve">       </w:t>
      </w:r>
      <w:r>
        <w:t xml:space="preserve">, indiciu cat se poate de clar ca aceasta a analizat in totalitate toate argumentele pârtilor. In plus, soluţia s-a dat cu opinie separata, inca o dovada clara ca au existat dezbateri intre membrii completului si ca au analizat aspectele invocate chiar si in contradictoriu. </w:t>
      </w:r>
    </w:p>
    <w:p w:rsidR="00735ECB" w14:paraId="2CFAAB72" w14:textId="77777777">
      <w:pPr>
        <w:ind w:firstLine="709"/>
        <w:jc w:val="both"/>
      </w:pPr>
      <w:r>
        <w:t>În cauza C-331/04, ATI EAC Srl e Viaggi di Maio Snc, CJUE a statuat, în par. 25 că ,,In concluzie, este rolul curţii naţionale sa evalueze, in lumina acestor reguli si principii, daca, in dosarul ce face obiectul procedurii principale, juriul a incalcat dreptul comunitar prin aplicarea unei ponderări in raport de multiplele subcapitole ale celui de-al treilea criteriu pentru atribuirea contractului.”</w:t>
      </w:r>
    </w:p>
    <w:p w:rsidR="00735ECB" w14:paraId="27900484" w14:textId="77777777">
      <w:pPr>
        <w:ind w:firstLine="709"/>
        <w:jc w:val="both"/>
      </w:pPr>
      <w:r>
        <w:t>Instanţa care a pronunţat decizia atacată a respectat această hotărâre, exercitând competenţa legală de a aprecia dacă factorii, criteriile şi subcriteriile de evaluare au fost aduse la cunoştinţa ofertanţilor prin caietul de sarcini, precum şi ponderea fiecăruia.</w:t>
      </w:r>
    </w:p>
    <w:p w:rsidR="00735ECB" w14:paraId="5B09F619" w14:textId="77777777">
      <w:pPr>
        <w:ind w:firstLine="709"/>
        <w:jc w:val="both"/>
      </w:pPr>
      <w:r>
        <w:t>Or, această apreciere a instanţei nu poate fi cenzurată pe calea revizuirii de prezenta instanţă, deoarece se apune autoritatea de lucru judecat a hotărârii pronunţate.</w:t>
      </w:r>
    </w:p>
    <w:p w:rsidR="00735ECB" w14:paraId="2832F520" w14:textId="77777777">
      <w:pPr>
        <w:ind w:firstLine="709"/>
        <w:jc w:val="both"/>
      </w:pPr>
      <w:r>
        <w:t>Intervenienta precizează că instanţa care soluţionează cererea de revizuire nu poate da o altă interpretare a probelor administrate decât a dat instanţa învestită iniţial. În temeiul art. 21 din Legea nr. 554/2004. cererea de revizuire va fi admisă numai dacă a fost încălcat dreptul Uniunii Europene, fără ca instanţa ce soluţionează cererea de revizuire să poată interpreta într-un alt mod probele administrate. Motivele de fapt reţinute de instanţa iniţial învestită în hotărârea pronunţată nu pot fi cenzurate de instanţa care soluţionează cererea de revizuire întemeiată pe art. 21 din Legea nr. 554/2004, deoarece s-ar crea o nouă cale de atac ordinară.</w:t>
      </w:r>
    </w:p>
    <w:p w:rsidR="00735ECB" w14:paraId="45F29083" w14:textId="7FF3BABF">
      <w:pPr>
        <w:ind w:firstLine="709"/>
        <w:jc w:val="both"/>
      </w:pPr>
      <w:r>
        <w:t xml:space="preserve">Asocierea </w:t>
      </w:r>
      <w:r w:rsidR="00A3315D">
        <w:t xml:space="preserve">9 </w:t>
      </w:r>
      <w:r>
        <w:t xml:space="preserve"> prin cererea de revizuirea urmăreşte sa provoace o noua interpretare a faptelor si probelor administrate in fata instanţei care a judecat plângerii formulate impotriva deciziei CNSC. Asocierea de fapt, desi foloseşte toate tertipurile posibile pentru a “imbraca” cererea formulata ca o revizuire, critica interpretarea pe care a dat-o instanta de recurs cerinţelor conţinute in documentaţia de atribuire. Nemulţumirile Asocierii sunt in realitate interpretarea pe care a dat-o instanta de recurs in urma analizarii înscrisurilor, argumentelor si a probelor.</w:t>
      </w:r>
    </w:p>
    <w:p w:rsidR="00735ECB" w14:paraId="059EBACC" w14:textId="77777777">
      <w:pPr>
        <w:ind w:firstLine="709"/>
        <w:jc w:val="both"/>
      </w:pPr>
      <w:r>
        <w:t>De altfel, instanta de recurs nici nu avea ca si opţiune sa nu respecte prioritatea dreptului unional, avand in vedere specificul acestui domeniu al achiziţiilor publice unde legislaţia este o transpunere fidela a tuturor principiilor europene care guvernează genul acesta de proceduri.</w:t>
      </w:r>
    </w:p>
    <w:p w:rsidR="00735ECB" w14:paraId="3570E958" w14:textId="77777777">
      <w:pPr>
        <w:ind w:firstLine="709"/>
        <w:jc w:val="both"/>
      </w:pPr>
      <w:r>
        <w:t>Funcţia revizuirii, de cale extraordinară de atac, chiar şi pe temeiul art 21 din Legea nr 554/2004, nu este aceea de a conduce la reevaluarea judecăţilor definitive în afara condiţiilor strict reglementate procedural. În sens contrar, dacă doar invocarea principiului supremaţiei dreptului UE, fără circumstanţierea acestei invocări la condiţiile legale de fapt, astfel cum au fost dezlegate şi de ÎCCJ, ar fi suficientă pentru retractarea unei hotărâri, atunci stabilitatea juridică şi puterea de lucru judecat de care trebuie să se bucure hotărârile, ar rămâne fără nici un fel de eficienţă.</w:t>
      </w:r>
    </w:p>
    <w:p w:rsidR="00735ECB" w14:paraId="47B4A883" w14:textId="77777777">
      <w:pPr>
        <w:ind w:firstLine="709"/>
        <w:jc w:val="both"/>
      </w:pPr>
      <w:r>
        <w:t>In plus, pe langa aspectele identificate mai sus, aplicate concret pe fiecare dintre considerentele prezentate de ICCJ in Decizia 45/2016, intervenienta solicită instanței sa retina ca argumente in favoarea inadmisibilitatii si următoarele aspecte:</w:t>
      </w:r>
    </w:p>
    <w:p w:rsidR="00735ECB" w14:paraId="78B197BB" w14:textId="77777777">
      <w:pPr>
        <w:ind w:firstLine="709"/>
        <w:jc w:val="both"/>
      </w:pPr>
      <w:r>
        <w:t>Se susţine de către revizuientă că decizia atacata a fost pronunţată cu încălcarea priorităţii dreptului comunitar. Se susţine, în esenţă, că motivul de respingere a plângerii este o încălcare flagrantă a principiului transparentei, tratamentului egal şi a prevederilor unionale.</w:t>
      </w:r>
    </w:p>
    <w:p w:rsidR="00735ECB" w14:paraId="5016E196" w14:textId="77777777">
      <w:pPr>
        <w:ind w:firstLine="709"/>
        <w:jc w:val="both"/>
      </w:pPr>
      <w:r>
        <w:t>Sunt detaliate în cuprinsul cererii de revizuire, principiile unionale apreciate ca fiind încălcate de către instanţa de recurs, respectiv principiul nediscriminării, menţionat la art. 19 din TFUE şi art. 21 din Carta CEDO, principiul transparenţei menţionat la art. 15 alineat 3 paragraf 3 din TF UE şi principiul egalităţii de tratament, menţionat la art. 14 coroborat cu art. 1 din Protocolul nr. 26 TFUE.</w:t>
      </w:r>
    </w:p>
    <w:p w:rsidR="00735ECB" w14:paraId="18D90CB0" w14:textId="77777777">
      <w:pPr>
        <w:ind w:firstLine="709"/>
        <w:jc w:val="both"/>
      </w:pPr>
      <w:r>
        <w:t>În realitate, revizuienta realizează o critică a hotărârii pronunţate de către instanţa de recurs, concluzionând că au fost încălcate principiile unionale menţionate anterior, situaţie însă ce nu este conformă cu admisibilitatea căii de atac a revizuirii întemeiată pe dispoziţiile art. 21 din Legea nr. 554 / 2004 .</w:t>
      </w:r>
    </w:p>
    <w:p w:rsidR="00735ECB" w14:paraId="59C88391" w14:textId="77777777">
      <w:pPr>
        <w:ind w:firstLine="709"/>
        <w:jc w:val="both"/>
      </w:pPr>
      <w:r>
        <w:t>Admiterea revizuirii, cu consecinţa anulării unei hotărâri definitive, aduce atingere principiului securităţii raporturilor juridice.</w:t>
      </w:r>
    </w:p>
    <w:p w:rsidR="00735ECB" w14:paraId="7C6C4463" w14:textId="5307058D">
      <w:pPr>
        <w:ind w:firstLine="709"/>
        <w:jc w:val="both"/>
        <w:rPr>
          <w:rStyle w:val="Fontdeparagrafimplicit"/>
          <w:u w:val="single"/>
        </w:rPr>
      </w:pPr>
      <w:r>
        <w:rPr>
          <w:rStyle w:val="Fontdeparagrafimplicit"/>
          <w:u w:val="single"/>
        </w:rPr>
        <w:t xml:space="preserve">2. Revizuirea formulata de Asocierea </w:t>
      </w:r>
      <w:r w:rsidR="00A3315D">
        <w:rPr>
          <w:rStyle w:val="Fontdeparagrafimplicit"/>
          <w:u w:val="single"/>
        </w:rPr>
        <w:t xml:space="preserve">9 </w:t>
      </w:r>
      <w:r>
        <w:rPr>
          <w:rStyle w:val="Fontdeparagrafimplicit"/>
          <w:u w:val="single"/>
        </w:rPr>
        <w:t xml:space="preserve"> este nefondata</w:t>
      </w:r>
    </w:p>
    <w:p w:rsidR="00735ECB" w14:paraId="60888DB0" w14:textId="77777777">
      <w:pPr>
        <w:ind w:firstLine="709"/>
        <w:jc w:val="both"/>
      </w:pPr>
      <w:r>
        <w:t>Cerinţa de deţinere si prezentare a agrementului AFER pentru sudura aluminotermica a fost impusa ca si cerinţa de calificare prin Fisa de date a achiziţiei.</w:t>
      </w:r>
    </w:p>
    <w:p w:rsidR="00735ECB" w14:paraId="71B07F5D" w14:textId="77777777">
      <w:pPr>
        <w:ind w:firstLine="709"/>
        <w:jc w:val="both"/>
      </w:pPr>
      <w:r>
        <w:t>Anterior analizării situaţiei în care s-a găsit revizuienta, respectiv imposibilitatea acesteia de a îndeplini cerinţa de calificare privind prezentarea agrementului AFER privind sudarea aluminotermica se impune a fi clarificata obligaţia acestuia de a prezenta documentul solicitat.</w:t>
      </w:r>
    </w:p>
    <w:p w:rsidR="00735ECB" w14:paraId="1B12F83E" w14:textId="77777777">
      <w:pPr>
        <w:ind w:firstLine="709"/>
        <w:jc w:val="both"/>
      </w:pPr>
      <w:r>
        <w:t>Analizând toate prevederile fisei de date a achiziţiei cat si prevederile legale aplicabile la care se face trimitere in mod expres in conţinutul acesteia devine neechivoc ca:</w:t>
      </w:r>
    </w:p>
    <w:p w:rsidR="00735ECB" w14:paraId="41CA13E7" w14:textId="77777777">
      <w:pPr>
        <w:ind w:firstLine="709"/>
        <w:jc w:val="both"/>
      </w:pPr>
      <w:r>
        <w:t>-</w:t>
      </w:r>
      <w:r>
        <w:tab/>
        <w:t xml:space="preserve">Sudarea şinelor, a aparatelor de cale inclusiv materialele pentru sudarea aluminotermică este o lucrare încadrata in clasa de risc 1A </w:t>
      </w:r>
      <w:r>
        <w:tab/>
        <w:t>pentru care era necesara prezentarea agrementului feroviar in conformitate cu art. 1 alin. 1 din OMT 290/2000 (citat anterior)</w:t>
      </w:r>
    </w:p>
    <w:p w:rsidR="00735ECB" w14:paraId="006A534C" w14:textId="77777777">
      <w:pPr>
        <w:ind w:firstLine="709"/>
        <w:jc w:val="both"/>
      </w:pPr>
      <w:r>
        <w:t>-</w:t>
      </w:r>
      <w:r>
        <w:tab/>
        <w:t xml:space="preserve"> Acest agrement nu putea fi detinut decât de către unul dintre membrii asocierii care ar fi si executat efectiv lucrarea respectiva</w:t>
      </w:r>
    </w:p>
    <w:p w:rsidR="00735ECB" w14:paraId="0A0A3DF0" w14:textId="77777777">
      <w:pPr>
        <w:ind w:firstLine="709"/>
        <w:jc w:val="both"/>
      </w:pPr>
      <w:r>
        <w:t>-</w:t>
      </w:r>
      <w:r>
        <w:tab/>
        <w:t xml:space="preserve"> In lipsa unui agrement tehnic pentru produsele/serviciile critice, Entitatea Contractanta se afla in imposibilitatea de încheia un contract, dispoziţiile art. 7 alin. 1 din OMT nr. 290/2000 fiind exprese in acest sens.</w:t>
      </w:r>
    </w:p>
    <w:p w:rsidR="00735ECB" w14:paraId="45F6E3EC" w14:textId="77777777">
      <w:pPr>
        <w:ind w:firstLine="709"/>
        <w:jc w:val="both"/>
      </w:pPr>
      <w:r>
        <w:t>Prevederea legala impune astfel ca, pentru a încheia contractul, sa existe toate agrementele impuse, neexistând posibilitatea ca ulterior, după semnare, sa fie obținute aceste agremente obligatorii.</w:t>
      </w:r>
    </w:p>
    <w:p w:rsidR="00735ECB" w14:paraId="2B92C1DE" w14:textId="77777777">
      <w:pPr>
        <w:ind w:firstLine="709"/>
        <w:jc w:val="both"/>
      </w:pPr>
      <w:r>
        <w:t>Este evident ca, din perspectiva prevederilor legale aplicabile, respectiv dispoziţiile OMT nr. 290/2000, contestatoarei nu ii putea fi atribuit contractul având ca obiect inclusiv execuţia lucrării de realizare a sudurii căii fără joante (lucrare critica), decât dacă acesta deţine agrementul feroviar, așa cum a fost, de altfel, solicitat prin Fisa de Date.</w:t>
      </w:r>
    </w:p>
    <w:p w:rsidR="00735ECB" w14:paraId="38243DD0" w14:textId="77777777">
      <w:pPr>
        <w:ind w:firstLine="709"/>
        <w:jc w:val="both"/>
      </w:pPr>
      <w:r>
        <w:t>De altfel, poziţia revizuentei a fost diferita pe parcursul evaluării, in fata CNSC, precum si in fata instanţei de judecata, investita cu soluţionarea plângerii acesteia împotriva deciziei CNSC:</w:t>
      </w:r>
    </w:p>
    <w:p w:rsidR="00735ECB" w14:paraId="61641812" w14:textId="77777777">
      <w:pPr>
        <w:ind w:firstLine="709"/>
        <w:jc w:val="both"/>
      </w:pPr>
      <w:r>
        <w:t>-</w:t>
      </w:r>
      <w:r>
        <w:tab/>
        <w:t>In fata comisiei de evaluare Revizuienta nu a încercat niciun moment sa arate ca înţelegerea sa referitoare la prezentarea acestui agrement era in sensul inexistentei unei cerinţe de clarificare care sa justifice solicitările comisiei de evaluare</w:t>
      </w:r>
    </w:p>
    <w:p w:rsidR="00735ECB" w14:paraId="57FC5DA1" w14:textId="77777777">
      <w:pPr>
        <w:ind w:firstLine="709"/>
        <w:jc w:val="both"/>
      </w:pPr>
      <w:r>
        <w:t>-</w:t>
      </w:r>
      <w:r>
        <w:tab/>
        <w:t>Ulterior in fata CNSC, Revizuienta a încercat sa acrediteze ideea inexistentei acestei cerinţei de calificare sau, mai bine zis, pretinsa confuzie a acesteia fata de necesitatea îndeplinirii unei atare cerinţe de calificare</w:t>
      </w:r>
    </w:p>
    <w:p w:rsidR="00735ECB" w14:paraId="07A0C355" w14:textId="77777777">
      <w:pPr>
        <w:ind w:firstLine="709"/>
        <w:jc w:val="both"/>
      </w:pPr>
      <w:r>
        <w:t>-</w:t>
      </w:r>
      <w:r>
        <w:tab/>
        <w:t>In fata instanţei de judecata, Revizuienta recunoaşte necesitatea deţinerii unui asemenea agrement AFER, insa încerca sa acrediteze fie ideea conform căreia “lipsa de însemnătate a pretinsei abateri” nu justifica excluderea sa, fie ca necesitatea prezentării acestuia ar fi la momentul execuţiei efective al lucrărilor pentru care este ceruta deţinerea acestui agrement.</w:t>
      </w:r>
    </w:p>
    <w:p w:rsidR="00735ECB" w14:paraId="3D723F30" w14:textId="77777777">
      <w:pPr>
        <w:ind w:firstLine="709"/>
        <w:jc w:val="both"/>
      </w:pPr>
      <w:r>
        <w:t>Pe de o alta parte, atât in cuprinsul contestaţiei cat si in cuprinsul plângerii, revizuienta a abordat ca si capitol prioritar solicitarea de a se constata ca deţine echivalentul agrementului AFER, criticând poziţia comisiei de evaluare in sensul “atât timp cat documentul echivalent s-a aflat la dispoziţia comisiei de evaluare, refuzul de a-l lua in considerare reprezintă un abuz (pag. 20 din revizuire)</w:t>
      </w:r>
    </w:p>
    <w:p w:rsidR="00735ECB" w14:paraId="62EEEDD3" w14:textId="77777777">
      <w:pPr>
        <w:ind w:firstLine="709"/>
        <w:jc w:val="both"/>
      </w:pPr>
      <w:r>
        <w:t>In analizarea poziţiei revizuentei referitoare la lipsa cerinţei de calificare privind prezentarea “documentelor AFER pentru sudura”, intervenienta apreciază ca un rol important îl va avea si analizarea atitudinii acesteia fata de cerinţa din FDA:</w:t>
      </w:r>
    </w:p>
    <w:p w:rsidR="00735ECB" w14:paraId="0326AC3F" w14:textId="77777777">
      <w:pPr>
        <w:ind w:firstLine="709"/>
        <w:jc w:val="both"/>
      </w:pPr>
      <w:r>
        <w:t>-</w:t>
      </w:r>
      <w:r>
        <w:tab/>
        <w:t>revizuienta nu a solicitat niciun moment clarificarea documentaţiei de atribuire in sensul enumerării tuturor agrementelor solicitate pentru îndeplinirea cerinţei de calificare;</w:t>
      </w:r>
    </w:p>
    <w:p w:rsidR="00735ECB" w14:paraId="7DAA9246" w14:textId="77777777">
      <w:pPr>
        <w:ind w:firstLine="709"/>
        <w:jc w:val="both"/>
      </w:pPr>
      <w:r>
        <w:t>-</w:t>
      </w:r>
      <w:r>
        <w:tab/>
        <w:t>în legătură cu prevederile/conţinutul documentelor care constituie documentaţia de atribuire sau a răspunsului la solicitările de clarificări adresate de către operatorii economici Entităţii Contractante in cadrul unei proceduri de achiziţie publica. Legea nr. 101/2016 prevede posibilitatea contestării in etapa preliminară derulării procedurii de achiziţie publica, in termen de 10 zile de la publicarea acesteia. In prezenta procedura de achiziţie publica niciun operator economic nu a contestat in fata CNSC conţinutul documentaţiei de atribuire, inclusiv revizuienta;</w:t>
      </w:r>
    </w:p>
    <w:p w:rsidR="00735ECB" w14:paraId="13BA79C7" w14:textId="77777777">
      <w:pPr>
        <w:ind w:firstLine="709"/>
        <w:jc w:val="both"/>
      </w:pPr>
      <w:r>
        <w:t>-</w:t>
      </w:r>
      <w:r>
        <w:tab/>
        <w:t xml:space="preserve"> revizuienta nu poate susţine in mod veridic ca tocmai acest agrement nu a fost solicitat de vreme ce cerinţa de calificare vizează deţinerea tuturor agrementelor necesare executării lucrărilor critice ce fac obiectul contractului;</w:t>
      </w:r>
    </w:p>
    <w:p w:rsidR="00735ECB" w14:paraId="73DE7286" w14:textId="77777777">
      <w:pPr>
        <w:ind w:firstLine="709"/>
        <w:jc w:val="both"/>
      </w:pPr>
      <w:r>
        <w:t>-</w:t>
      </w:r>
      <w:r>
        <w:tab/>
        <w:t xml:space="preserve"> revizuienta a răspuns la solicitarea de clarificări adresata acesteia de către comisia de evaluare susţinând ca deţine un agrement feroviar echivalent;</w:t>
      </w:r>
    </w:p>
    <w:p w:rsidR="00735ECB" w14:paraId="37DC7777" w14:textId="77777777">
      <w:pPr>
        <w:ind w:firstLine="709"/>
        <w:jc w:val="both"/>
      </w:pPr>
      <w:r>
        <w:t>-</w:t>
      </w:r>
      <w:r>
        <w:tab/>
        <w:t xml:space="preserve"> în răspunsul sau, revizuienta nu a susţinut niciun moment ca acest agrement nu ar trebui prezentat;</w:t>
      </w:r>
    </w:p>
    <w:p w:rsidR="00735ECB" w14:paraId="1FDFE294" w14:textId="77777777">
      <w:pPr>
        <w:ind w:firstLine="709"/>
        <w:jc w:val="both"/>
      </w:pPr>
      <w:r>
        <w:t>-</w:t>
      </w:r>
      <w:r>
        <w:tab/>
        <w:t xml:space="preserve"> abia la contestaţia in fata CNSC, după ce comisia de evaluare a constatat ca documentele prezentate de către revizuienta nu fac dovada deţinerii agrementului feroviar privind sudarea aluminotermica, aceasta, a aratat ca, desi susţine in continuare conformitatea documentelor depuse pentru dovedirea deţinerii acestui agreement de fapt nici nu ar trebui cerut.</w:t>
      </w:r>
    </w:p>
    <w:p w:rsidR="00735ECB" w14:paraId="6B041324" w14:textId="77777777">
      <w:pPr>
        <w:ind w:firstLine="709"/>
        <w:jc w:val="both"/>
      </w:pPr>
      <w:r>
        <w:t>Intervenienta învederează faptul că cerinţa de calificare nu a făcut obiectul vreunei solicitări de lămuriri sau clarificări din oficiu, motiv pentru care este aplicabila în forma redata anterior. Totodată, este de remarcat că documentaţia de atribuire, la care se adaugă clarificările postate în SEAP, nu a fost contestată de niciun operator economic, drept pentru care toate prevederile ei şi-au consolidat forţa obligatorie atât pentru autoritatea contractantă, cat mai ales pentru operatorii economici participanţi la procedura de atribuire, inclusiv pentru contestatoare.</w:t>
      </w:r>
    </w:p>
    <w:p w:rsidR="00735ECB" w14:paraId="165F41F1" w14:textId="77777777">
      <w:pPr>
        <w:ind w:firstLine="709"/>
        <w:jc w:val="both"/>
      </w:pPr>
      <w:r>
        <w:t>La acest moment nu pot fi emise pretenţii sau critici vizavi de prevederile documentaţiei de atribuire, întrucât ar fi vădit tardive, raportat la termenul prescris de art. 8 din Legea nr. 101/2016.</w:t>
      </w:r>
    </w:p>
    <w:p w:rsidR="00735ECB" w14:paraId="5F7189C0" w14:textId="77777777">
      <w:pPr>
        <w:ind w:firstLine="709"/>
        <w:jc w:val="both"/>
      </w:pPr>
      <w:r>
        <w:t xml:space="preserve">In concluzie, documentaţia acceptată implicit de toate societăţile candidate le impunea sa ii urmeze cu stricteţe prescripţiile, sens în care dispune şi art. 129 din HG nr. 394/2016 „ofertanţii elaborează oferta în conformitate cu prevederile documentaţiei de atribuire şi </w:t>
      </w:r>
      <w:r>
        <w:t>indică motivat în cuprinsul acesteia care informaţii din propunerea tehnică şi/sau din propunerea financiară sunt confidenţiale, clasificate sau sunt protejate de un drept de proprietate intelectuală, în baza legislaţiei aplicabile"</w:t>
      </w:r>
    </w:p>
    <w:p w:rsidR="00735ECB" w14:paraId="21BE645E" w14:textId="77777777">
      <w:pPr>
        <w:ind w:firstLine="709"/>
        <w:jc w:val="both"/>
      </w:pPr>
      <w:r>
        <w:t>De altfel, interesant ar fi de argumentat de către revizuienta cum a ajuns la concluzia ca tocmai acest agrement AFER nu trebuie prezentat, întrucât așa cum a detaliat anterior, cerinţa de calificare prevede necesitatea prezentării de agremente tehnice si feroviare eliberate de AFER în conformitate cu art.1, alin. (1) si (2) din OMT 290/2000 pentru categoriile de lucrări feroviare critice necesare in vederea îndeplinirii contractului de execuţie, valabile la data prezentării.</w:t>
      </w:r>
    </w:p>
    <w:p w:rsidR="00735ECB" w14:paraId="201D26EB" w14:textId="77777777">
      <w:pPr>
        <w:ind w:firstLine="709"/>
        <w:jc w:val="both"/>
      </w:pPr>
      <w:r>
        <w:t>Așa cum lesne se poate observa cerinţa de calificare nu a făcut nicio menţiune expresa in privinţa niciunui tip de agrement, solicitându-se toate agrementele aferente categoriilor de lucrări critice sunt necesare in vederea execuţiei contractului.</w:t>
      </w:r>
    </w:p>
    <w:p w:rsidR="00735ECB" w14:paraId="196AC4C3" w14:textId="77777777">
      <w:pPr>
        <w:ind w:firstLine="709"/>
        <w:jc w:val="both"/>
      </w:pPr>
      <w:r>
        <w:t>Intervenienta precizează ca a avut la dispoziţie aceeaşi Fisa de Data a Achiziţiei si a inteles obligativitatea prezentării acestui agrement, cu menţiunea ca este parte a unei asocieri aflata pentru prima data in Romania pentru a participa la o procedura de atribuire, spre deosebire de revizuienta care derulează contracte in Romania de mai bine de 15 ani.</w:t>
      </w:r>
    </w:p>
    <w:p w:rsidR="00735ECB" w14:paraId="300B39F1" w14:textId="4F94B357">
      <w:pPr>
        <w:ind w:firstLine="709"/>
        <w:jc w:val="both"/>
      </w:pPr>
      <w:r>
        <w:t xml:space="preserve">Revizuienta încearcă sa acrediteze ideea ca, in conformitate cu scrisoarea nr. </w:t>
      </w:r>
      <w:r w:rsidR="00A3315D">
        <w:t xml:space="preserve">                   </w:t>
      </w:r>
      <w:r>
        <w:t xml:space="preserve"> emis de către AFER, activitatea de sudare nu poate fi asimilata sau considerata inclusa in nicio alta activitate derulata in cadrul infrastructurii feroviare, (pg. 8 din revizuire).</w:t>
      </w:r>
    </w:p>
    <w:p w:rsidR="00735ECB" w14:paraId="39BAA8DE" w14:textId="77777777">
      <w:pPr>
        <w:ind w:firstLine="709"/>
        <w:jc w:val="both"/>
      </w:pPr>
      <w:r>
        <w:t>In realitate, in cuprinsul scrisorii cu nr de mai sus, AFER menţionează: “ca urmare a actului... prin care solicitaţi informaţii cu privire la posibilitatea includerii. potrivit procedurilor de acordare a agrementelor tehnie feroviare, conform OMT 290/2000l a activitatii de sudare a şinelor, a aparatelor de cale inclusiv materiale pentru sudura aluminotermica in categoriile de servicii lucrări de infrastructura ...) va comunicam următoarele: atat activitatea de sudare a şinelor de cale ferata cat si materialele utilizate la sudarea aluminotermica nu pot fi asimilate sau incluse in nicio alta activitate derulata in cadrul infrastructurii feroviare, incadrata separat in Lista de mai sus”</w:t>
      </w:r>
    </w:p>
    <w:p w:rsidR="00735ECB" w14:paraId="48ED3014" w14:textId="77777777">
      <w:pPr>
        <w:ind w:firstLine="709"/>
        <w:jc w:val="both"/>
      </w:pPr>
      <w:r>
        <w:t>Mai clar, AFER certifica ca, in ceea ce priveşte procedura de agrementare, lucrările de sudare a şinelor nu pot fi încadrate in alta categorie, necesitând obţinerea unui agrement specific.</w:t>
      </w:r>
    </w:p>
    <w:p w:rsidR="00735ECB" w14:paraId="4E5A4A87" w14:textId="77777777">
      <w:pPr>
        <w:ind w:firstLine="709"/>
        <w:jc w:val="both"/>
      </w:pPr>
      <w:r>
        <w:t>Intr-adevăr, potrivit Listei produselor, lucrărilor şi serviciilor feroviare critice şi încadrarea acestora în clasa de risc (publicată pe site-ul www.afer.ro) utilizată în cadrul Autorităţii Feroviare Române - AFER pentru încadrarea în clasele de risc a produselor, lucrărilor, serviciilor feroviare critice, cerinţă a O.M.T. nr. 290/2000, Anexa 3, Cap.II, art. 10, alin. (4). la capitolul C, punctul 4 - LUCRĂRI DE CONSTRUIRE. REPARARE, ÎNTREŢINERE, MODERNIZARE, REABILITARE ALE LINIILOR DE CALE FERATĂ Şl METROU apar următoarele lucrări feroviare critice ce necesită autorizare si agrementare AFER :</w:t>
      </w:r>
    </w:p>
    <w:p w:rsidR="00735ECB" w14:paraId="78EA0005" w14:textId="77777777">
      <w:pPr>
        <w:ind w:firstLine="709"/>
        <w:jc w:val="both"/>
      </w:pPr>
      <w:r>
        <w:t>1.</w:t>
      </w:r>
      <w:r>
        <w:tab/>
        <w:t xml:space="preserve"> Lucrări de construcţie, reabilitare şi modernizare linii CF,</w:t>
      </w:r>
    </w:p>
    <w:p w:rsidR="00735ECB" w14:paraId="440FBDFF" w14:textId="77777777">
      <w:pPr>
        <w:ind w:firstLine="709"/>
        <w:jc w:val="both"/>
      </w:pPr>
      <w:r>
        <w:t>2.</w:t>
      </w:r>
      <w:r>
        <w:tab/>
        <w:t xml:space="preserve"> întreţinerea şi repararea liniilor CF</w:t>
      </w:r>
    </w:p>
    <w:p w:rsidR="00735ECB" w14:paraId="2AF8B4FB" w14:textId="77777777">
      <w:pPr>
        <w:ind w:firstLine="709"/>
        <w:jc w:val="both"/>
      </w:pPr>
      <w:r>
        <w:t>3.</w:t>
      </w:r>
      <w:r>
        <w:tab/>
        <w:t xml:space="preserve"> Lucrări de recondiţionare a şinelor şi traverselor de cale ferată</w:t>
      </w:r>
    </w:p>
    <w:p w:rsidR="00735ECB" w14:paraId="2243D6C1" w14:textId="77777777">
      <w:pPr>
        <w:ind w:firstLine="709"/>
        <w:jc w:val="both"/>
      </w:pPr>
      <w:r>
        <w:t>4.</w:t>
      </w:r>
      <w:r>
        <w:tab/>
        <w:t xml:space="preserve"> Recondiţionarea elementelor de prindere a căii</w:t>
      </w:r>
    </w:p>
    <w:p w:rsidR="00735ECB" w14:paraId="1F926E3A" w14:textId="77777777">
      <w:pPr>
        <w:ind w:firstLine="709"/>
        <w:jc w:val="both"/>
      </w:pPr>
      <w:r>
        <w:t>5.</w:t>
      </w:r>
      <w:r>
        <w:tab/>
        <w:t xml:space="preserve"> Revizii linii şi inspecţie lucrări de artă</w:t>
      </w:r>
    </w:p>
    <w:p w:rsidR="00735ECB" w14:paraId="4F9B5ED1" w14:textId="77777777">
      <w:pPr>
        <w:ind w:firstLine="709"/>
        <w:jc w:val="both"/>
      </w:pPr>
      <w:r>
        <w:t>6.</w:t>
      </w:r>
      <w:r>
        <w:tab/>
        <w:t xml:space="preserve"> Sudarea şinelor, a aparatelor de cale inclusiv materialele pentru sudarea aluminotermică,</w:t>
      </w:r>
    </w:p>
    <w:p w:rsidR="00735ECB" w14:paraId="1691572A" w14:textId="77777777">
      <w:pPr>
        <w:ind w:firstLine="709"/>
        <w:jc w:val="both"/>
      </w:pPr>
      <w:r>
        <w:t>7.</w:t>
      </w:r>
      <w:r>
        <w:tab/>
        <w:t xml:space="preserve"> Montare şi introducere în cale a aparatelor de cale.</w:t>
      </w:r>
    </w:p>
    <w:p w:rsidR="00735ECB" w14:paraId="60C99490" w14:textId="77777777">
      <w:pPr>
        <w:ind w:firstLine="709"/>
        <w:jc w:val="both"/>
      </w:pPr>
      <w:r>
        <w:t xml:space="preserve">Așa cum se poate observa, activitatea de sudare a şinelor este prevăzută ca o activitate distincta pentru care se obţine un agrement tehnic specific, acesta fiind sensul celor menţionate de către AFER din cuprinsul scrisorii de referinţa si nu, ceea ce pretinde ca </w:t>
      </w:r>
      <w:r>
        <w:t>înțelege revizuienta, respectiv ca activitatea de sudura ar fi o activitate fara nicio legătură cu alte activitati derulate in cadrul infrastructurii feroviare.</w:t>
      </w:r>
    </w:p>
    <w:p w:rsidR="00735ECB" w14:paraId="30553BE5" w14:textId="77777777">
      <w:pPr>
        <w:ind w:firstLine="709"/>
        <w:jc w:val="both"/>
      </w:pPr>
      <w:r>
        <w:t>In realitate, activitatea de sudura face parte din categoria de lucrări de suprastructura, asa cum bine cunoaşte revizuienta, avand in vedere ca este operator economic cu experienţa in acest tip de lucrări.</w:t>
      </w:r>
    </w:p>
    <w:p w:rsidR="00735ECB" w14:paraId="50E78307" w14:textId="77777777">
      <w:pPr>
        <w:ind w:firstLine="709"/>
        <w:jc w:val="both"/>
      </w:pPr>
      <w:r>
        <w:t>Intervenienta arată ca, din punct de vedere constructiv calea ferata este formata din 2 parti, respectiv suprastructura si infrastructura.</w:t>
      </w:r>
    </w:p>
    <w:p w:rsidR="00735ECB" w14:paraId="5C9A7E48" w14:textId="77777777">
      <w:pPr>
        <w:ind w:firstLine="709"/>
        <w:jc w:val="both"/>
      </w:pPr>
      <w:r>
        <w:t>Suprastructura caii ferate reprezintă partea alcătuita din șina, aparate de cale, material mărunt de cale, traverse si prisma caii.</w:t>
      </w:r>
    </w:p>
    <w:p w:rsidR="00735ECB" w14:paraId="2DEB68B9" w14:textId="77777777">
      <w:pPr>
        <w:ind w:firstLine="709"/>
        <w:jc w:val="both"/>
      </w:pPr>
      <w:r>
        <w:t>Suprastructura căii este definita ca fiind “ansamblul elementelor din construcţia unei căi ferate care se găsesc deasupra platformei căii: stratul de balast, traversele, şinele, instalaţiile de cale etc.”</w:t>
      </w:r>
    </w:p>
    <w:p w:rsidR="00735ECB" w14:paraId="3B1D4F82" w14:textId="77777777">
      <w:pPr>
        <w:ind w:firstLine="709"/>
        <w:jc w:val="both"/>
      </w:pPr>
      <w:r>
        <w:t>Lucrările de suprastructura C.F includ, pe lângă cele legate strict de elementele caii arătate mai sus, toate amenajările care intervin la nivelul acestor elemente.</w:t>
      </w:r>
    </w:p>
    <w:p w:rsidR="00735ECB" w14:paraId="6E8000F2" w14:textId="77777777">
      <w:pPr>
        <w:ind w:firstLine="709"/>
        <w:jc w:val="both"/>
      </w:pPr>
      <w:r>
        <w:t>Este de domeniul evidentei ca sudura căii face parte din lucrările la suprastructura, fiind cuprinsa în obiectul contractului care face obiectul procedurii de faţă iar cerinţa din Fisa de Date a fost explicita in sensul ca ofertanţii erau obligaţi sa prezinte autorizaţie de furnizor feroviar si agrement tehnic, eliberate de AFER pentru toate lucrările feroviare critice necesare in vederea îndeplinirii contractului de execuţie.</w:t>
      </w:r>
    </w:p>
    <w:p w:rsidR="00735ECB" w14:paraId="3FB13222" w14:textId="77777777">
      <w:pPr>
        <w:ind w:firstLine="709"/>
        <w:jc w:val="both"/>
      </w:pPr>
      <w:r>
        <w:t>Mai mult decât atât, potrivit Caietului de Sarcini aferent Suprastructurii, ce a fost pus la dispoziţia ofertanţilor de către Entitatea Contractanta, la pag. 97/123 începe capitolul 6.3 "Execuţia lucrărilor", care are ca subcapitol - 6.3.3.m pag. 101 "Sudarea reperelor aparatelor de cale" si - 6.3.3.n pag. 105 "Construcţia caii fara joante" (adica tocmai sudarea caii), respective 10 pagini care trebuiau sa fie acoperite de conformarea prin existenta unui Agrement tehnic privind sudarea aluminotermica.</w:t>
      </w:r>
    </w:p>
    <w:p w:rsidR="00735ECB" w14:paraId="0BDD23B0" w14:textId="77777777">
      <w:pPr>
        <w:ind w:firstLine="709"/>
        <w:jc w:val="both"/>
      </w:pPr>
      <w:r>
        <w:t xml:space="preserve">In sensul celor de mai sus este si practica CNSC: </w:t>
      </w:r>
    </w:p>
    <w:p w:rsidR="00735ECB" w14:paraId="3DAEC88A" w14:textId="77777777">
      <w:pPr>
        <w:ind w:firstLine="709"/>
        <w:jc w:val="both"/>
      </w:pPr>
      <w:r>
        <w:t>“În contextul în care nu rezultă cu certitudine că societatea posedă agrement AFER pentru categoriile de lucrări nominalizate, entitatea contractantă trebuie să aprecieze că există un risc privind îndeplinirea cerinţei de calificare, împrejurare în care îi revenea obligaţia să clarifice acest aspect anterior considerării admisibilităţii ofertei. Dacă răspunsul care va fi primit nu demonstrează cu claritate agrementarea şi pentru acele lucrări, entitatea este îndrituită şi obligată să respingă oferta în cauză. Orice decizie a autorităţii privind admiterea sau respingerea unei oferte trebuie fundamentată pe o evaluare temeinică a ofertei, sub toate aspectele acesteia, şi pe probe concludente, iar nu pe simple aprecieri ale membrilor comisiei de evaluare, care în speţă pot favoriza o ofertantă care a prezentat un agrement AFER cu încălcarea cerinţei fişei de date şi a legislaţiei privind achiziţiile sectoriale. Este evident că omiterea anumitor elemente de agrementare conduce şi la încălcarea principiului tratamentului egal între ofertanţi.</w:t>
      </w:r>
    </w:p>
    <w:p w:rsidR="00735ECB" w14:paraId="75503969" w14:textId="77777777">
      <w:pPr>
        <w:ind w:firstLine="709"/>
        <w:jc w:val="both"/>
      </w:pPr>
      <w:r>
        <w:t xml:space="preserve">Prestarea serviciilor privind întreţinerea materialului rulant, precum şi construirea, modernizarea, repararea şi întreţinerea infrastructurii de transport feroviar şi cu metroul, denumite servicii feroviare critice, poate fi efectuată numai de către furnizorii feroviari, dacă aceştia fac dovada că deţin un agrement tehnic pentru fiecare serviciu prestat. în scopul respectării cerinţelor privind siguranţa circulaţiei şi securitatea transportului, calitatea serviciilor, sănătatea oamenilor şi protecţia mediului în transportul feroviar şi cu metroul, activităţile de construire, modernizare, reparare şi de întreţinere a materialului rulant şi a infrastructurii feroviare pot fi efectuate numai de agenţii economici autorizaţi şi supravegheaţi din punct de vedere tehnic de AFER. Produsele şi serviciile feroviare care pot influenţa siguranţa circulaţiei şi securitatea transporturilor, calitatea serviciilor de transport, sănătatea oamenilor sau protecţia mediului, care se procură din import sau pentru care nu au fost definite aptitudinile de utilizare în domeniul transportului feroviar şi cu metroul, pot fi </w:t>
      </w:r>
      <w:r>
        <w:t>utilizate în activităţile de construire, modernizare, reparare şi întreţinere a materialului rulant şi a infrastructurii de transport feroviar şi cu metroul, numai pe baza unor agremente tehnice feroviare acordate de AFER.</w:t>
      </w:r>
    </w:p>
    <w:p w:rsidR="00735ECB" w14:paraId="21B764D6" w14:textId="77777777">
      <w:pPr>
        <w:ind w:firstLine="709"/>
        <w:jc w:val="both"/>
      </w:pPr>
      <w:r>
        <w:t>Dacă specialiştii companiei beneficiare probează că intervenţiile subcontractanţilor se circumscriu unei lucrări la infrastructura de transport feroviar, atunci subcontractanţilor le revine obligaţia prezentării autorizării şi agrementului AFER specifice. în speţă, din explicaţiile produse de beneficiara investiţiei nu reiese cu certitudine că săpăturile, încărcările şi forările de coloane nu au tangenţă cu lucrările la infrastructura amintită (sunt independente de acestea). Cât timp, contractul este pentru lucrări feroviare, se prezumă (există indicii rezonabile) că ansamblul lucrărilor sunt de specialitate si trebuie executate de antreprenori calificaţi.“</w:t>
      </w:r>
    </w:p>
    <w:p w:rsidR="00735ECB" w14:paraId="13A42A9B" w14:textId="1C812C1E">
      <w:pPr>
        <w:ind w:firstLine="709"/>
        <w:jc w:val="both"/>
      </w:pPr>
      <w:r>
        <w:t xml:space="preserve">Asocierea </w:t>
      </w:r>
      <w:r w:rsidR="00A3315D">
        <w:t xml:space="preserve">9 </w:t>
      </w:r>
      <w:r>
        <w:t xml:space="preserve"> nu deţine agrementul AFER solicitat si nici nu a prezentat un echivalent al acestuia.</w:t>
      </w:r>
    </w:p>
    <w:p w:rsidR="00735ECB" w14:paraId="1C032D04" w14:textId="107DC720">
      <w:pPr>
        <w:ind w:firstLine="709"/>
        <w:jc w:val="both"/>
      </w:pPr>
      <w:r>
        <w:t>In data de 21.01.</w:t>
      </w:r>
      <w:r w:rsidR="00A3315D">
        <w:t xml:space="preserve">   </w:t>
      </w:r>
      <w:r>
        <w:t xml:space="preserve"> a fost aprobat raportul procedurii privind atribuirea contractului de achiziţie sectorial, iar in data de 23.01.</w:t>
      </w:r>
      <w:r w:rsidR="00A3315D">
        <w:t xml:space="preserve">  </w:t>
      </w:r>
      <w:r>
        <w:t xml:space="preserve"> acesta a fost adus la cunoştinţa tuturor ofertanţilor prin publicare in sistemul electronic SEAP.</w:t>
      </w:r>
    </w:p>
    <w:p w:rsidR="00735ECB" w14:paraId="40E2A87A" w14:textId="5E779E68">
      <w:pPr>
        <w:ind w:firstLine="709"/>
        <w:jc w:val="both"/>
      </w:pPr>
      <w:r>
        <w:t xml:space="preserve">In cuprinsul acestuia si in adresa de comunicare a rezultatului procedurii i-a fost comunicat Asocierii </w:t>
      </w:r>
      <w:r w:rsidR="00A3315D">
        <w:t>9</w:t>
      </w:r>
      <w:r>
        <w:t xml:space="preserve"> ca oferta sa a fost respinsa “în temeiul prevederilor art. 143 alin. 1 din HG nr. 394/2016, fiind inacceptabila potrivit prevederilor art. 143 alin. 2 lit. B din HG nr. 394/2016, întrucât nu îndeplineşte cerinţele minime solicitate prin documentaţia de atribuire si prevederilor art. 140 alin. 4 din Hg nr. 394/2016 răspunsul la întrebarea nr. 4 din solicitarea de clarificări nr. </w:t>
      </w:r>
      <w:r w:rsidR="00A3315D">
        <w:t xml:space="preserve">            </w:t>
      </w:r>
      <w:r>
        <w:t>/29.11.</w:t>
      </w:r>
      <w:r w:rsidR="00A3315D">
        <w:t xml:space="preserve"> </w:t>
      </w:r>
    </w:p>
    <w:p w:rsidR="00735ECB" w14:paraId="526628BC" w14:textId="2C016562">
      <w:pPr>
        <w:ind w:firstLine="709"/>
        <w:jc w:val="both"/>
      </w:pPr>
      <w:r>
        <w:t xml:space="preserve">Pentru a decide in acest sens, comisia de evaluare a avut in vedere răspunsul la clarificări prezentat de revizuienta, respectiv “celalalt membru al asocierii, </w:t>
      </w:r>
      <w:r w:rsidR="00A3315D">
        <w:t xml:space="preserve">2 </w:t>
      </w:r>
      <w:r>
        <w:t xml:space="preserve"> SA deţine acreditări echivalente in </w:t>
      </w:r>
      <w:r w:rsidR="00A3315D">
        <w:t xml:space="preserve">G </w:t>
      </w:r>
      <w:r>
        <w:t xml:space="preserve">, inclusiv cele referitoare la sudura, insa consideram ca, prim masurile deja întreprinse, serviciul de sudura in cadrul Asocierii </w:t>
      </w:r>
      <w:r w:rsidR="00A3315D">
        <w:t xml:space="preserve">9 </w:t>
      </w:r>
      <w:r>
        <w:t xml:space="preserve"> este suficient acoperit”.</w:t>
      </w:r>
    </w:p>
    <w:p w:rsidR="00735ECB" w14:paraId="34359B06" w14:textId="14D9DA66">
      <w:pPr>
        <w:ind w:firstLine="709"/>
        <w:jc w:val="both"/>
      </w:pPr>
      <w:r>
        <w:t xml:space="preserve">Documentele doveditoare din care ar fi trebuit sa rezulte acreditările echivalente sunt reprezentate de o adeverinţa emisa de Republica </w:t>
      </w:r>
      <w:r w:rsidR="00A3315D">
        <w:t xml:space="preserve"> </w:t>
      </w:r>
      <w:r>
        <w:t xml:space="preserve"> valabila pana la data de 17.09.</w:t>
      </w:r>
      <w:r w:rsidR="00A3315D">
        <w:t xml:space="preserve">  </w:t>
      </w:r>
      <w:r>
        <w:t>.</w:t>
      </w:r>
    </w:p>
    <w:p w:rsidR="00735ECB" w14:paraId="07891025" w14:textId="77777777">
      <w:pPr>
        <w:ind w:firstLine="709"/>
        <w:jc w:val="both"/>
      </w:pPr>
      <w:r>
        <w:t>Fata de modalitatea in care revizuienta a inteles sa răspundă solicitării de clarificare, exprimata clar si neechivoc, respectiv „Va solicitam sa prezentaţi Agrementul Tehnic Feroviar pentru sudarea aluminotermica. electrica si realizarea caii fara ioante, cu înglobarea aparatelor de cale ferata - Lucrări Suprastructura este evident ca, in ciuda tuturor susţinerilor sale din prezenta revizuire, revizuienta este cea care a răspuns in mod ambiguu, nu a oferit un răspuns clar care sa facă trimitere la modalitatea exacta de îndeplinire a cerinţei de calificare, in scopul de a ascunde ca, in realitate, niciunul dintre membrii asocierii nu deţin un astfel de agrement.</w:t>
      </w:r>
    </w:p>
    <w:p w:rsidR="00735ECB" w14:paraId="303D228D" w14:textId="77777777">
      <w:pPr>
        <w:ind w:firstLine="709"/>
        <w:jc w:val="both"/>
      </w:pPr>
      <w:r>
        <w:t>Intervenienta precizează că cerinţa de calificare are in vedere deţinerea atât la momentul depunerii ofertei a agrementului respectiv cat si obligaţia ofertanţilor de a menţine valabilitatea unor asemenea agremente.</w:t>
      </w:r>
    </w:p>
    <w:p w:rsidR="00735ECB" w14:paraId="34633D29" w14:textId="77777777">
      <w:pPr>
        <w:ind w:firstLine="709"/>
        <w:jc w:val="both"/>
      </w:pPr>
      <w:r>
        <w:t>Mai mult decât atât, documentul depus in susţinerea pretinsei deţineri a unei certificări echivalente, dincolo de faptul ca era expirat din punctul de vedere al valabilității acestuia, nu face dovada ca reprezintă in sine o certificare echivalenta.</w:t>
      </w:r>
    </w:p>
    <w:p w:rsidR="00735ECB" w14:paraId="5E2E21BD" w14:textId="77777777">
      <w:pPr>
        <w:ind w:firstLine="709"/>
        <w:jc w:val="both"/>
      </w:pPr>
      <w:r>
        <w:t>Pentru a fi in măsură să constate îndeplinirea cerinţei de calificare si sa constate echivalenta unui document din tara de origine cu cele solicitate prin documentaţia de atribuire, ofertantului îi revine sarcina de a face dovada in acest sens.</w:t>
      </w:r>
    </w:p>
    <w:p w:rsidR="00735ECB" w14:paraId="2AD13351" w14:textId="77777777">
      <w:pPr>
        <w:ind w:firstLine="709"/>
        <w:jc w:val="both"/>
      </w:pPr>
      <w:r>
        <w:t xml:space="preserve">Cu alte cuvinte, revizuienta, in măsura in care ar fi dorit sa înlăture orice nelămurire cu privire la forţa probanta a acestui document, calificat ca “adeverinţa” de către comisia de evaluare, ar fi trebuit sa indice actul normativ care indica autoritatea autorizata sa emită astfel de documente in tara de origine, statutul juridic si/sau forma pe care o imbraca o astfel de </w:t>
      </w:r>
      <w:r>
        <w:t>acreditare in tara de origine, precum si condiţiile de eliberare a unui astfel de certificat/agrement.</w:t>
      </w:r>
    </w:p>
    <w:p w:rsidR="00735ECB" w14:paraId="36AA743B" w14:textId="77777777">
      <w:pPr>
        <w:ind w:firstLine="709"/>
        <w:jc w:val="both"/>
      </w:pPr>
      <w:r>
        <w:t>In lipsa acestor detalii, comisia de evaluare nu poate analiza un document fara de care nu poate încheia contractul de achiziţie sectoriala strict pe baza afirmaţiilor revizuentei.</w:t>
      </w:r>
    </w:p>
    <w:p w:rsidR="00735ECB" w14:paraId="4439D20D" w14:textId="79E4554E">
      <w:pPr>
        <w:ind w:firstLine="709"/>
        <w:jc w:val="both"/>
      </w:pPr>
      <w:r>
        <w:t xml:space="preserve">De altfel, intervenienta învederează faptul că nu doar ca documentul prezentat se afla in afara perioadei de valabilitate, excluzând astfel orice posibilitate de a fi luat in considerare de către comisia de evaluare, dar susţinerile Asocierii </w:t>
      </w:r>
      <w:r w:rsidR="00A3315D">
        <w:t xml:space="preserve">9 </w:t>
      </w:r>
      <w:r>
        <w:t xml:space="preserve"> sunt cel puţin ciudate, in condiţiile in care aceasta a afirmat ca „celalalt membru al asocierii, </w:t>
      </w:r>
      <w:r w:rsidR="00A3315D">
        <w:t xml:space="preserve">2 </w:t>
      </w:r>
      <w:r>
        <w:t xml:space="preserve"> SA deţine acreditări echivalente in </w:t>
      </w:r>
      <w:r w:rsidR="00A3315D">
        <w:t xml:space="preserve">G </w:t>
      </w:r>
      <w:r>
        <w:t xml:space="preserve">, inclusiv cele referitoare la sudura, insa consideram ca, prim masurile deja intreprinse, serviciul de sudura in cadrul Asocierii </w:t>
      </w:r>
      <w:r w:rsidR="00A3315D">
        <w:t xml:space="preserve">9 </w:t>
      </w:r>
      <w:r>
        <w:t xml:space="preserve"> este suficient acoperit”.</w:t>
      </w:r>
    </w:p>
    <w:p w:rsidR="00735ECB" w14:paraId="793C15A9" w14:textId="77777777">
      <w:pPr>
        <w:ind w:firstLine="709"/>
        <w:jc w:val="both"/>
      </w:pPr>
      <w:r>
        <w:t>Astfel, fata de susţinerile revizuentei, aceasta ar părea sa argumenteze in sensul in care, pentru îndeplinirea cerinţei de calificare, comisia de evaluare nici nu trebuia sa aiba in vedere aceasta adeverinţa in afara perioadei de valabilitate, intrucat deţinerea acestui agrement ar rezulta din documentele de calificare deja depuse.</w:t>
      </w:r>
    </w:p>
    <w:p w:rsidR="00735ECB" w14:paraId="1117E58A" w14:textId="77777777">
      <w:pPr>
        <w:ind w:firstLine="709"/>
        <w:jc w:val="both"/>
      </w:pPr>
      <w:r>
        <w:t>Or, niciunul dintre membrii asocierii sau subcontractorii propuşi nu deţin acest agrement.</w:t>
      </w:r>
    </w:p>
    <w:p w:rsidR="00735ECB" w14:paraId="5CCD9D66" w14:textId="6C0ADF74">
      <w:pPr>
        <w:ind w:firstLine="709"/>
        <w:jc w:val="both"/>
      </w:pPr>
      <w:r>
        <w:t xml:space="preserve">Intervenienta învederează instanței faptul că la data solicitării, membrii Asocierea </w:t>
      </w:r>
      <w:r w:rsidR="00A3315D">
        <w:t xml:space="preserve">9 </w:t>
      </w:r>
      <w:r>
        <w:t xml:space="preserve"> deţineau documente AFER.</w:t>
      </w:r>
    </w:p>
    <w:p w:rsidR="00735ECB" w14:paraId="571C29B8" w14:textId="345A2D07">
      <w:pPr>
        <w:ind w:firstLine="709"/>
        <w:jc w:val="both"/>
      </w:pPr>
      <w:r>
        <w:t xml:space="preserve">Este lesne de observat ca aceste companii, in asocierea pe care i-au propus-o Entitatii Contractante nu deţineau si nu puteau face dovada deţinerii unui document care sa probeze afirmaţia din răspunsul lor la solicitarea de clarificare: „...insa consideram ca, prin masurile deja întreprinse, serviciul de sudura in cadrul Asocierii </w:t>
      </w:r>
      <w:r w:rsidR="00A3315D">
        <w:t xml:space="preserve">9 </w:t>
      </w:r>
      <w:r>
        <w:t xml:space="preserve"> este suficient acoperit”.</w:t>
      </w:r>
    </w:p>
    <w:p w:rsidR="00735ECB" w14:paraId="6E79659C" w14:textId="766CEC2E">
      <w:pPr>
        <w:ind w:firstLine="709"/>
        <w:jc w:val="both"/>
      </w:pPr>
      <w:r>
        <w:t xml:space="preserve">Intervenienta arată faptul că, strict vorbind de </w:t>
      </w:r>
      <w:r w:rsidR="00A3315D">
        <w:t xml:space="preserve">2 </w:t>
      </w:r>
      <w:r>
        <w:t xml:space="preserve"> SA - pornind de la ipotezele lansate chiar de către revizuienta in cuprinsul răspunsurilor sale la solicitările de clarificare, si anume ca aveau un certificat echivalent emis de Republica </w:t>
      </w:r>
      <w:r w:rsidR="00A3315D">
        <w:t xml:space="preserve">           </w:t>
      </w:r>
      <w:r>
        <w:t>, pe baza căruia presupune ca, printre altele, a obținut autorizările AFER din portofoliul sau, de ce respectivul certificat nu a putut duce si la obţinerea certificatului pentru lucrările de sudura, ba mai mult autoritatile romane au simțit nevoia ca la eliberarea certificatului AFER 673 sa facă menţiunea expresa - fara sudarea şinelor.</w:t>
      </w:r>
    </w:p>
    <w:p w:rsidR="00735ECB" w14:paraId="423C15D8" w14:textId="7E36273B">
      <w:pPr>
        <w:ind w:firstLine="709"/>
        <w:jc w:val="both"/>
      </w:pPr>
      <w:r>
        <w:t xml:space="preserve">Un argument in plus este si împrejurarea ca, in răspunsul sau la solicitarea de clarificări, astfel cum este consemnat in procesul-verbal de evaluare nr. 25, revizuienta a afirmat: “in ceea ce priveşte sudura aluminotermica si electrica, intrucat este o activitate reglementata distinct prin Norma Tehnica Feroviara aprobata prin Ordinul nr. 1192/2006, la momentul elaborării ofertai, Asocierea </w:t>
      </w:r>
      <w:r w:rsidR="00A3315D">
        <w:t xml:space="preserve">9 </w:t>
      </w:r>
      <w:r>
        <w:t xml:space="preserve"> a decis sa securizeze acest tip de serviciu feroviar prin semnarea unui acord ferm de colaborare cu </w:t>
      </w:r>
      <w:r w:rsidR="00A3315D">
        <w:t xml:space="preserve">           </w:t>
      </w:r>
      <w:r>
        <w:t xml:space="preserve"> SRL...’’</w:t>
      </w:r>
    </w:p>
    <w:p w:rsidR="00735ECB" w14:paraId="161EE932" w14:textId="77777777">
      <w:pPr>
        <w:ind w:firstLine="709"/>
        <w:jc w:val="both"/>
      </w:pPr>
      <w:r>
        <w:t>Mai mult decât atat, pentru a încerca sa dovedească totuşi îndeplinirea cerinţei de calificare, in fata Consiliului, revizuienta a adus documente care nu au fost prezentate comisiei de evaluare si care nu au stat la baza deciziei acesteia, astfel încât acestea trebuie înlăturate ca mijloc de proba in analiza care urmează a fi efectuata.</w:t>
      </w:r>
    </w:p>
    <w:p w:rsidR="00735ECB" w14:paraId="3AE4E1F4" w14:textId="09C76326">
      <w:pPr>
        <w:ind w:firstLine="709"/>
        <w:jc w:val="both"/>
      </w:pPr>
      <w:r>
        <w:t xml:space="preserve">In mod concret, din studierea puţinelor documente la care a avut acces din dosarul constituit pe rolul CNSC, intervenienta precizează că a observat depunerea de către revizuienta a unei scrisori emise de către Republica </w:t>
      </w:r>
      <w:r w:rsidR="00A3315D">
        <w:t xml:space="preserve">           </w:t>
      </w:r>
      <w:r>
        <w:t xml:space="preserve">, Ministerul Infrastructurii si Transporturilor, având nr. de înregistrare </w:t>
      </w:r>
      <w:r w:rsidR="00A3315D">
        <w:t xml:space="preserve">         </w:t>
      </w:r>
      <w:r>
        <w:t>din 31.01.</w:t>
      </w:r>
      <w:r w:rsidR="00A3315D">
        <w:t xml:space="preserve"> </w:t>
      </w:r>
      <w:r>
        <w:t>.</w:t>
      </w:r>
    </w:p>
    <w:p w:rsidR="00735ECB" w14:paraId="79BD2FB8" w14:textId="77777777">
      <w:pPr>
        <w:ind w:firstLine="709"/>
        <w:jc w:val="both"/>
      </w:pPr>
      <w:r>
        <w:t>Aceasta scrisoare a fost emisa de către autoritățile statului elen mult după data evaluării documentelor suport ale DUAE depuse de către revizuienta precum si după data emiterii solicitărilor de clarificare de către comisia de evaluare si a răspunsurilor oferite de către aceasta.</w:t>
      </w:r>
    </w:p>
    <w:p w:rsidR="00735ECB" w14:paraId="69DC9D21" w14:textId="77777777">
      <w:pPr>
        <w:ind w:firstLine="709"/>
        <w:jc w:val="both"/>
      </w:pPr>
      <w:r>
        <w:t xml:space="preserve">De altfel, din ansamblul prevederilor Legii nr. 99/2016 precum si având in vedere explicaţiile oferite in mod clar si neechivoc in cuprinsul Fisei de Date a achiziţiei este evidenta obligaţia oricărui ofertant ca, la data depunerii ofertei, respectiv la data declarării in </w:t>
      </w:r>
      <w:r>
        <w:t>cuprinsul formularului DUAE, ca îndeplinește toate criteriile solicitate de către Entitatea Contractanta, aceasta sa detina toate documentele relevant, incumbându-l in acelaşi timp obligaţia prelungirii valabilității acestora.</w:t>
      </w:r>
    </w:p>
    <w:p w:rsidR="00735ECB" w14:paraId="4F84DB6C" w14:textId="77777777">
      <w:pPr>
        <w:ind w:firstLine="709"/>
        <w:jc w:val="both"/>
      </w:pPr>
      <w:r>
        <w:t>Cu alte cuvinte, revizuienta avea obligaţia deţinerii tuturor certificărilor solicitate prin cerinţa referitoare la capacitatea tehnica la data depunerii ofertei, obligaţia prezentării acestora fiind raportata la data solicitării comisiei de evaluare in acest sens.</w:t>
      </w:r>
    </w:p>
    <w:p w:rsidR="00735ECB" w14:paraId="36E28F4F" w14:textId="314625EF">
      <w:pPr>
        <w:ind w:firstLine="709"/>
        <w:jc w:val="both"/>
      </w:pPr>
      <w:r>
        <w:t xml:space="preserve">Potrivit menţiunilor din scrisoarea menţionata anterior, aceasta nu face dovada existentei unui certificări echivalente in tara de origine a membrului Asocierii </w:t>
      </w:r>
      <w:r w:rsidR="00A3315D">
        <w:t xml:space="preserve">9 </w:t>
      </w:r>
      <w:r>
        <w:t xml:space="preserve"> care pretinde ca poate îndeplini acest criteriu:</w:t>
      </w:r>
    </w:p>
    <w:p w:rsidR="00735ECB" w14:paraId="2CA091B5" w14:textId="77777777">
      <w:pPr>
        <w:ind w:firstLine="709"/>
        <w:jc w:val="both"/>
      </w:pPr>
      <w:r>
        <w:t>Potrivit DEX: 11 ECHIVALENT, -Ă, echivalenţi, -te, adj., s. n. I. Adj. (Adesea substantivat) Care are aceeaşi valoare, acelaşi efect aceeaşi semnificaţie sau acelaşi sens cu altceva”.</w:t>
      </w:r>
    </w:p>
    <w:p w:rsidR="00735ECB" w14:paraId="27029596" w14:textId="77777777">
      <w:pPr>
        <w:ind w:firstLine="709"/>
        <w:jc w:val="both"/>
      </w:pPr>
      <w:r>
        <w:t>Concluziile care se desprind sunt evidente:</w:t>
      </w:r>
    </w:p>
    <w:p w:rsidR="00735ECB" w14:paraId="29316440" w14:textId="5053A34A">
      <w:pPr>
        <w:ind w:firstLine="709"/>
        <w:jc w:val="both"/>
      </w:pPr>
      <w:r>
        <w:t>-</w:t>
      </w:r>
      <w:r>
        <w:tab/>
        <w:t xml:space="preserve"> Clasificarea societăţilor in conformitate cu Legea nr. 3669/2008 a Republicii </w:t>
      </w:r>
      <w:r w:rsidR="00A3315D">
        <w:t xml:space="preserve">          </w:t>
      </w:r>
      <w:r>
        <w:t xml:space="preserve"> are in vedere strict criteriul valoric si nu al specialităţii intr-un anumit domeniu</w:t>
      </w:r>
    </w:p>
    <w:p w:rsidR="00735ECB" w14:paraId="66DFAD09" w14:textId="77777777">
      <w:pPr>
        <w:ind w:firstLine="709"/>
        <w:jc w:val="both"/>
      </w:pPr>
      <w:r>
        <w:t>-</w:t>
      </w:r>
      <w:r>
        <w:tab/>
        <w:t xml:space="preserve"> In ceea ce priveşte vreun gen de agrementare care sa poată fi emisa pentru certificarea execuţiei lucrărilor de sudura aluminotermica si electrica de sine aceasta nu este posibila intrucat tara de origine nu acorda certificări echivalente</w:t>
      </w:r>
    </w:p>
    <w:p w:rsidR="00735ECB" w14:paraId="2DFE1E8B" w14:textId="77777777">
      <w:pPr>
        <w:ind w:firstLine="709"/>
        <w:jc w:val="both"/>
      </w:pPr>
      <w:r>
        <w:t>-</w:t>
      </w:r>
      <w:r>
        <w:tab/>
        <w:t xml:space="preserve"> In conformitate cu dispoziţiile art. 166 din Legea nr. 99/2016 : “specificaţiile tehnice se stabilesc în una dintre următoarele modalităţi:</w:t>
      </w:r>
    </w:p>
    <w:p w:rsidR="00735ECB" w14:paraId="08E68009" w14:textId="77777777">
      <w:pPr>
        <w:ind w:firstLine="709"/>
        <w:jc w:val="both"/>
      </w:pPr>
      <w:r>
        <w:t>„...b) prin trimitere la specificaţii tehnice şi, ca ordine de prioritate, la standarde naţionale care transpun standarde europene, evaluări tehnice europene, specificaţii tehnice comune, standarde internaţionale, alte sisteme de referinţă tehnice instituite de către organismele de standardizare europene sau, în lipsa oricărora dintre acestea, la standarde naţionale, la agremente tehnice naţionale sau specificaţii tehnice naţionale referitoare la proiectarea, calcularea si execuţia lucrărilor si la utilizarea produselor: fiecare trimitere este însoţită de menţiunea "sau echivalent”</w:t>
      </w:r>
    </w:p>
    <w:p w:rsidR="00735ECB" w14:paraId="0DCA7BF7" w14:textId="46635DBC">
      <w:pPr>
        <w:ind w:firstLine="709"/>
        <w:jc w:val="both"/>
      </w:pPr>
      <w:r>
        <w:t xml:space="preserve">Tratamentul egal, transparent si eficienta utilizare a fondurilor publice au fost avute in vedere in evaluarea documentelor de calificare ale Asocierii </w:t>
      </w:r>
      <w:r w:rsidR="00A3315D">
        <w:t xml:space="preserve">9 </w:t>
      </w:r>
    </w:p>
    <w:p w:rsidR="00735ECB" w14:paraId="2C026A07" w14:textId="77777777">
      <w:pPr>
        <w:ind w:firstLine="709"/>
        <w:jc w:val="both"/>
      </w:pPr>
      <w:r>
        <w:t>In mod nejustificat de vreun temei de drept imperativ prevăzut de lege sau fără a demonstra încălcarea gravă a unor principii fundamentale ce guvernează materia achiziţiilor publice, revizuienta se considera vătămată prin modalitatea “echivoca” in care i-au fost adresate solicitările de clarificări, justificând in acest mod lipsa de concludenta a răspunsurilor oferite comisiei de evaluare.</w:t>
      </w:r>
    </w:p>
    <w:p w:rsidR="00735ECB" w14:paraId="73AA6A54" w14:textId="77777777">
      <w:pPr>
        <w:ind w:firstLine="709"/>
        <w:jc w:val="both"/>
      </w:pPr>
      <w:r>
        <w:t>Revizuienta reţine că “in situația in care Autoritatea contractantă se simţea nelămurită, aceasta chestiune putea fi cu uşurinţa clarificata prin adresarea unei întrebări corecte si lipsite de echivoc”.</w:t>
      </w:r>
    </w:p>
    <w:p w:rsidR="00735ECB" w14:paraId="6BBE05E9" w14:textId="77777777">
      <w:pPr>
        <w:ind w:firstLine="709"/>
        <w:jc w:val="both"/>
      </w:pPr>
      <w:r>
        <w:t>Or, din documentaţia ce constituie dosarul achiziţiei sectoriale, Curtea va constata ca autoritatea contractantă a acţionat în mod rezonabil, în marja de apreciere recunoscută prin lege comisiei specializată în evaluarea ofertelor, analizând documentele de calificare transmise de către revizuienta si, apoi adresând o solicitare de clarificare a acestora. Ulterior, comisia de evaluare a analizat caracterul relevant al răspunsului la clarificări şi a motivat corespunzător neîndeplinirea cerinţei de calificare impuse prin Fisa de Date a achiziţie.</w:t>
      </w:r>
    </w:p>
    <w:p w:rsidR="00735ECB" w14:paraId="73F59CF9" w14:textId="77777777">
      <w:pPr>
        <w:ind w:firstLine="709"/>
        <w:jc w:val="both"/>
      </w:pPr>
      <w:r>
        <w:t xml:space="preserve">Cu toate acestea, revizuienta apreciază că se mai impune o noua cerere de clarificări şi o reapreciere a îndeplinirii cerinţei, ceea ce echivalează cu impunerea unui comportament împovărător pentru Autoritate, cu depăşirea unui just echilibru între respectare principiilor fundamentale ale transparenţei şi concurenţei loiale pe de o parte, şi interesul public apărat de autoritate conform marjei şi dreptului său de apreciere recunoscut prin lege. Nu se justifică echitabil obligarea Autorităţii contractante la solicitarea în mod repetat, de clarificări pentru a </w:t>
      </w:r>
      <w:r>
        <w:t>lămuri inadvertenţe şi aspecte pe care ofertantul nu este în măsură a le clarifica potrivit fişei de date a achiziţiei, asupra căreia nu există contestaţii sub aspectul clarităţii ori concludentei.</w:t>
      </w:r>
    </w:p>
    <w:p w:rsidR="00735ECB" w14:paraId="3093FADD" w14:textId="6E9F3453">
      <w:pPr>
        <w:ind w:firstLine="709"/>
        <w:jc w:val="both"/>
      </w:pPr>
      <w:r>
        <w:t xml:space="preserve">Aceasta concluzie se impune cu prisosinţa daca avem in vedere ca, in principal, prin prezenta revizuire. Asocierea </w:t>
      </w:r>
      <w:r w:rsidR="00A3315D">
        <w:t xml:space="preserve">9    </w:t>
      </w:r>
      <w:r>
        <w:t xml:space="preserve"> solicita constatarea admisibilităţii ofertei acesteia prin prisma documentelor de calificare pe care comisia de evaluare le-a avut deja in analiza.</w:t>
      </w:r>
    </w:p>
    <w:p w:rsidR="00735ECB" w14:paraId="380BB43F" w14:textId="77777777">
      <w:pPr>
        <w:ind w:firstLine="709"/>
        <w:jc w:val="both"/>
      </w:pPr>
      <w:r>
        <w:t>Curtea va avea in vedere, pentru a adopta această concluzie şi faptul că legea reglementează un drept al autorităţii de a solicita clarificări şi nu o obligaţie imperativă. Este adevărat că într-un anume context neclar şi defavorabil ofertanţilor, dreptul de a solicita clarificări devine absolut necesar în scopul respectării principiilor fundamentale ce guvernează materia achiziţiilor, dar situaţia de excepţie nu este valabilă în speţă pentru a impune autorităţii formularea a doua serii de clarificări consecutive pe acelaşi aspect.</w:t>
      </w:r>
    </w:p>
    <w:p w:rsidR="00735ECB" w14:paraId="340EA510" w14:textId="77777777">
      <w:pPr>
        <w:ind w:firstLine="709"/>
        <w:jc w:val="both"/>
      </w:pPr>
      <w:r>
        <w:t>In plus, a pretinde autorităţi contractante să formuleze mai multe clarificări repetate pe acelaşi aspect, ar putea fi de natură a conduce chiar la încălcarea unui principiu fundamental al achiziţiilor publice, acela al concurenţei loiale, în contextul în care ar favoriza, ar ajuta ofertantul prin clarificări succesive.</w:t>
      </w:r>
    </w:p>
    <w:p w:rsidR="00735ECB" w14:paraId="30DF17ED" w14:textId="77777777">
      <w:pPr>
        <w:ind w:firstLine="709"/>
        <w:jc w:val="both"/>
      </w:pPr>
      <w:r>
        <w:t>In jurisprudenţa sa, Curtea de Justiţie a Uniunii Europene a stabilit ca autoritatea adjudecătoare trebuie să interpreteze criteriile în acelaşi fel pe parcursul întregii proceduri. Principiul egalităţii de tratament presupune ca toţi participanţii la o procedură de atribuire să beneficieze de aplicarea aceloraşi condiţii impuse de autoritate, astfel încât să se garanteze că este înlăturat orice risc de favoritism şi de arbitrar din partea autorităţii.</w:t>
      </w:r>
    </w:p>
    <w:p w:rsidR="00735ECB" w14:paraId="79A5B304" w14:textId="77777777">
      <w:pPr>
        <w:ind w:firstLine="709"/>
        <w:jc w:val="both"/>
      </w:pPr>
      <w:r>
        <w:t>Principiile egalităţii de tratament si transparentei, care au drept semnificaţie în special faptul că ofertanţii trebuie să se afle pe o poziţie de egalitate atât în momentul în care îşi pregătesc ofertele, cât si în momentul în care acestea sunt evaluate de către autoritatea contractantă, (a se vedea în acest sens Hotărârea din 18 octombrie 2001, SIAC Construction, C-19/00, pct. 34, şi Hotărârea din 4 decembrie 2003, EVN şi Wienstrom, C-448/01, pct. 47), constituie temeiul directivelor privind procedurile de atribuire a contractelor de achiziţii publice(Hotărârea Universale - Bau şi alţii, C-470/99, pct. 91, şi Hotărârea din 19iunie 2003, GAT, C-315/01, pct. 73), iar obligaţia autorităţilor contractante de a asigura respectarea acestora corespunde chiar esenţei acestor directive (în acest sens sunt Hotărârea din 17 septembrie 2002,Concordia Bus Finland, C-513/99, pct. 81, şi Hotărârea din 3 martie2005, Fabricom, C-21/03 şi C-34/03, pct. 26).</w:t>
      </w:r>
    </w:p>
    <w:p w:rsidR="00735ECB" w14:paraId="64D18B13" w14:textId="145BEE70">
      <w:pPr>
        <w:ind w:firstLine="709"/>
        <w:jc w:val="both"/>
      </w:pPr>
      <w:r>
        <w:t xml:space="preserve">Revizuirea formulata de ASOCIEREA </w:t>
      </w:r>
      <w:r w:rsidR="00A3315D">
        <w:t xml:space="preserve">9 </w:t>
      </w:r>
      <w:r>
        <w:t xml:space="preserve"> este inadmisibila, intrucat aceasta nu este persoana vatamata prin raportare la capatul de cerere C din cuprinsul cererii de revizuire.</w:t>
      </w:r>
    </w:p>
    <w:p w:rsidR="00735ECB" w14:paraId="55D14406" w14:textId="74D052E6">
      <w:pPr>
        <w:ind w:firstLine="709"/>
        <w:jc w:val="both"/>
      </w:pPr>
      <w:r>
        <w:t xml:space="preserve">Revizuirea formulata de ASOCIEREA </w:t>
      </w:r>
      <w:r w:rsidR="00A3315D">
        <w:t xml:space="preserve">9 </w:t>
      </w:r>
      <w:r>
        <w:t xml:space="preserve"> este inadmisibila, intrucat aceasta nu justifica un interes fata de capatul de cerere privind constatarea “inadmisibilității ofertei Asocierii </w:t>
      </w:r>
      <w:r w:rsidR="00525B35">
        <w:t xml:space="preserve">7 </w:t>
      </w:r>
      <w:r>
        <w:t xml:space="preserve">. cu consecinţa declarării ca fiind castigătoare a ofertei Asocierii </w:t>
      </w:r>
      <w:r w:rsidR="00A3315D">
        <w:t xml:space="preserve">9 </w:t>
      </w:r>
      <w:r>
        <w:t xml:space="preserve"> aflata pe primul loc in clasamentul ofertelor”.</w:t>
      </w:r>
    </w:p>
    <w:p w:rsidR="00735ECB" w14:paraId="582B7823" w14:textId="77777777">
      <w:pPr>
        <w:ind w:firstLine="709"/>
        <w:jc w:val="both"/>
      </w:pPr>
    </w:p>
    <w:p w:rsidR="00735ECB" w14:paraId="16ACCE61" w14:textId="77777777">
      <w:pPr>
        <w:ind w:firstLine="709"/>
        <w:jc w:val="both"/>
      </w:pPr>
    </w:p>
    <w:p w:rsidR="00735ECB" w14:paraId="7E7615C8" w14:textId="77777777">
      <w:pPr>
        <w:ind w:firstLine="709"/>
        <w:jc w:val="both"/>
        <w:rPr>
          <w:rStyle w:val="Fontdeparagrafimplicit"/>
          <w:b/>
        </w:rPr>
      </w:pPr>
      <w:r>
        <w:rPr>
          <w:rStyle w:val="Fontdeparagrafimplicit"/>
          <w:b/>
        </w:rPr>
        <w:t>4. Întâmpinarea formulată de autoritatea contractantă</w:t>
      </w:r>
    </w:p>
    <w:p w:rsidR="00735ECB" w14:paraId="132EA2DA" w14:textId="68A14CB8">
      <w:pPr>
        <w:ind w:firstLine="709"/>
        <w:jc w:val="both"/>
      </w:pPr>
      <w:r>
        <w:t xml:space="preserve">Intimata Compania Națională de Căi Ferate „CFR” S.A. a formulat întâmpinare, solicitând respingerea cererii de revizuire ca fiind nefondată și, pe care de consecinţă, menţinerea ca temeinică si legală a Deciziei nr. </w:t>
      </w:r>
      <w:r w:rsidR="00A3315D">
        <w:t>5</w:t>
      </w:r>
      <w:r>
        <w:t xml:space="preserve"> din data de </w:t>
      </w:r>
      <w:r w:rsidR="00A3315D">
        <w:t xml:space="preserve">       </w:t>
      </w:r>
      <w:r>
        <w:t>.</w:t>
      </w:r>
    </w:p>
    <w:p w:rsidR="00735ECB" w14:paraId="7F2A4F25" w14:textId="77777777">
      <w:pPr>
        <w:ind w:firstLine="709"/>
        <w:jc w:val="both"/>
      </w:pPr>
      <w:r>
        <w:t>Fata de petitul nr. 2 al cererii de revizuire cu privire la suspendarea Procedurii de atribuire pana la soluţionarea definitiva a cauzei, aceasta solicită respingerea acestuia, întrucât motivele pe care isi întemeiază reclamantele cererea nu sunt temeinic justificate si nu dovedesc o paguba iminenta in patrimoniul acestora.</w:t>
      </w:r>
    </w:p>
    <w:p w:rsidR="00735ECB" w14:paraId="152B495D" w14:textId="38B2620D">
      <w:pPr>
        <w:ind w:firstLine="709"/>
        <w:jc w:val="both"/>
      </w:pPr>
      <w:r>
        <w:t xml:space="preserve">Astfel, intimata învederează instanței faptului că nici prin motivele de recurs si nici prin revizuire nu sunt aratate care sunt consecinţele probabile ale Deciziei CNSC nr. </w:t>
      </w:r>
      <w:r w:rsidR="0037328E">
        <w:t xml:space="preserve">   </w:t>
      </w:r>
      <w:r>
        <w:t xml:space="preserve"> asupra </w:t>
      </w:r>
      <w:r>
        <w:t>tuturor categoriilor de interese care sunt lezate de emiterea acesteia, inclusiv asupra interesului public.</w:t>
      </w:r>
    </w:p>
    <w:p w:rsidR="00735ECB" w14:paraId="38AA1F45" w14:textId="77777777">
      <w:pPr>
        <w:ind w:firstLine="709"/>
        <w:jc w:val="both"/>
      </w:pPr>
      <w:r>
        <w:t>Întrucât reclamantele nu dovedesc producerea unui pagube iminente sau prejudicierea unui alt drept, intimata învederează instanței că dispunerea măsurii suspendării Procedurii ar avea consecinţe negative mai mari decât beneficiile ei.</w:t>
      </w:r>
    </w:p>
    <w:p w:rsidR="00735ECB" w14:paraId="717E7387" w14:textId="77777777">
      <w:pPr>
        <w:ind w:firstLine="709"/>
        <w:jc w:val="both"/>
      </w:pPr>
      <w:r>
        <w:t>Pentru aceste motive, intimata solicită instanței respingerea cererii de suspendare a Procedurii de atribuire.</w:t>
      </w:r>
    </w:p>
    <w:p w:rsidR="00735ECB" w14:paraId="1B22FD9A" w14:textId="77777777">
      <w:pPr>
        <w:ind w:firstLine="709"/>
        <w:jc w:val="both"/>
      </w:pPr>
      <w:r>
        <w:t>In drept, își întemeiază apărările pe dispoziţiile Legii nr. 101/2016, Legea nr. 99/2016, HG nr. 581/1998, HG 394/2016, art 509 si urm Cod pr. civ, art. 14- 21 Legea nr. 554/2004 precum si pe toate celelalte prevederi legale incidente în cauză.</w:t>
      </w:r>
    </w:p>
    <w:p w:rsidR="00735ECB" w14:paraId="2867C4A7" w14:textId="77777777">
      <w:pPr>
        <w:ind w:firstLine="709"/>
        <w:jc w:val="both"/>
      </w:pPr>
    </w:p>
    <w:p w:rsidR="00735ECB" w14:paraId="2FF00DFD" w14:textId="77777777">
      <w:pPr>
        <w:ind w:firstLine="709"/>
        <w:jc w:val="both"/>
        <w:rPr>
          <w:rStyle w:val="Fontdeparagrafimplicit"/>
          <w:b/>
        </w:rPr>
      </w:pPr>
      <w:r>
        <w:rPr>
          <w:rStyle w:val="Fontdeparagrafimplicit"/>
          <w:b/>
        </w:rPr>
        <w:t>5. Alte aspecte procedurale</w:t>
      </w:r>
    </w:p>
    <w:p w:rsidR="00735ECB" w14:paraId="27557C27" w14:textId="77777777">
      <w:pPr>
        <w:ind w:firstLine="709"/>
        <w:jc w:val="both"/>
        <w:rPr>
          <w:rStyle w:val="Fontdeparagrafimplicit"/>
          <w:b/>
        </w:rPr>
      </w:pPr>
    </w:p>
    <w:p w:rsidR="00735ECB" w14:paraId="1588A476" w14:textId="777842F0">
      <w:pPr>
        <w:ind w:firstLine="709"/>
        <w:jc w:val="both"/>
      </w:pPr>
      <w:r>
        <w:t xml:space="preserve">5.1. Prin încheierea din 7 iunie </w:t>
      </w:r>
      <w:r w:rsidR="0037328E">
        <w:t xml:space="preserve"> </w:t>
      </w:r>
      <w:r>
        <w:t xml:space="preserve">, s-a respins excepţia inadmisibilităţii şi a lipsei de interes a cererii de suspendare ca neîntemeiate, a admis cererea de suspendare şi a dispus suspendarea executării deciziei civile nr. </w:t>
      </w:r>
      <w:r w:rsidR="0037328E">
        <w:t>5</w:t>
      </w:r>
      <w:r>
        <w:t>/</w:t>
      </w:r>
      <w:r w:rsidR="00A3315D">
        <w:t xml:space="preserve">       </w:t>
      </w:r>
      <w:r>
        <w:t xml:space="preserve">, pronunţată în dosarul nr. </w:t>
      </w:r>
      <w:r w:rsidR="00713A80">
        <w:t xml:space="preserve">6 </w:t>
      </w:r>
      <w:r>
        <w:t>.</w:t>
      </w:r>
    </w:p>
    <w:p w:rsidR="00735ECB" w14:paraId="3619F080" w14:textId="11262426">
      <w:pPr>
        <w:ind w:firstLine="709"/>
        <w:jc w:val="both"/>
      </w:pPr>
      <w:r>
        <w:t xml:space="preserve">5.2. La termenul de judecată din 07 iunie </w:t>
      </w:r>
      <w:r w:rsidR="0037328E">
        <w:t xml:space="preserve"> </w:t>
      </w:r>
      <w:r>
        <w:t>, s-a dispus în sensul admisibilităţii revizuirii formulate în cauză.</w:t>
      </w:r>
    </w:p>
    <w:p w:rsidR="00735ECB" w14:paraId="1C2C29BB" w14:textId="62D8F9D3">
      <w:pPr>
        <w:ind w:firstLine="709"/>
        <w:jc w:val="both"/>
      </w:pPr>
      <w:r>
        <w:t xml:space="preserve">5.3. În ceea ce priveşte cadrul procesual subiectiv, acesta a fost stabilit conform principiului disponibilităţii prin cererea introductivă de instanţă, respectiv este constituit din, pe de o parte, din </w:t>
      </w:r>
      <w:r>
        <w:rPr>
          <w:rStyle w:val="Fontdeparagrafimplicit"/>
          <w:b/>
        </w:rPr>
        <w:t xml:space="preserve">revizuentele </w:t>
      </w:r>
      <w:r w:rsidR="00713A80">
        <w:rPr>
          <w:rStyle w:val="Fontdeparagrafimplicit"/>
          <w:b/>
        </w:rPr>
        <w:t xml:space="preserve">2 </w:t>
      </w:r>
      <w:r>
        <w:rPr>
          <w:rStyle w:val="Fontdeparagrafimplicit"/>
          <w:b/>
        </w:rPr>
        <w:t xml:space="preserve">, </w:t>
      </w:r>
      <w:r w:rsidR="00713A80">
        <w:rPr>
          <w:rStyle w:val="Fontdeparagrafimplicit"/>
          <w:b/>
        </w:rPr>
        <w:t xml:space="preserve">3 </w:t>
      </w:r>
      <w:r>
        <w:rPr>
          <w:rStyle w:val="Fontdeparagrafimplicit"/>
          <w:b/>
        </w:rPr>
        <w:t xml:space="preserve"> SA și </w:t>
      </w:r>
      <w:r w:rsidR="00713A80">
        <w:rPr>
          <w:rStyle w:val="Fontdeparagrafimplicit"/>
          <w:b/>
        </w:rPr>
        <w:t xml:space="preserve">4 </w:t>
      </w:r>
      <w:r>
        <w:rPr>
          <w:rStyle w:val="Fontdeparagrafimplicit"/>
          <w:b/>
        </w:rPr>
        <w:t xml:space="preserve"> SA, </w:t>
      </w:r>
      <w:r>
        <w:t>pe de alta de intimata</w:t>
      </w:r>
      <w:r>
        <w:rPr>
          <w:rStyle w:val="Fontdeparagrafimplicit"/>
          <w:b/>
        </w:rPr>
        <w:t xml:space="preserve"> COMPANIA NAŢIONALĂ DE CĂI FERATE CFR SA. </w:t>
      </w:r>
      <w:r>
        <w:t xml:space="preserve">Participarea la judecata cauzei a </w:t>
      </w:r>
      <w:r>
        <w:rPr>
          <w:rStyle w:val="Fontdeparagrafimplicit"/>
          <w:b/>
        </w:rPr>
        <w:t xml:space="preserve">ASOCIERII </w:t>
      </w:r>
      <w:r w:rsidR="00A3315D">
        <w:rPr>
          <w:rStyle w:val="Fontdeparagrafimplicit"/>
          <w:b/>
        </w:rPr>
        <w:t xml:space="preserve">7 </w:t>
      </w:r>
      <w:r>
        <w:rPr>
          <w:rStyle w:val="Fontdeparagrafimplicit"/>
          <w:b/>
        </w:rPr>
        <w:t xml:space="preserve"> A.S. - </w:t>
      </w:r>
      <w:r w:rsidR="00A3315D">
        <w:rPr>
          <w:rStyle w:val="Fontdeparagrafimplicit"/>
          <w:b/>
        </w:rPr>
        <w:t xml:space="preserve">8 </w:t>
      </w:r>
      <w:r>
        <w:rPr>
          <w:rStyle w:val="Fontdeparagrafimplicit"/>
          <w:b/>
        </w:rPr>
        <w:t xml:space="preserve"> AS</w:t>
      </w:r>
      <w:r>
        <w:t xml:space="preserve"> se datorează iniţiativei acestei părţi, care a formulat cerere de intervenţie accesorie, astfel cum s-a arătat la punctul 3 din prezenta hotărâre.</w:t>
      </w:r>
    </w:p>
    <w:p w:rsidR="00735ECB" w14:paraId="6549AC7E" w14:textId="77777777">
      <w:pPr>
        <w:ind w:firstLine="709"/>
        <w:jc w:val="both"/>
      </w:pPr>
    </w:p>
    <w:p w:rsidR="00735ECB" w14:paraId="566B5B81" w14:textId="77777777">
      <w:pPr>
        <w:ind w:firstLine="709"/>
        <w:jc w:val="both"/>
        <w:rPr>
          <w:rStyle w:val="Fontdeparagrafimplicit"/>
          <w:b/>
        </w:rPr>
      </w:pPr>
      <w:r>
        <w:rPr>
          <w:rStyle w:val="Fontdeparagrafimplicit"/>
          <w:b/>
        </w:rPr>
        <w:t>6. Analiza Curţii cu privire la cererea de revizuire formulată</w:t>
      </w:r>
    </w:p>
    <w:p w:rsidR="00735ECB" w14:paraId="6FA235C2" w14:textId="77777777">
      <w:pPr>
        <w:ind w:firstLine="709"/>
        <w:jc w:val="both"/>
        <w:rPr>
          <w:rStyle w:val="Fontdeparagrafimplicit"/>
        </w:rPr>
      </w:pPr>
    </w:p>
    <w:p w:rsidR="00735ECB" w14:paraId="3CF541C6" w14:textId="299D960F">
      <w:pPr>
        <w:ind w:firstLine="709"/>
        <w:jc w:val="both"/>
      </w:pPr>
      <w:r>
        <w:t xml:space="preserve">6.1. Prin decizia civilă nr. </w:t>
      </w:r>
      <w:r w:rsidR="0037328E">
        <w:t>5</w:t>
      </w:r>
      <w:r>
        <w:t>/</w:t>
      </w:r>
      <w:r w:rsidR="00A3315D">
        <w:t xml:space="preserve">       </w:t>
      </w:r>
      <w:r>
        <w:t xml:space="preserve">, pronunțată în dosarul nr. </w:t>
      </w:r>
      <w:r w:rsidR="00713A80">
        <w:t xml:space="preserve">6 </w:t>
      </w:r>
      <w:r>
        <w:t xml:space="preserve">, Curtea de Apel </w:t>
      </w:r>
      <w:r w:rsidR="00713A80">
        <w:t xml:space="preserve">                  </w:t>
      </w:r>
      <w:r>
        <w:t xml:space="preserve"> - Secția </w:t>
      </w:r>
      <w:r w:rsidR="00713A80">
        <w:t xml:space="preserve">                  </w:t>
      </w:r>
      <w:r>
        <w:t xml:space="preserve"> a respins plângerea, ca nefondată și a luat act de renunțarea petentei la judecarea cererii de suspendare a procedurii de atribuire, cu opinia separată, prin care a admis plângerea și a depus reevaluarea ofertelor.</w:t>
      </w:r>
    </w:p>
    <w:p w:rsidR="00735ECB" w14:paraId="27E90ACB" w14:textId="77777777">
      <w:pPr>
        <w:ind w:firstLine="709"/>
        <w:jc w:val="both"/>
      </w:pPr>
      <w:r>
        <w:t>În considerentele deciziei atacate, instanţa de recurs a apreciat că în cauză nu a fost încălcat principiul transparenţei întrucât cerinţa privind prezentarea agrementelor tehnice AFER pentru lucrările de sudură a căilor de cale ferată rezultă dintr-o interpretare a documentaţiei de atribuire efectuată strict pe baza elementelor prezentate în documentaţie, iar nu a unor elemente noi invocate de autoritatea contractantă cu ocazia evaluării şi care nu fuseseră aduse la cunoştinţa ofertanţilor.</w:t>
      </w:r>
    </w:p>
    <w:p w:rsidR="00735ECB" w14:paraId="324FDAA0" w14:textId="599365E5">
      <w:pPr>
        <w:ind w:firstLine="709"/>
        <w:jc w:val="both"/>
      </w:pPr>
      <w:r>
        <w:t xml:space="preserve">Astfel, faptul că pentru identificarea în concret a agrementelor AFER, ce trebuiau prezentate de ofertanţi pentru îndeplinirea cerinţei de la capitolul III.2.3 privind calificările profesionale ale operatorului economic, este necesară a se recurge la informaţii cuprinse în OMT 290/2000 şi informaţii publicate pe site-ul </w:t>
      </w:r>
      <w:hyperlink w:history="1" r:id="rId4">
        <w:r>
          <w:rPr>
            <w:rStyle w:val="Hyperlink"/>
          </w:rPr>
          <w:t>www.afer.ro</w:t>
        </w:r>
      </w:hyperlink>
      <w:r>
        <w:t xml:space="preserve">, nu reprezintă o încălcare a principiului transparenţei întrucât autoritatea contractantă nu a apelat, cu ocazia evaluării ofertei Asocierii </w:t>
      </w:r>
      <w:r w:rsidR="00A3315D">
        <w:t xml:space="preserve">9 </w:t>
      </w:r>
      <w:r>
        <w:t>, la elemente noi şi care nu fuseseră aduse la cunoştinţa ofertanţilor, ci, din contră, a apelat la elemente precizate în cuprinsul documentaţiei de atribuire.</w:t>
      </w:r>
    </w:p>
    <w:p w:rsidR="00735ECB" w14:paraId="3C82ED8A" w14:textId="77777777">
      <w:pPr>
        <w:ind w:firstLine="709"/>
        <w:jc w:val="both"/>
      </w:pPr>
      <w:r>
        <w:t xml:space="preserve">În acest sens, instanţa de recurs a reţinut că cerinţa privind depunerea unor agremente AFER pentru lucrări de suprastructură şi care să se încadreze în categoria lucrărilor feroviare critice a fost interpretată de către autoritatea contractantă pe baza elementelor precizate clar în documentaţie şi anume, pe baza OMT 290/2000 şi a informaţilor publicate pe site-ul </w:t>
      </w:r>
      <w:hyperlink w:history="1" r:id="rId5">
        <w:r>
          <w:rPr>
            <w:rStyle w:val="Hyperlink"/>
          </w:rPr>
          <w:t>www.afer.ro</w:t>
        </w:r>
      </w:hyperlink>
      <w:r>
        <w:t>, fără a se recurge la elemente noi şi care să nu fi fost aduse la cunoştinţa operatorilor economici prin documentaţia de atribuire.</w:t>
      </w:r>
    </w:p>
    <w:p w:rsidR="00735ECB" w14:paraId="05DF9091" w14:textId="77777777">
      <w:pPr>
        <w:ind w:firstLine="709"/>
        <w:jc w:val="both"/>
      </w:pPr>
      <w:r>
        <w:t>6.2. Potrivit dispoziţiilor art. 21 alin. (2) din Legea contenciosului administrativ nr. 554/2004, „constituie motiv de revizuire, care se adaugă la cele prevăzute de Codul de procedură civilă, pronunţarea hotărârilor rămase definitive şi irevocabile prin încălcarea principiului priorităţii dreptului comunitar, reglementat de art. 148 alin. (2) coroborat cu art. 20 alin. 2 din Constituţia României republicată.”</w:t>
      </w:r>
    </w:p>
    <w:p w:rsidR="00735ECB" w14:paraId="6CB9BE73" w14:textId="77777777">
      <w:pPr>
        <w:ind w:firstLine="709"/>
        <w:jc w:val="both"/>
      </w:pPr>
      <w:r>
        <w:t>Curtea Constituţională a României a statuat, prin Decizia nr. 1609/2010, că prin consacrarea în cuprinsul Legii contenciosului administrativ a dreptului de a cere revizuirea unei hotărâri pronunţate cu nesocotirea principiului priorităţii dreptului comunitar, s-a conferit eficacitate prevederilor art. 148 alin. (2) din Constituţie care acordă prioritate de aplicare prevederilor tratatelor constitutive ale Uniunii Europene, precum şi celorlalte reglementări europene cu caracter obligatoriu, faţă de dispoziţiile contrare din legile interne.</w:t>
      </w:r>
    </w:p>
    <w:p w:rsidR="00735ECB" w14:paraId="2CCC2F53" w14:textId="77777777">
      <w:pPr>
        <w:ind w:firstLine="709"/>
        <w:jc w:val="both"/>
      </w:pPr>
      <w:r>
        <w:t>Curtea Constituţională a mai observat că, deşi redactarea acestui text nu este foarte explicită, fiind folosită o formulare deficitară sub aspectul logicii juridice, judecătorul şi părţile interesate dispun, totuşi, de reperele necesare încadrării unei hotărâri judecătoreşti în categoria celor susceptibile de a fi supuse revizuirii în condiţiile textului de lege criticat. În aceste condiţii, s-a concluzionat că nu se poate reţine încălcarea dreptului de acces liber la justiţie şi la exercitarea căilor de atac prevăzute de lege, consacrat de art. 129 din Constituţie.</w:t>
      </w:r>
    </w:p>
    <w:p w:rsidR="00735ECB" w14:paraId="30404C35" w14:textId="77777777">
      <w:pPr>
        <w:ind w:firstLine="709"/>
        <w:jc w:val="both"/>
      </w:pPr>
      <w:r>
        <w:t>Prin hotărârea pronunţată la data de 16 martie 2006 de Curtea de Justiţie a Comunităţii Europene (ulterior denumită CJUE), în cauza Rosmarie Kapferer, C-234/2004 (procedura pronunţării unei hotărâri preliminare), s-a statuat că dreptul UE nu impune unei jurisdicţii naţionale să înlăture aplicarea normelor interne de procedură care conferă autoritate de lucru judecat unei hotărâri, chiar dacă astfel ar fi reparată o încălcare a dreptului comunitar săvârşită prin hotărârea în cauză. În acest sens, Curtea de Justiţie a reţinut că principiul autorităţii de lucru judecat are o importanţă deosebită atât în ordinea de drept comunitar, cât şi în cadrul ordinii juridice a fiecărui stat membru, fiind o garanţie a stabilităţii raporturilor juridice.</w:t>
      </w:r>
    </w:p>
    <w:p w:rsidR="00735ECB" w14:paraId="2DB86AEA" w14:textId="77777777">
      <w:pPr>
        <w:ind w:firstLine="709"/>
        <w:jc w:val="both"/>
      </w:pPr>
      <w:r>
        <w:t>În Hotărârea din 30 septembrie 2003 pronunţată în cauza C-224/01 Köbler, CJCE a arătat că este necesar să se considere că recunoaşterea principiului răspunderii statului în urma unei hotărâri a unei instanţe de ultim grad de jurisdicţie nu are în sine drept consecinţă punerea în discuţie a autorităţii de lucru judecat a unei astfel de hotărâri. O procedură care vizează angajarea răspunderii statului nu are acelaşi scop şi nu implică în mod necesar aceleaşi părţi ca procedura care a dus la hotărârea care a dobândit autoritatea de lucru judecat. În fapt, reclamantul într-o acţiune în răspundere împotriva statului obţine, în caz de succes, obligarea acestuia la repararea prejudiciului suferit, dar nu în mod necesar punerea în discuţie a autorităţii de lucru judecat a hotărârii judecătoreşti care a cauzat prejudiciul. În orice caz, principiul răspunderii statului inerent ordinii juridice comunitare prevede o astfel de reparaţie, dar nu şi revizuirea hotărârii judecătoreşti care a cauzat prejudiciul.</w:t>
      </w:r>
    </w:p>
    <w:p w:rsidR="00735ECB" w14:paraId="16EA6ECC" w14:textId="77777777">
      <w:pPr>
        <w:ind w:firstLine="709"/>
        <w:jc w:val="both"/>
      </w:pPr>
      <w:r>
        <w:t>În acest context, Curtea remarcă faptul că art. 21 alin. (2) din Legea nr. 554/2004 a instituit un caz de revizuire a hotărârii judecătoreşti, iar nu un caz de răspundere a statului pentru încălcarea dreptului Uniunii Europene.</w:t>
      </w:r>
    </w:p>
    <w:p w:rsidR="00735ECB" w14:paraId="3AA94F24" w14:textId="77777777">
      <w:pPr>
        <w:ind w:firstLine="709"/>
        <w:jc w:val="both"/>
      </w:pPr>
      <w:r>
        <w:t>Apărarea pe care intimata a formulat-o, cu referire la hotărârile din cauzele anterior menţionate nu este în măsură să paralizeze demersul procesual al revizuentelor, pentru că, în acele hotărâri, CJUE a subliniat importanța principiului autorității lucrului judecat, în sensul că hotărârile definitive să nu mai poată fi puse în discuție după epuizarea căilor de atac disponibile, după expirarea termenelor prevăzute pentru exercitarea acestora sau pentru motive și în condiții care nu sunt prevăzute de normele de procedură internă.</w:t>
      </w:r>
    </w:p>
    <w:p w:rsidR="00735ECB" w14:paraId="0C4DF96A" w14:textId="77777777">
      <w:pPr>
        <w:ind w:firstLine="709"/>
        <w:jc w:val="both"/>
      </w:pPr>
      <w:r>
        <w:t>Or, în speță, revizuientele au exercitat în mod legal o cale de atac de retractare prevăzută de legea română.</w:t>
      </w:r>
    </w:p>
    <w:p w:rsidR="00735ECB" w14:paraId="2666091D" w14:textId="77777777">
      <w:pPr>
        <w:ind w:firstLine="709"/>
        <w:jc w:val="both"/>
      </w:pPr>
      <w:r>
        <w:t xml:space="preserve">Prin decizia nr. 45/2016 privind pronunțarea unei hotărâri prealabile pentru interpretarea și aplicarea dispozițiilor art. 21 alin. (2) din Legea contenciosului administrativ </w:t>
      </w:r>
      <w:r>
        <w:t>nr. 554/2004, Completul pentru dezlegarea unor chestiuni de drept al ÎCCJ a pronunțat o decizie obligatorie pentru toate instanțele din România, potrivit art. 521 alin. (3) NCPC.</w:t>
      </w:r>
    </w:p>
    <w:p w:rsidR="00735ECB" w14:paraId="33785A74" w14:textId="77777777">
      <w:pPr>
        <w:ind w:firstLine="709"/>
        <w:jc w:val="both"/>
      </w:pPr>
      <w:r>
        <w:t>„În interpretarea și aplicarea dispozițiilor art. 21 alin. (2) teza I din Legea contenciosului administrativ nr. 554/2004, cu modificările și completările ulterioare, cererea de revizuire este admisibilă în baza unor decizii ale Curții de Justiție a Uniunii Europene, indiferent de momentul pronunțării acestora și de împrejurarea invocării sau nu în litigiul de bază a dispozițiilor de drept european preexistente, încălcate prin hotărârea a cărei revizuire se cere”.</w:t>
      </w:r>
    </w:p>
    <w:p w:rsidR="00735ECB" w14:paraId="2B32E178" w14:textId="77777777">
      <w:pPr>
        <w:ind w:firstLine="709"/>
        <w:jc w:val="both"/>
      </w:pPr>
      <w:r>
        <w:t>ÎCCJ a subliniat că „deciziile interpretative ale CJUE fac corp comun cu norma interpretată și se aplică în toate situațiile în care se aplică dreptul european interpretat, adică și raporturilor juridice care s-au născut/modificat/stins anterior pronunțării deciziilor”[13], amintind în acest sens și faptul că, „în jurisprudența sa, CJUE a reținut că interpretarea pe care a dat-o unei norme de drept european, în exercitarea competenței pe care i-o conferă articolul 234 (CE, în prezent art. 267 din TFUE, n.n.), lămurește și precizează, dacă este nevoie, semnificația și domeniul de aplicare ale acestei norme, astfel cum trebuie sau ar fi trebuit să fie înțeleasă și aplicată de la intrarea sa în vigoare (a se vedea, în special, Hotărârea din 27 martie 1980, Denkavit italiana, C-61/79, pct. 16, Hotărârea din 10 februarie 2000, Deutsche Telekom, C-50/96, pct. 43, precum și Hotărârea din 13 ianuarie 2004, Kuhne &amp;Heitz, C-453/00, pct. 21). Cu alte cuvinte, o hotărâre preliminară nu are o valoare constitutivă, ci pur declarativă, cu consecința că efectele sale se aplică, în principiu, de la data intrării în vigoare a normei interpretate (a se vedea în acest sens Hotărârea din 19 octombrie 1995, Richardson, C-137/94, pct. 33)”</w:t>
      </w:r>
    </w:p>
    <w:p w:rsidR="00735ECB" w14:paraId="5A007D74" w14:textId="77777777">
      <w:pPr>
        <w:ind w:firstLine="709"/>
        <w:jc w:val="both"/>
      </w:pPr>
      <w:r>
        <w:t xml:space="preserve">De asemenea, ÎCCJ a reținut că „este lipsită de relevanță neinvocarea în litigiul de bază a dispozițiilor de drept european preexistente, presupus încălcate prin hotărârea a cărei revizuire se cere, întrucât, potrivit principiului </w:t>
      </w:r>
      <w:r>
        <w:rPr>
          <w:rStyle w:val="Fontdeparagrafimplicit"/>
          <w:i/>
        </w:rPr>
        <w:t>iura novit curia</w:t>
      </w:r>
      <w:r>
        <w:t>, consacrat de art. 22 alin. (1) și (4) din Codul de procedură civilă, judecătorul, respectând limitele învestirii sale, este în drept, în virtutea prerogativelor sale jurisdicționale, să dea cererii calificarea juridică exactă și să facă aplicarea normelor juridice incidente; instanța trebuie să aplice dreptul, care îi este cunoscut, inclusiv dreptul european și hotărârile interpretative ale CJUE, care au caracter obligatoriu pentru instanțele statelor membre și se bucură de prioritate în aplicare, potrivit art. 148 alin. (2) din Constituție”.</w:t>
      </w:r>
    </w:p>
    <w:p w:rsidR="00735ECB" w14:paraId="5FD9A235" w14:textId="77777777">
      <w:pPr>
        <w:ind w:firstLine="709"/>
        <w:jc w:val="both"/>
      </w:pPr>
      <w:r>
        <w:t>Cu privire la prima întrebare, ÎCCJ a stabilit însă și anumite limite procedurale de care trebuie să țină cont instanțele în aplicarea art. 21 alin. (2) teza I din Legea nr. 554/2004, stabilind, de exemplu, că revizuirea este inadmisibilă dacă dispozițiile dreptului UE nu erau în vigoare la data faptelor relevante în cauză (conform principiului neretroactivității legii civile).</w:t>
      </w:r>
    </w:p>
    <w:p w:rsidR="00735ECB" w14:paraId="3B30A7A4" w14:textId="77777777">
      <w:pPr>
        <w:ind w:firstLine="709"/>
        <w:jc w:val="both"/>
      </w:pPr>
      <w:r>
        <w:t>În același sens, ÎCCJ a mai stabilit că revizuirea exercitată în baza art. 21 alin. (2) teza I din Legea nr. 554/2004 este inadmisibilă „dacă se urmărește revizuirea unei hotărâri definitive prin care a fost deja dezlegată problematica legată de aplicarea principiului priorității dreptului unional, deoarece se opune caracterul revizuirii, de cale extraordinară de atac de retractare (iar nu de reformare), corelat cu principiul autorității de lucru judecat”.</w:t>
      </w:r>
    </w:p>
    <w:p w:rsidR="00735ECB" w14:paraId="549C16FE" w14:textId="77777777">
      <w:pPr>
        <w:ind w:firstLine="709"/>
        <w:jc w:val="both"/>
      </w:pPr>
      <w:r>
        <w:t>În cauză, s-a decis, în raport de cele anterior menţionate, în sensul admisibilităţii cererii de revizuire, dispoziţiile din dreptul UE erau aplicabile la data faptelor de referinţă, iar problema aplicării principiului supremaţiei dreptului UE nu a fost dezbătută, deşi a fost invocată în cauză.</w:t>
      </w:r>
    </w:p>
    <w:p w:rsidR="00735ECB" w14:paraId="032AF501" w14:textId="77777777">
      <w:pPr>
        <w:ind w:firstLine="709"/>
        <w:jc w:val="both"/>
      </w:pPr>
      <w:r>
        <w:t xml:space="preserve">Astfel, petentele au invocat, în cadrul plângerii, încălcarea obligaţiei de transparenţă în procedurile de achiziţie publică, în temeiul jurisprudenţei CJUE - Hotărârile din cauzele C-278/14, C-6/05, C-27/15, susţinând că obligaţia de transparenţă are ca scop în special să garanteze că este înlăturat riscul de arbitrar din partea autorității contractante şi că este încălcată această obligaţie dacă autoritatea contractantă respinge o ofertă care îndeplinește </w:t>
      </w:r>
      <w:r>
        <w:t>cerințele anunțului de participare pe baza unor motive care nu sunt prevăzute în anunțul menționat.</w:t>
      </w:r>
    </w:p>
    <w:p w:rsidR="00735ECB" w14:paraId="2205DBF7" w14:textId="77777777">
      <w:pPr>
        <w:ind w:firstLine="709"/>
        <w:jc w:val="both"/>
      </w:pPr>
      <w:r>
        <w:t>În soluţionarea plângerii, cu privire la acest principiu dezvoltat din jurisprudenţa CJUE, instanţa s-a limitat doar să arate că „în cauză nu a fost încălcat principiul transparenţei întrucât cerinţa privind prezentarea agrementelor tehnice AFER pentru lucrările de sudură a căilor de cale ferată rezultă dintr-o interpretare a documentaţiei de atribuire efectuată strict pe baza elementelor prezentate în documentaţie, ci nu a unor elemente noi invocate de autoritatea contractantă cu ocazia evaluării şi care nu fuseseră aduse la cunoştinţa ofertanţilor”.</w:t>
      </w:r>
    </w:p>
    <w:p w:rsidR="00735ECB" w14:paraId="55D459D7" w14:textId="77777777">
      <w:pPr>
        <w:ind w:firstLine="709"/>
        <w:jc w:val="both"/>
      </w:pPr>
      <w:r>
        <w:t>Dimpotrivă, Curtea observă însă că principiul transparenţei care guvernează procedurile de atribuire a contractelor de achiziții publice a fost încălcat în cauză.</w:t>
      </w:r>
    </w:p>
    <w:p w:rsidR="00735ECB" w14:paraId="4E87660B" w14:textId="77777777">
      <w:pPr>
        <w:ind w:firstLine="709"/>
        <w:jc w:val="both"/>
      </w:pPr>
      <w:r>
        <w:t>Potrivit art. 18 alin. (l) din Directiva 2014/24/UE a Parlamentului European și a Consiliului din 26 februarie 2014 privind achizițiile publice și de abrogare a Directivei 2004/18/CE, „[a]utorităţile contractante îi tratează pe operatorii economici în mod egal şi fără discriminare şi acţionează într-o manieră transparentă şi proporţională”. Textul de drept UE anterior menţionat este preluat literal din art. 2 din Directivă 2004/18 pe care o abrogă.</w:t>
      </w:r>
    </w:p>
    <w:p w:rsidR="00735ECB" w14:paraId="3B62A523" w14:textId="77777777">
      <w:pPr>
        <w:ind w:firstLine="709"/>
        <w:jc w:val="both"/>
      </w:pPr>
      <w:r>
        <w:t>Potrivit jurisprudenței constante a CJUE, „în temeiul articolului 2 din Directiva 2004/18, unei autorități contractante îi revine sarcina de a respecta cu strictețe criteriile pe care ea însăși le-a stabilit” (Hotărârea din 10 octombrie 2013, Manova, C</w:t>
      </w:r>
      <w:r>
        <w:rPr>
          <w:rStyle w:val="Fontdeparagrafimplicit"/>
          <w:rFonts w:ascii="MS Mincho" w:hAnsi="MS Mincho"/>
        </w:rPr>
        <w:t>‑</w:t>
      </w:r>
      <w:r>
        <w:t>336/12, EU:C:2013:647, punctul 40, și Hotărârea din 6 noiembrie 2014, Cartiera dell’Adda, C</w:t>
      </w:r>
      <w:r>
        <w:rPr>
          <w:rStyle w:val="Fontdeparagrafimplicit"/>
          <w:rFonts w:ascii="MS Mincho" w:hAnsi="MS Mincho"/>
        </w:rPr>
        <w:t>‑</w:t>
      </w:r>
      <w:r>
        <w:t>42/13, EU:C:2014:2345, punctele 42 și 43, Hotărârea din 2 iunie 2016, Pippo Pizzo, C-27/15, EU:C:2016:404, punctul 39)”.</w:t>
      </w:r>
    </w:p>
    <w:p w:rsidR="00735ECB" w14:paraId="52661431" w14:textId="77777777">
      <w:pPr>
        <w:ind w:firstLine="709"/>
        <w:jc w:val="both"/>
      </w:pPr>
      <w:r>
        <w:t xml:space="preserve">Totodată, conform considerentelor expuse în cauza Pippo Pizzo anterior menţionată, „[p]rincipiul egalității de tratament impune ca ofertanții să dispună de aceleași șanse în formularea ofertelor lor și implică, așadar, ca aceste oferte să fie supuse acelorași condiții pentru toți ofertanții. Pe de altă parte, </w:t>
      </w:r>
      <w:r>
        <w:rPr>
          <w:rStyle w:val="Fontdeparagrafimplicit"/>
          <w:u w:val="single"/>
        </w:rPr>
        <w:t>obligația de transparență</w:t>
      </w:r>
      <w:r>
        <w:t xml:space="preserve">, care constituie corolarul principiului egalității de tratament, are ca scop să garanteze absența riscului de favoritism și de arbitrar din partea autorității contractante. Această obligație implică </w:t>
      </w:r>
      <w:r>
        <w:rPr>
          <w:rStyle w:val="Fontdeparagrafimplicit"/>
          <w:u w:val="single"/>
        </w:rPr>
        <w:t>formularea tuturor condițiilor și modalităților procedurii de atribuire în mod clar, precis și neechivoc în anunțul de participare sau în caietul de sarcini</w:t>
      </w:r>
      <w:r>
        <w:t xml:space="preserve">, astfel încât, în primul rând, </w:t>
      </w:r>
      <w:r>
        <w:rPr>
          <w:rStyle w:val="Fontdeparagrafimplicit"/>
          <w:u w:val="single"/>
        </w:rPr>
        <w:t>să permită tuturor ofertanților informați în mod rezonabil și obișnuit de diligenți să le înțeleagă conținutul exact și să le interpreteze în același mod</w:t>
      </w:r>
      <w:r>
        <w:t xml:space="preserve"> și, în al doilea rând, </w:t>
      </w:r>
      <w:r>
        <w:rPr>
          <w:rStyle w:val="Fontdeparagrafimplicit"/>
          <w:u w:val="single"/>
        </w:rPr>
        <w:t>să permită autorității contractante să verifice efectiv dacă ofertele prezentate de ofertanți corespund criteriilor</w:t>
      </w:r>
      <w:r>
        <w:t xml:space="preserve"> care guvernează contractul în cauză (a se vedea în acest sens Hotărârea din 6 noiembrie 2014, Cartiera dell’Adda, C</w:t>
      </w:r>
      <w:r>
        <w:rPr>
          <w:rStyle w:val="Fontdeparagrafimplicit"/>
          <w:rFonts w:ascii="MS Mincho" w:hAnsi="MS Mincho"/>
        </w:rPr>
        <w:t>‑</w:t>
      </w:r>
      <w:r>
        <w:t>42/13, EU:C:2014:2345, punctul 44 și jurisprudența citată)”.</w:t>
      </w:r>
    </w:p>
    <w:p w:rsidR="00735ECB" w14:paraId="31218BE5" w14:textId="77777777">
      <w:pPr>
        <w:ind w:firstLine="709"/>
        <w:jc w:val="both"/>
      </w:pPr>
      <w:r>
        <w:t>Mai mult, în Hotărârea din 14 iunie 2017, Medipac - Kazantzidis, C-6/05, EU:</w:t>
      </w:r>
      <w:r>
        <w:rPr>
          <w:rStyle w:val="outputecliaff"/>
        </w:rPr>
        <w:t xml:space="preserve">C:2007:337, </w:t>
      </w:r>
      <w:r>
        <w:t>CJUE a precizat că obligaţia de transparenţă „interzice autorităţii contractante să respingă o ofertă care respectă cerinţele anunţului privind cererea de ofertă întemeindu-se pe motive care nu au fost prevăzute în acest anunţ şi care sunt invocate ulterior depunerii acestei oferte.” (punctul 54).</w:t>
      </w:r>
    </w:p>
    <w:p w:rsidR="00735ECB" w14:paraId="6F009FD6" w14:textId="344F0B38">
      <w:pPr>
        <w:ind w:firstLine="709"/>
        <w:jc w:val="both"/>
      </w:pPr>
      <w:r>
        <w:t xml:space="preserve">Situaţia de fapt din cauză relevă faptul că, prin adresa nr. </w:t>
      </w:r>
      <w:r w:rsidR="0037328E">
        <w:t xml:space="preserve"> </w:t>
      </w:r>
      <w:r>
        <w:t>/23.01.</w:t>
      </w:r>
      <w:r w:rsidR="0037328E">
        <w:t xml:space="preserve"> </w:t>
      </w:r>
      <w:r>
        <w:t xml:space="preserve">,  autoritatea contractantă a respins oferta </w:t>
      </w:r>
      <w:r w:rsidR="00A3315D">
        <w:t xml:space="preserve">9 </w:t>
      </w:r>
      <w:r>
        <w:t xml:space="preserve"> pentru neîndeplinirea cerinţei de calificare prevăzută în fişa de date a achiziţiei, la punctul III.2.3 a), </w:t>
      </w:r>
      <w:r>
        <w:rPr>
          <w:rStyle w:val="Fontdeparagrafimplicit"/>
          <w:i/>
        </w:rPr>
        <w:t>calificări profesionale ale operatorului economic</w:t>
      </w:r>
      <w:r>
        <w:t>, cerinţă care ar consta în deţinerea agrementului tehnic pentru activitatea de sudură.</w:t>
      </w:r>
    </w:p>
    <w:p w:rsidR="00735ECB" w14:paraId="0600D82C" w14:textId="77777777">
      <w:pPr>
        <w:ind w:firstLine="709"/>
        <w:jc w:val="both"/>
      </w:pPr>
      <w:r>
        <w:t>Din examinarea fişei de date a achiziţiei, rezultă că s-a impus, la punctul III.2.3 a), referitor la cerinţele de participare privind capacitatea tehnică a ofertanţilor, deţinerea autorizaţiei de furnizor feroviar şi agrement tehnic feroviar emise de AFER valabile la data prezentării pentru următoarele categorii de lucrări feroviare: infrastructură, suprastructură, lucrări de artă, tuneluri, electrificare şi energoalimentare, telecomunicaţii feroviare, semnalizare feroviară şi lucrări de construcţii civile.</w:t>
      </w:r>
    </w:p>
    <w:p w:rsidR="00735ECB" w14:paraId="6971B42C" w14:textId="77777777">
      <w:pPr>
        <w:ind w:firstLine="709"/>
        <w:jc w:val="both"/>
      </w:pPr>
      <w:r>
        <w:t xml:space="preserve">Conform  aceloraşi reguli, documentele justificative sunt necesare pentru categoriile de lucrări feroviare </w:t>
      </w:r>
      <w:r>
        <w:rPr>
          <w:rStyle w:val="Fontdeparagrafimplicit"/>
          <w:u w:val="single"/>
        </w:rPr>
        <w:t>critice</w:t>
      </w:r>
      <w:r>
        <w:t xml:space="preserve"> necesare în vederea îndeplinirii contractului de execuţie, valabile la data prezentării.</w:t>
      </w:r>
    </w:p>
    <w:p w:rsidR="00735ECB" w14:paraId="4A19F1EC" w14:textId="77777777">
      <w:pPr>
        <w:ind w:firstLine="709"/>
        <w:jc w:val="both"/>
      </w:pPr>
      <w:r>
        <w:t xml:space="preserve">Astfel, prezentarea documentelor AFER pentru sudură nu a fost impusă drept cerinţă de calificare </w:t>
      </w:r>
      <w:r>
        <w:rPr>
          <w:rStyle w:val="Fontdeparagrafimplicit"/>
          <w:u w:val="single"/>
        </w:rPr>
        <w:t>în mod clar, precis și neechivoc</w:t>
      </w:r>
      <w:r>
        <w:t xml:space="preserve"> şi nu îndeplineşte exigenţa pentru respectarea principului transparenţei procedurii de calificare, astfel cum a fost conturat în jurisprudenţa CJUE, în special în Hotărârea din cauza Cartiera dell’Adda, Canterior menţionată, Hotărârea Comisia/CAS Succhi di Frutta, C</w:t>
      </w:r>
      <w:r>
        <w:rPr>
          <w:rStyle w:val="Fontdeparagrafimplicit"/>
          <w:rFonts w:ascii="MS Mincho" w:hAnsi="MS Mincho"/>
        </w:rPr>
        <w:t>‑</w:t>
      </w:r>
      <w:r>
        <w:t>496/99 P, EU:C:2004:236, punctul 110, și Hotărârea Cartiera dell’Adda, C</w:t>
      </w:r>
      <w:r>
        <w:rPr>
          <w:rStyle w:val="Fontdeparagrafimplicit"/>
          <w:rFonts w:ascii="MS Mincho" w:hAnsi="MS Mincho"/>
        </w:rPr>
        <w:t>‑</w:t>
      </w:r>
      <w:r>
        <w:t>42/13, EU:C:2014:2345, punctul 44, Hotărârea Curții din 12 martie 2015, eVigilo Ltd, C-538/13, EU:C:2015:166, punctul 32. Mai precis, nu permite tuturor ofertanților informați în mod rezonabil și obișnuit de diligenți să le înțeleagă conținutul exact și să le interpreteze în același mod.</w:t>
      </w:r>
    </w:p>
    <w:p w:rsidR="00735ECB" w14:paraId="6062C0D3" w14:textId="77777777">
      <w:pPr>
        <w:ind w:firstLine="709"/>
        <w:jc w:val="both"/>
      </w:pPr>
      <w:r>
        <w:t>Intenţia autorităţii contractante de a impune o cerinţă de calificare constând în deţinerea unui agrement AFER pentru sudură trebuia materializată expres în fişa de date a achiziţiei şi în anunţul de participare. Astfel cum au susţinut şi revizuientele, dacă ar fi fost cunoscută de la începutul procedurii de achiziţie, alţi operatori economici ar fi avut ocazia să îşi manifeste voinţa de a participa la licitaţie, iar operatorii economici deja participanţi ar fi avut posibilitatea să îşi dimensioneze altfel documentaţia de ofertă.</w:t>
      </w:r>
    </w:p>
    <w:p w:rsidR="00735ECB" w14:paraId="478C538A" w14:textId="3AC2429C">
      <w:pPr>
        <w:ind w:firstLine="709"/>
        <w:jc w:val="both"/>
      </w:pPr>
      <w:r>
        <w:t xml:space="preserve">Instanţa care a soluţionat plângerea formulată de petenta </w:t>
      </w:r>
      <w:r w:rsidR="00A3315D">
        <w:t xml:space="preserve">2 </w:t>
      </w:r>
      <w:r>
        <w:t xml:space="preserve"> Technical Societe Anonyme a arătat că cerinţa poate fi dedusă din aceea că s-a prevăzut obligativitatea deţinerii agrementelor pentru categoriile de lucrări feroviare </w:t>
      </w:r>
      <w:r>
        <w:rPr>
          <w:rStyle w:val="Fontdeparagrafimplicit"/>
          <w:u w:val="single"/>
        </w:rPr>
        <w:t>critice</w:t>
      </w:r>
      <w:r>
        <w:t xml:space="preserve"> necesare în vederea îndeplinirii contractului de execuţie, iar calitatea de lucrare critică a activităţii de sudură rezultă din lista produselor, lucrărilor, serviciilor feroviare critice şi încadrarea acestora în clasa de risc, publicată pe website-ul </w:t>
      </w:r>
      <w:hyperlink w:history="1" r:id="rId6">
        <w:r>
          <w:rPr>
            <w:rStyle w:val="Hyperlink"/>
          </w:rPr>
          <w:t>www.afer.ro</w:t>
        </w:r>
      </w:hyperlink>
      <w:r>
        <w:t xml:space="preserve">. </w:t>
      </w:r>
    </w:p>
    <w:p w:rsidR="00735ECB" w14:paraId="6D6DBCC2" w14:textId="77777777">
      <w:pPr>
        <w:ind w:firstLine="709"/>
        <w:jc w:val="both"/>
      </w:pPr>
      <w:r>
        <w:t>A considera că cerinţa de calificare rezultă în mod implicit din fişa de date a achiziţiei, în urma coroborării cu interpretări de acte aparţinând unor autorităţi naţionale, care excedează documentaţiei de atribuire încalcă nu doar principiul transparenţei, ci şi principiul şi tratamentului egal al ofertanţilor în cadrul procedurii de achiziţie publică. Totodată, libertatea prestării serviciilor este afectată într-o asemenea ipoteză. Or, normele din dreptul Uniunii referitoare la atribuirea contractelor de achiziţii publice de lucrări servesc, în special, îndeplinirii liberei prestări a serviciilor, astfel cum s-a decis de către CJUE prin Hotărârea din 15 ianuarie 1998, Mannesmann Anlagenbau Austria şi alţii, C-44/96, Rec., p. I-73, punctul 43, Hotărârea Michaniki, C-213/07, Rep., p. I-9999, punctul 39 şi Hotărârea din 9 iunie 2009, Comisia/Germania, C-480/06, punctul 47. Unui ofertant de altă naţionalitate decât română, precum este revizuienta din prezenta cauză, accesul la o astfel de procedură ar îngreunat în atare condiţii.</w:t>
      </w:r>
    </w:p>
    <w:p w:rsidR="00735ECB" w14:paraId="25EF4056" w14:textId="77777777">
      <w:pPr>
        <w:ind w:firstLine="709"/>
        <w:jc w:val="both"/>
      </w:pPr>
      <w:r>
        <w:t>Curtea constată, totodată, că petenta a invocat încălcări ale principiului tratamentului egal al ofertanţilor şi ale libertăţii de prestare a serviciilor, însă în hotărârea a cărei revizuire se solicită nu se analizează aceste aspecte.</w:t>
      </w:r>
    </w:p>
    <w:p w:rsidR="00735ECB" w14:paraId="6683DF68" w14:textId="22C0BBCA">
      <w:pPr>
        <w:ind w:firstLine="709"/>
        <w:jc w:val="both"/>
      </w:pPr>
      <w:r>
        <w:t xml:space="preserve">Curtea mai observă din analiza conţinutului proceselor-verbale de evaluare, astfel cum a susţinut şi revizuienta, că documentul echivalent prezentat de </w:t>
      </w:r>
      <w:r w:rsidR="00A3315D">
        <w:t xml:space="preserve">2 </w:t>
      </w:r>
      <w:r>
        <w:t xml:space="preserve"> în cadrul ofertei sale şi indicat în mod expres în răspunsul la clarificări, nu a fost analizat, astfel că eroarea comisiei de evaluare s-a menţinut independent de caracteristicile proprii ale documentului omis de la evaluare şi a adus atingere principiului libertăţii prestării serviciilor şi al tratamentului egal care guvernează procedura achiziţiilor publice.</w:t>
      </w:r>
    </w:p>
    <w:p w:rsidR="00735ECB" w14:paraId="6C1E9383" w14:textId="77777777">
      <w:pPr>
        <w:ind w:firstLine="709"/>
        <w:jc w:val="both"/>
      </w:pPr>
      <w:r>
        <w:t xml:space="preserve">Prin omisiunea analizării certificării anterior menţionate, autoritatea contractantă a încălcat dispoziţiile art. 133 din H.G. nr. 394/2016 şi principiul recunoaşterii reciproce prevăzut expres de art. 2 alin. (2) lit. c) din Legea nr. 99/2016 şi de considerentul (2) al Directivei 2014/25/UE şi interpretat </w:t>
      </w:r>
      <w:r>
        <w:rPr>
          <w:rStyle w:val="Fontdeparagrafimplicit"/>
          <w:i/>
        </w:rPr>
        <w:t xml:space="preserve">inter alia </w:t>
      </w:r>
      <w:r>
        <w:t xml:space="preserve">prin Hotărârea din 14 iunie 2007, Medipac-Kazantzidis AE v. Venizeleio-Pananeio C-6/05, EU:C:2007:337. Principiul recunoașterii </w:t>
      </w:r>
      <w:r>
        <w:t xml:space="preserve">reciproce nu interzice existenţa standardelor naţionale, ci doar acceptarea standardelor similare din alt stat membru. Ca urmare a recunoaşterii reciproce, se pot susţine deziderate privind, printre altele, introducerea unui element de concurenţă între reglementări naţionale în privinţa prestării serviciilor la nivel transfrontalier, facilitând, în consecinţă, cele mai bune practici. </w:t>
      </w:r>
    </w:p>
    <w:p w:rsidR="00735ECB" w14:paraId="6C0DF6A8" w14:textId="77777777">
      <w:pPr>
        <w:ind w:firstLine="709"/>
        <w:jc w:val="both"/>
      </w:pPr>
      <w:r>
        <w:t>În consecinţă, observând că principul supremaţiei dreptului UE a fost încălcat prin soluţia adoptată în decizia atacată, Curtea, în temeiul art. 513 alin. (4</w:t>
      </w:r>
      <w:r>
        <w:rPr>
          <w:rStyle w:val="Fontdeparagrafimplicit"/>
          <w:vertAlign w:val="superscript"/>
        </w:rPr>
        <w:t>1</w:t>
      </w:r>
      <w:r>
        <w:t>) din Codul de procedură civilă raportat la art. 21 din Legea nr. 554/2004, va admite cererea de revizuire, va schimba în tot decizia atacată, în sensul admiterii plângerii formulate şi respingerii în consecinţă a cererii de intervenţie accesorie. În soluţionarea contestaţiei, în temeiul art. 34 alin. (1) din Legea nr. 101/2016, va anula raportul procedurii de atribuire şi actele pe care se fundamentează acesta, precum şi actele subsecvente acestuia şi va dispune reevaluarea ofertelor.</w:t>
      </w:r>
    </w:p>
    <w:p w:rsidR="00735ECB" w14:paraId="6EBC84CA" w14:textId="2AF6A207">
      <w:pPr>
        <w:ind w:firstLine="709"/>
        <w:jc w:val="both"/>
      </w:pPr>
      <w:r>
        <w:t xml:space="preserve">Totodată, în ceea ce priveşte întinderea efectelor prezentei hotărâri sub aspect subiectiv, aceasta este circumscrisă cadrului procesual stabilit de părţi în temeiul principiului disponibilităţii, respectiv va produce efecte faţă de părţile atrase în judecată, intimata COMPANIA NAŢIONALĂ DE CĂI FERATE CFR SA și intervenienta ASOCIEREA </w:t>
      </w:r>
      <w:r w:rsidR="00A3315D">
        <w:t xml:space="preserve">7 </w:t>
      </w:r>
      <w:r>
        <w:t xml:space="preserve"> A.S. - </w:t>
      </w:r>
      <w:r w:rsidR="00A3315D">
        <w:t xml:space="preserve">8 </w:t>
      </w:r>
      <w:r>
        <w:t xml:space="preserve"> AS, astfel cum s-a precizat la punctul 5 al prezentei hotărâri.</w:t>
      </w:r>
    </w:p>
    <w:p w:rsidR="00735ECB" w14:paraId="513F19AA" w14:textId="77777777">
      <w:pPr>
        <w:ind w:firstLine="709"/>
        <w:jc w:val="center"/>
        <w:rPr>
          <w:rStyle w:val="Fontdeparagrafimplicit"/>
          <w:b/>
        </w:rPr>
      </w:pPr>
      <w:r>
        <w:rPr>
          <w:rStyle w:val="Fontdeparagrafimplicit"/>
          <w:b/>
        </w:rPr>
        <w:t>PENTRU ACESTE MOTIVE</w:t>
      </w:r>
    </w:p>
    <w:p w:rsidR="00735ECB" w14:paraId="7CC87854" w14:textId="77777777">
      <w:pPr>
        <w:ind w:firstLine="709"/>
        <w:jc w:val="center"/>
        <w:rPr>
          <w:rStyle w:val="Fontdeparagrafimplicit"/>
          <w:b/>
        </w:rPr>
      </w:pPr>
      <w:r>
        <w:rPr>
          <w:rStyle w:val="Fontdeparagrafimplicit"/>
          <w:b/>
        </w:rPr>
        <w:t>ÎN NUMELE LEGII</w:t>
      </w:r>
    </w:p>
    <w:p w:rsidR="00735ECB" w14:paraId="31BD2C19" w14:textId="77777777">
      <w:pPr>
        <w:ind w:firstLine="709"/>
        <w:jc w:val="center"/>
        <w:rPr>
          <w:rStyle w:val="Fontdeparagrafimplicit"/>
          <w:b/>
        </w:rPr>
      </w:pPr>
      <w:r>
        <w:rPr>
          <w:rStyle w:val="Fontdeparagrafimplicit"/>
          <w:b/>
        </w:rPr>
        <w:t>D E C I D E:</w:t>
      </w:r>
    </w:p>
    <w:p w:rsidR="00735ECB" w14:paraId="41517F0B" w14:textId="77777777">
      <w:pPr>
        <w:ind w:firstLine="709"/>
        <w:jc w:val="center"/>
        <w:rPr>
          <w:rStyle w:val="Fontdeparagrafimplicit"/>
          <w:b/>
        </w:rPr>
      </w:pPr>
    </w:p>
    <w:p w:rsidR="00735ECB" w14:paraId="6E83992B" w14:textId="6EB04542">
      <w:pPr>
        <w:ind w:firstLine="709"/>
        <w:jc w:val="both"/>
      </w:pPr>
      <w:r>
        <w:t xml:space="preserve">Admite cererea de revizuire formulată de </w:t>
      </w:r>
      <w:r>
        <w:rPr>
          <w:rStyle w:val="Fontdeparagrafimplicit"/>
          <w:b/>
        </w:rPr>
        <w:t xml:space="preserve">revizuentele </w:t>
      </w:r>
      <w:r w:rsidR="00713A80">
        <w:rPr>
          <w:rStyle w:val="Fontdeparagrafimplicit"/>
          <w:b/>
        </w:rPr>
        <w:t xml:space="preserve">2 </w:t>
      </w:r>
      <w:r>
        <w:rPr>
          <w:rStyle w:val="Fontdeparagrafimplicit"/>
          <w:b/>
        </w:rPr>
        <w:t xml:space="preserve">, </w:t>
      </w:r>
      <w:r w:rsidR="00713A80">
        <w:rPr>
          <w:rStyle w:val="Fontdeparagrafimplicit"/>
          <w:b/>
        </w:rPr>
        <w:t xml:space="preserve">3 </w:t>
      </w:r>
      <w:r>
        <w:rPr>
          <w:rStyle w:val="Fontdeparagrafimplicit"/>
          <w:b/>
        </w:rPr>
        <w:t xml:space="preserve"> SA și </w:t>
      </w:r>
      <w:r w:rsidR="00713A80">
        <w:rPr>
          <w:rStyle w:val="Fontdeparagrafimplicit"/>
          <w:b/>
        </w:rPr>
        <w:t xml:space="preserve">4 </w:t>
      </w:r>
      <w:r>
        <w:rPr>
          <w:rStyle w:val="Fontdeparagrafimplicit"/>
          <w:b/>
        </w:rPr>
        <w:t xml:space="preserve"> SA, </w:t>
      </w:r>
      <w:r>
        <w:t xml:space="preserve">cu toate cu sediul procesual ales în </w:t>
      </w:r>
      <w:r w:rsidR="00713A80">
        <w:t xml:space="preserve">                  </w:t>
      </w:r>
      <w:r>
        <w:t xml:space="preserve">, str. </w:t>
      </w:r>
      <w:r w:rsidR="0037328E">
        <w:t xml:space="preserve"> </w:t>
      </w:r>
      <w:r>
        <w:t xml:space="preserve"> nr. </w:t>
      </w:r>
      <w:r w:rsidR="0037328E">
        <w:t xml:space="preserve"> </w:t>
      </w:r>
      <w:r>
        <w:t xml:space="preserve">, </w:t>
      </w:r>
      <w:r w:rsidR="0037328E">
        <w:t xml:space="preserve"> </w:t>
      </w:r>
      <w:r>
        <w:t xml:space="preserve">, </w:t>
      </w:r>
      <w:r w:rsidR="0037328E">
        <w:t xml:space="preserve"> </w:t>
      </w:r>
      <w:r>
        <w:t>,</w:t>
      </w:r>
      <w:r>
        <w:rPr>
          <w:rStyle w:val="Fontdeparagrafimplicit"/>
          <w:b/>
        </w:rPr>
        <w:t xml:space="preserve"> </w:t>
      </w:r>
      <w:r>
        <w:t xml:space="preserve">împotriva Deciziei civile nr. </w:t>
      </w:r>
      <w:r w:rsidR="0037328E">
        <w:t>5</w:t>
      </w:r>
      <w:r>
        <w:t xml:space="preserve">, pronunțată la data de </w:t>
      </w:r>
      <w:r w:rsidR="00A3315D">
        <w:t xml:space="preserve">       </w:t>
      </w:r>
      <w:r>
        <w:t xml:space="preserve"> de către Curtea de Apel </w:t>
      </w:r>
      <w:r w:rsidR="00713A80">
        <w:t xml:space="preserve">                  </w:t>
      </w:r>
      <w:r>
        <w:t xml:space="preserve"> – Secția </w:t>
      </w:r>
      <w:r w:rsidR="00713A80">
        <w:t xml:space="preserve">                  </w:t>
      </w:r>
      <w:r>
        <w:t xml:space="preserve"> în dosarul nr. </w:t>
      </w:r>
      <w:r w:rsidR="00713A80">
        <w:t xml:space="preserve">6 </w:t>
      </w:r>
      <w:r>
        <w:t xml:space="preserve">, în contradictoriu cu </w:t>
      </w:r>
      <w:r>
        <w:rPr>
          <w:rStyle w:val="Fontdeparagrafimplicit"/>
          <w:b/>
        </w:rPr>
        <w:t xml:space="preserve">intimata COMPANIA NAŢIONALĂ DE CĂI FERATE CFR SA, </w:t>
      </w:r>
      <w:r>
        <w:t xml:space="preserve">cu sediul în </w:t>
      </w:r>
      <w:r w:rsidR="00163537">
        <w:t xml:space="preserve">            </w:t>
      </w:r>
      <w:r>
        <w:t xml:space="preserve">, </w:t>
      </w:r>
      <w:r w:rsidR="00713A80">
        <w:t xml:space="preserve">                  </w:t>
      </w:r>
      <w:r>
        <w:t xml:space="preserve">, STR. </w:t>
      </w:r>
      <w:r w:rsidR="0037328E">
        <w:t xml:space="preserve"> </w:t>
      </w:r>
      <w:r>
        <w:t xml:space="preserve">, nr. </w:t>
      </w:r>
      <w:r w:rsidR="0037328E">
        <w:t xml:space="preserve"> </w:t>
      </w:r>
      <w:r>
        <w:rPr>
          <w:rStyle w:val="Fontdeparagrafimplicit"/>
          <w:b/>
        </w:rPr>
        <w:t xml:space="preserve"> și intervenienta ASOCIEREA </w:t>
      </w:r>
      <w:r w:rsidR="00A3315D">
        <w:rPr>
          <w:rStyle w:val="Fontdeparagrafimplicit"/>
          <w:b/>
        </w:rPr>
        <w:t xml:space="preserve">7 </w:t>
      </w:r>
      <w:r>
        <w:rPr>
          <w:rStyle w:val="Fontdeparagrafimplicit"/>
          <w:b/>
        </w:rPr>
        <w:t xml:space="preserve"> A.S. - </w:t>
      </w:r>
      <w:r w:rsidR="00A3315D">
        <w:rPr>
          <w:rStyle w:val="Fontdeparagrafimplicit"/>
          <w:b/>
        </w:rPr>
        <w:t xml:space="preserve">8 </w:t>
      </w:r>
      <w:r>
        <w:rPr>
          <w:rStyle w:val="Fontdeparagrafimplicit"/>
          <w:b/>
        </w:rPr>
        <w:t xml:space="preserve"> AS, </w:t>
      </w:r>
      <w:r>
        <w:t xml:space="preserve">cu sediul procesual ales în </w:t>
      </w:r>
      <w:r w:rsidR="00713A80">
        <w:t xml:space="preserve">                  </w:t>
      </w:r>
      <w:r>
        <w:t xml:space="preserve">, Str. </w:t>
      </w:r>
      <w:r w:rsidR="0037328E">
        <w:t xml:space="preserve"> </w:t>
      </w:r>
      <w:r>
        <w:t xml:space="preserve"> nr. </w:t>
      </w:r>
      <w:r w:rsidR="0037328E">
        <w:t xml:space="preserve"> </w:t>
      </w:r>
      <w:r>
        <w:t xml:space="preserve">, </w:t>
      </w:r>
      <w:r w:rsidR="00713A80">
        <w:t xml:space="preserve">                  </w:t>
      </w:r>
      <w:r>
        <w:t xml:space="preserve">, </w:t>
      </w:r>
      <w:r w:rsidR="0037328E">
        <w:t xml:space="preserve"> </w:t>
      </w:r>
      <w:r>
        <w:t xml:space="preserve">. </w:t>
      </w:r>
    </w:p>
    <w:p w:rsidR="00735ECB" w14:paraId="4997EE19" w14:textId="77777777">
      <w:pPr>
        <w:ind w:firstLine="709"/>
        <w:jc w:val="both"/>
      </w:pPr>
      <w:r>
        <w:t xml:space="preserve">Schimbă în tot decizia atacată, în sensul că: </w:t>
      </w:r>
    </w:p>
    <w:p w:rsidR="00735ECB" w14:paraId="64960913" w14:textId="77777777">
      <w:pPr>
        <w:ind w:firstLine="709"/>
        <w:jc w:val="both"/>
      </w:pPr>
      <w:r>
        <w:t xml:space="preserve">Admite plângerea. </w:t>
      </w:r>
    </w:p>
    <w:p w:rsidR="00735ECB" w14:paraId="6AE70F7E" w14:textId="77777777">
      <w:pPr>
        <w:ind w:firstLine="709"/>
        <w:jc w:val="both"/>
      </w:pPr>
      <w:r>
        <w:t xml:space="preserve">Anulează raportul procedurii de atribuire şi actele pe care se fundamentează acesta, precum şi actele subsecvente acestuia. </w:t>
      </w:r>
    </w:p>
    <w:p w:rsidR="00735ECB" w14:paraId="3D4A3CB3" w14:textId="77777777">
      <w:pPr>
        <w:ind w:firstLine="709"/>
        <w:jc w:val="both"/>
      </w:pPr>
      <w:r>
        <w:t xml:space="preserve">Dispune reevaluarea ofertelor. </w:t>
      </w:r>
    </w:p>
    <w:p w:rsidR="00735ECB" w14:paraId="64077677" w14:textId="77777777">
      <w:pPr>
        <w:ind w:firstLine="709"/>
        <w:jc w:val="both"/>
      </w:pPr>
      <w:r>
        <w:t xml:space="preserve">Definitivă. </w:t>
      </w:r>
    </w:p>
    <w:p w:rsidR="00735ECB" w14:paraId="0D58B276" w14:textId="05DF109B">
      <w:pPr>
        <w:ind w:firstLine="709"/>
        <w:jc w:val="both"/>
      </w:pPr>
      <w:r>
        <w:t xml:space="preserve">Pronunţată astăzi, </w:t>
      </w:r>
      <w:r w:rsidR="0037328E">
        <w:t xml:space="preserve"> </w:t>
      </w:r>
      <w:r>
        <w:t>, prin punerea soluţiei la dispoziţia părţilor prin mijlocirea grefei.</w:t>
      </w:r>
    </w:p>
    <w:p w:rsidR="00735ECB" w14:paraId="1EC31CAE" w14:textId="77777777">
      <w:pPr>
        <w:ind w:firstLine="709"/>
        <w:jc w:val="both"/>
      </w:pPr>
    </w:p>
    <w:p w:rsidR="00735ECB" w14:paraId="3E300173" w14:textId="77777777">
      <w:pPr>
        <w:pStyle w:val="Style8"/>
        <w:widowControl/>
        <w:spacing w:line="240" w:lineRule="auto"/>
        <w:ind w:firstLine="709"/>
        <w:jc w:val="left"/>
        <w:rPr>
          <w:rStyle w:val="FontStyle26"/>
          <w:rFonts w:ascii="Times New Roman" w:hAnsi="Times New Roman"/>
          <w:b/>
          <w:sz w:val="24"/>
          <w:lang w:val="ro-RO"/>
        </w:rPr>
      </w:pPr>
      <w:r>
        <w:rPr>
          <w:rStyle w:val="FontStyle26"/>
          <w:rFonts w:ascii="Times New Roman" w:hAnsi="Times New Roman"/>
          <w:sz w:val="24"/>
          <w:lang w:val="ro-RO"/>
        </w:rPr>
        <w:t xml:space="preserve">   Preşedinte,</w:t>
      </w:r>
      <w:r>
        <w:rPr>
          <w:rStyle w:val="FontStyle26"/>
          <w:rFonts w:ascii="Times New Roman" w:hAnsi="Times New Roman"/>
          <w:sz w:val="24"/>
          <w:lang w:val="ro-RO"/>
        </w:rPr>
        <w:tab/>
      </w:r>
      <w:r>
        <w:rPr>
          <w:rStyle w:val="FontStyle26"/>
          <w:rFonts w:ascii="Times New Roman" w:hAnsi="Times New Roman"/>
          <w:sz w:val="24"/>
          <w:lang w:val="ro-RO"/>
        </w:rPr>
        <w:tab/>
      </w:r>
      <w:r>
        <w:rPr>
          <w:rStyle w:val="FontStyle26"/>
          <w:rFonts w:ascii="Times New Roman" w:hAnsi="Times New Roman"/>
          <w:sz w:val="24"/>
          <w:lang w:val="ro-RO"/>
        </w:rPr>
        <w:tab/>
        <w:t xml:space="preserve">    Judecător,</w:t>
      </w:r>
      <w:r>
        <w:rPr>
          <w:rStyle w:val="FontStyle26"/>
          <w:rFonts w:ascii="Times New Roman" w:hAnsi="Times New Roman"/>
          <w:sz w:val="24"/>
          <w:lang w:val="ro-RO"/>
        </w:rPr>
        <w:tab/>
      </w:r>
      <w:r>
        <w:rPr>
          <w:rStyle w:val="FontStyle26"/>
          <w:rFonts w:ascii="Times New Roman" w:hAnsi="Times New Roman"/>
          <w:sz w:val="24"/>
          <w:lang w:val="ro-RO"/>
        </w:rPr>
        <w:tab/>
      </w:r>
      <w:r>
        <w:rPr>
          <w:rStyle w:val="FontStyle26"/>
          <w:rFonts w:ascii="Times New Roman" w:hAnsi="Times New Roman"/>
          <w:sz w:val="24"/>
          <w:lang w:val="ro-RO"/>
        </w:rPr>
        <w:tab/>
        <w:t xml:space="preserve">        Judecător,  </w:t>
      </w:r>
    </w:p>
    <w:p w:rsidR="00735ECB" w14:paraId="52B46222" w14:textId="2FC41414">
      <w:pPr>
        <w:pStyle w:val="Style8"/>
        <w:widowControl/>
        <w:spacing w:line="240" w:lineRule="auto"/>
        <w:jc w:val="left"/>
        <w:rPr>
          <w:rStyle w:val="FontStyle26"/>
          <w:rFonts w:ascii="Times New Roman" w:hAnsi="Times New Roman"/>
          <w:b/>
          <w:sz w:val="24"/>
          <w:lang w:val="ro-RO"/>
        </w:rPr>
      </w:pPr>
      <w:r>
        <w:rPr>
          <w:rStyle w:val="FontStyle26"/>
          <w:rFonts w:ascii="Times New Roman" w:hAnsi="Times New Roman"/>
          <w:sz w:val="24"/>
          <w:lang w:val="ro-RO"/>
        </w:rPr>
        <w:t xml:space="preserve">                                           </w:t>
      </w:r>
      <w:r w:rsidR="00163537">
        <w:rPr>
          <w:rStyle w:val="FontStyle26"/>
          <w:rFonts w:ascii="Times New Roman" w:hAnsi="Times New Roman"/>
          <w:sz w:val="24"/>
          <w:lang w:val="ro-RO"/>
        </w:rPr>
        <w:t xml:space="preserve">                                                                </w:t>
      </w:r>
      <w:r>
        <w:rPr>
          <w:rStyle w:val="FontStyle26"/>
          <w:rFonts w:ascii="Times New Roman" w:hAnsi="Times New Roman"/>
          <w:sz w:val="24"/>
          <w:lang w:val="ro-RO"/>
        </w:rPr>
        <w:t xml:space="preserve">   A0008                       </w:t>
      </w:r>
    </w:p>
    <w:p w:rsidR="00735ECB" w14:paraId="6D258585" w14:textId="77777777">
      <w:pPr>
        <w:pStyle w:val="Style8"/>
        <w:widowControl/>
        <w:spacing w:line="240" w:lineRule="auto"/>
        <w:jc w:val="left"/>
        <w:rPr>
          <w:rStyle w:val="FontStyle26"/>
          <w:rFonts w:ascii="Times New Roman" w:hAnsi="Times New Roman"/>
          <w:b/>
          <w:sz w:val="24"/>
          <w:lang w:val="ro-RO"/>
        </w:rPr>
      </w:pPr>
    </w:p>
    <w:p w:rsidR="00735ECB" w14:paraId="538030FB" w14:textId="77777777">
      <w:pPr>
        <w:pStyle w:val="Style8"/>
        <w:widowControl/>
        <w:spacing w:line="240" w:lineRule="auto"/>
        <w:jc w:val="left"/>
        <w:rPr>
          <w:rStyle w:val="FontStyle26"/>
          <w:rFonts w:ascii="Times New Roman" w:hAnsi="Times New Roman"/>
          <w:b/>
          <w:sz w:val="24"/>
          <w:lang w:val="ro-RO"/>
        </w:rPr>
      </w:pPr>
    </w:p>
    <w:p w:rsidR="00735ECB" w14:paraId="77E3FC26" w14:textId="77777777">
      <w:pPr>
        <w:pStyle w:val="Style8"/>
        <w:widowControl/>
        <w:spacing w:line="240" w:lineRule="auto"/>
        <w:jc w:val="left"/>
        <w:rPr>
          <w:rStyle w:val="FontStyle26"/>
          <w:rFonts w:ascii="Times New Roman" w:hAnsi="Times New Roman"/>
          <w:b/>
          <w:sz w:val="24"/>
          <w:lang w:val="ro-RO"/>
        </w:rPr>
      </w:pPr>
    </w:p>
    <w:p w:rsidR="00735ECB" w14:paraId="004D3E63" w14:textId="77777777">
      <w:pPr>
        <w:pStyle w:val="Style8"/>
        <w:widowControl/>
        <w:spacing w:line="240" w:lineRule="auto"/>
        <w:ind w:left="6446" w:firstLine="709"/>
        <w:jc w:val="left"/>
        <w:rPr>
          <w:rStyle w:val="FontStyle26"/>
          <w:rFonts w:ascii="Times New Roman" w:hAnsi="Times New Roman"/>
          <w:b/>
          <w:sz w:val="24"/>
          <w:lang w:val="ro-RO"/>
        </w:rPr>
      </w:pPr>
      <w:r>
        <w:rPr>
          <w:rStyle w:val="FontStyle26"/>
          <w:rFonts w:ascii="Times New Roman" w:hAnsi="Times New Roman"/>
          <w:sz w:val="24"/>
          <w:lang w:val="ro-RO"/>
        </w:rPr>
        <w:t>Grefier,</w:t>
      </w:r>
    </w:p>
    <w:p w:rsidR="00735ECB" w14:paraId="2E5F03C1" w14:textId="2DAECF83">
      <w:pPr>
        <w:pStyle w:val="Style8"/>
        <w:widowControl/>
        <w:spacing w:line="240" w:lineRule="auto"/>
        <w:ind w:left="4956" w:firstLine="709"/>
        <w:jc w:val="left"/>
        <w:rPr>
          <w:rStyle w:val="FontStyle26"/>
          <w:rFonts w:ascii="Times New Roman" w:hAnsi="Times New Roman"/>
          <w:b/>
          <w:sz w:val="24"/>
          <w:lang w:val="ro-RO"/>
        </w:rPr>
      </w:pPr>
      <w:r>
        <w:rPr>
          <w:rStyle w:val="FontStyle26"/>
          <w:rFonts w:ascii="Times New Roman" w:hAnsi="Times New Roman"/>
          <w:sz w:val="24"/>
          <w:lang w:val="ro-RO"/>
        </w:rPr>
        <w:t xml:space="preserve">   </w:t>
      </w:r>
      <w:r w:rsidR="00713A80">
        <w:rPr>
          <w:rStyle w:val="FontStyle26"/>
          <w:rFonts w:ascii="Times New Roman" w:hAnsi="Times New Roman"/>
          <w:sz w:val="24"/>
          <w:lang w:val="ro-RO"/>
        </w:rPr>
        <w:t xml:space="preserve">                   </w:t>
      </w:r>
    </w:p>
    <w:p w:rsidR="00735ECB" w14:paraId="0E1FC7E7" w14:textId="77777777">
      <w:pPr>
        <w:pStyle w:val="Style8"/>
        <w:widowControl/>
        <w:spacing w:line="240" w:lineRule="auto"/>
        <w:ind w:left="4956" w:firstLine="709"/>
        <w:jc w:val="left"/>
        <w:rPr>
          <w:rStyle w:val="FontStyle26"/>
          <w:rFonts w:ascii="Times New Roman" w:hAnsi="Times New Roman"/>
          <w:b/>
          <w:sz w:val="24"/>
          <w:lang w:val="ro-RO"/>
        </w:rPr>
      </w:pPr>
    </w:p>
    <w:p w:rsidR="00735ECB" w14:paraId="7444A109" w14:textId="77777777">
      <w:pPr>
        <w:pStyle w:val="Style8"/>
        <w:widowControl/>
        <w:spacing w:line="240" w:lineRule="auto"/>
        <w:ind w:left="4956" w:firstLine="709"/>
        <w:jc w:val="left"/>
        <w:rPr>
          <w:rStyle w:val="FontStyle26"/>
          <w:rFonts w:ascii="Times New Roman" w:hAnsi="Times New Roman"/>
          <w:b/>
          <w:sz w:val="24"/>
          <w:lang w:val="ro-RO"/>
        </w:rPr>
      </w:pPr>
    </w:p>
    <w:p w:rsidR="00735ECB" w14:paraId="07E2D859" w14:textId="77777777">
      <w:pPr>
        <w:pStyle w:val="Style8"/>
        <w:widowControl/>
        <w:spacing w:line="240" w:lineRule="auto"/>
        <w:ind w:left="4956" w:firstLine="709"/>
        <w:jc w:val="left"/>
        <w:rPr>
          <w:rStyle w:val="FontStyle26"/>
          <w:rFonts w:ascii="Times New Roman" w:hAnsi="Times New Roman"/>
          <w:b/>
          <w:sz w:val="24"/>
          <w:lang w:val="ro-RO"/>
        </w:rPr>
      </w:pPr>
    </w:p>
    <w:p w:rsidR="00735ECB" w14:paraId="24928E66" w14:textId="77777777">
      <w:pPr>
        <w:rPr>
          <w:rStyle w:val="Fontdeparagrafimplicit"/>
          <w:i/>
          <w:sz w:val="16"/>
        </w:rPr>
      </w:pPr>
    </w:p>
    <w:p w:rsidR="00735ECB" w14:paraId="256D9E25" w14:textId="732310F2">
      <w:pPr>
        <w:rPr>
          <w:rStyle w:val="Fontdeparagrafimplicit"/>
          <w:i/>
          <w:sz w:val="16"/>
        </w:rPr>
      </w:pPr>
      <w:r>
        <w:rPr>
          <w:rStyle w:val="Fontdeparagrafimplicit"/>
          <w:i/>
          <w:sz w:val="16"/>
        </w:rPr>
        <w:t>Red./Tehnored./</w:t>
      </w:r>
      <w:r w:rsidR="00163537">
        <w:rPr>
          <w:rStyle w:val="Fontdeparagrafimplicit"/>
          <w:i/>
          <w:sz w:val="16"/>
        </w:rPr>
        <w:t>A0008</w:t>
      </w:r>
      <w:r>
        <w:rPr>
          <w:rStyle w:val="Fontdeparagrafimplicit"/>
          <w:i/>
          <w:sz w:val="16"/>
        </w:rPr>
        <w:t xml:space="preserve">/2 ex. </w:t>
      </w:r>
    </w:p>
    <w:p w:rsidR="00735ECB" w14:paraId="7958C908" w14:textId="77777777">
      <w:pPr>
        <w:rPr>
          <w:rStyle w:val="Fontdeparagrafimplicit"/>
          <w:i/>
          <w:sz w:val="16"/>
        </w:rPr>
      </w:pPr>
      <w:r>
        <w:rPr>
          <w:rStyle w:val="Fontdeparagrafimplicit"/>
          <w:i/>
          <w:sz w:val="16"/>
        </w:rPr>
        <w:t>Com. 5 ex. ………………..</w:t>
      </w:r>
    </w:p>
    <w:p w:rsidR="00735ECB" w14:paraId="5E251EB5" w14:textId="09A22A6D">
      <w:pPr>
        <w:rPr>
          <w:rStyle w:val="Fontdeparagrafimplicit"/>
          <w:i/>
          <w:sz w:val="16"/>
        </w:rPr>
      </w:pPr>
      <w:r>
        <w:rPr>
          <w:rStyle w:val="Fontdeparagrafimplicit"/>
          <w:i/>
          <w:sz w:val="16"/>
        </w:rPr>
        <w:t xml:space="preserve">Curtea de Apel </w:t>
      </w:r>
      <w:r w:rsidR="00713A80">
        <w:rPr>
          <w:rStyle w:val="Fontdeparagrafimplicit"/>
          <w:i/>
          <w:sz w:val="16"/>
        </w:rPr>
        <w:t xml:space="preserve">                  </w:t>
      </w:r>
      <w:r>
        <w:rPr>
          <w:rStyle w:val="Fontdeparagrafimplicit"/>
          <w:i/>
          <w:sz w:val="16"/>
        </w:rPr>
        <w:t xml:space="preserve"> – Secția </w:t>
      </w:r>
      <w:r w:rsidR="00713A80">
        <w:rPr>
          <w:rStyle w:val="Fontdeparagrafimplicit"/>
          <w:i/>
          <w:sz w:val="16"/>
        </w:rPr>
        <w:t xml:space="preserve">                  </w:t>
      </w:r>
    </w:p>
    <w:p w:rsidR="00735ECB" w14:paraId="5117E7AF" w14:textId="00FFC758">
      <w:pPr>
        <w:ind w:firstLine="720"/>
        <w:rPr>
          <w:rStyle w:val="Fontdeparagrafimplicit"/>
          <w:i/>
          <w:sz w:val="16"/>
        </w:rPr>
      </w:pPr>
      <w:r>
        <w:rPr>
          <w:rStyle w:val="Fontdeparagrafimplicit"/>
          <w:i/>
          <w:sz w:val="16"/>
        </w:rPr>
        <w:t xml:space="preserve">Președinte: </w:t>
      </w:r>
      <w:r w:rsidR="00163537">
        <w:rPr>
          <w:rStyle w:val="Fontdeparagrafimplicit"/>
          <w:i/>
          <w:sz w:val="16"/>
        </w:rPr>
        <w:t xml:space="preserve"> </w:t>
      </w:r>
      <w:r>
        <w:rPr>
          <w:rStyle w:val="Fontdeparagrafimplicit"/>
          <w:i/>
          <w:sz w:val="16"/>
        </w:rPr>
        <w:t xml:space="preserve"> </w:t>
      </w:r>
    </w:p>
    <w:p w:rsidR="00735ECB" w14:paraId="1D200DED" w14:textId="6490AA97">
      <w:pPr>
        <w:ind w:firstLine="720"/>
        <w:rPr>
          <w:rStyle w:val="Fontdeparagrafimplicit"/>
          <w:i/>
          <w:sz w:val="16"/>
        </w:rPr>
      </w:pPr>
      <w:r>
        <w:rPr>
          <w:rStyle w:val="Fontdeparagrafimplicit"/>
          <w:i/>
          <w:sz w:val="16"/>
        </w:rPr>
        <w:t xml:space="preserve">Judecător: </w:t>
      </w:r>
      <w:r w:rsidR="00163537">
        <w:rPr>
          <w:rStyle w:val="Fontdeparagrafimplicit"/>
          <w:i/>
          <w:sz w:val="16"/>
        </w:rPr>
        <w:t xml:space="preserve"> </w:t>
      </w:r>
    </w:p>
    <w:p w:rsidR="00735ECB" w14:paraId="71C2FF68" w14:textId="59968CC7">
      <w:pPr>
        <w:ind w:firstLine="720"/>
        <w:rPr>
          <w:rStyle w:val="Fontdeparagrafimplicit"/>
          <w:i/>
          <w:sz w:val="16"/>
        </w:rPr>
      </w:pPr>
      <w:r>
        <w:rPr>
          <w:rStyle w:val="Fontdeparagrafimplicit"/>
          <w:i/>
          <w:sz w:val="16"/>
        </w:rPr>
        <w:t xml:space="preserve">Judecător: </w:t>
      </w:r>
      <w:r w:rsidR="00163537">
        <w:rPr>
          <w:rStyle w:val="Fontdeparagrafimplicit"/>
          <w:i/>
          <w:sz w:val="16"/>
        </w:rPr>
        <w:t xml:space="preserve"> </w:t>
      </w:r>
    </w:p>
    <w:p w:rsidR="00735ECB" w14:paraId="60CD2F77" w14:textId="77777777">
      <w:pPr>
        <w:rPr>
          <w:rStyle w:val="Fontdeparagrafimplicit"/>
        </w:rPr>
      </w:pPr>
    </w:p>
    <w:sectPr>
      <w:footerReference w:type="even" r:id="rId7"/>
      <w:footerReference w:type="default" r:id="rId8"/>
      <w:pgSz w:w="11900" w:h="16840"/>
      <w:pgMar w:top="1417" w:right="1417" w:bottom="1417" w:left="1417"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00000003" w:usb1="00000000" w:usb2="00000000" w:usb3="00000000" w:csb0="00000001" w:csb1="00000000"/>
  </w:font>
  <w:font w:name="Tahoma">
    <w:panose1 w:val="020B060403050404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35ECB" w14:paraId="6BA656D2" w14:textId="77777777">
    <w:pPr>
      <w:pStyle w:val="Subsol"/>
      <w:framePr w:wrap="none"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735ECB" w14:paraId="675D9B37"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735ECB" w14:paraId="000A2B7A" w14:textId="77777777">
    <w:pPr>
      <w:pStyle w:val="Subsol"/>
      <w:framePr w:wrap="none"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735ECB" w14:paraId="21329C26" w14:textId="77777777">
    <w:pPr>
      <w:pStyle w:val="Subsol"/>
      <w:rPr>
        <w:rStyle w:val="Numrdepagin"/>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3A1529C"/>
    <w:multiLevelType w:val="hybridMultilevel"/>
    <w:tmpl w:val="CEAAEC86"/>
    <w:lvl w:ilvl="0">
      <w:start w:val="1"/>
      <w:numFmt w:val="bullet"/>
      <w:lvlText w:val="-"/>
      <w:lvlJc w:val="left"/>
      <w:pPr>
        <w:ind w:left="1069" w:hanging="360"/>
      </w:pPr>
      <w:rPr>
        <w:rFonts w:ascii="Times New Roman" w:hAnsi="Times New Roman"/>
      </w:rPr>
    </w:lvl>
    <w:lvl w:ilvl="1">
      <w:start w:val="1"/>
      <w:numFmt w:val="bullet"/>
      <w:lvlText w:val="o"/>
      <w:lvlJc w:val="left"/>
      <w:pPr>
        <w:ind w:left="1789" w:hanging="360"/>
      </w:pPr>
      <w:rPr>
        <w:rFonts w:ascii="Courier New" w:hAnsi="Courier New"/>
      </w:rPr>
    </w:lvl>
    <w:lvl w:ilvl="2">
      <w:start w:val="1"/>
      <w:numFmt w:val="bullet"/>
      <w:lvlText w:val=""/>
      <w:lvlJc w:val="left"/>
      <w:pPr>
        <w:ind w:left="2509" w:hanging="360"/>
      </w:pPr>
      <w:rPr>
        <w:rFonts w:ascii="Wingdings" w:hAnsi="Wingdings"/>
      </w:rPr>
    </w:lvl>
    <w:lvl w:ilvl="3">
      <w:start w:val="1"/>
      <w:numFmt w:val="bullet"/>
      <w:lvlText w:val=""/>
      <w:lvlJc w:val="left"/>
      <w:pPr>
        <w:ind w:left="3229" w:hanging="360"/>
      </w:pPr>
      <w:rPr>
        <w:rFonts w:ascii="Symbol" w:hAnsi="Symbol"/>
      </w:rPr>
    </w:lvl>
    <w:lvl w:ilvl="4">
      <w:start w:val="1"/>
      <w:numFmt w:val="bullet"/>
      <w:lvlText w:val="o"/>
      <w:lvlJc w:val="left"/>
      <w:pPr>
        <w:ind w:left="3949" w:hanging="360"/>
      </w:pPr>
      <w:rPr>
        <w:rFonts w:ascii="Courier New" w:hAnsi="Courier New"/>
      </w:rPr>
    </w:lvl>
    <w:lvl w:ilvl="5">
      <w:start w:val="1"/>
      <w:numFmt w:val="bullet"/>
      <w:lvlText w:val=""/>
      <w:lvlJc w:val="left"/>
      <w:pPr>
        <w:ind w:left="4669" w:hanging="360"/>
      </w:pPr>
      <w:rPr>
        <w:rFonts w:ascii="Wingdings" w:hAnsi="Wingdings"/>
      </w:rPr>
    </w:lvl>
    <w:lvl w:ilvl="6">
      <w:start w:val="1"/>
      <w:numFmt w:val="bullet"/>
      <w:lvlText w:val=""/>
      <w:lvlJc w:val="left"/>
      <w:pPr>
        <w:ind w:left="5389" w:hanging="360"/>
      </w:pPr>
      <w:rPr>
        <w:rFonts w:ascii="Symbol" w:hAnsi="Symbol"/>
      </w:rPr>
    </w:lvl>
    <w:lvl w:ilvl="7">
      <w:start w:val="1"/>
      <w:numFmt w:val="bullet"/>
      <w:lvlText w:val="o"/>
      <w:lvlJc w:val="left"/>
      <w:pPr>
        <w:ind w:left="6109" w:hanging="360"/>
      </w:pPr>
      <w:rPr>
        <w:rFonts w:ascii="Courier New" w:hAnsi="Courier New"/>
      </w:rPr>
    </w:lvl>
    <w:lvl w:ilvl="8">
      <w:start w:val="1"/>
      <w:numFmt w:val="bullet"/>
      <w:lvlText w:val=""/>
      <w:lvlJc w:val="left"/>
      <w:pPr>
        <w:ind w:left="6829" w:hanging="360"/>
      </w:pPr>
      <w:rPr>
        <w:rFonts w:ascii="Wingdings" w:hAnsi="Wingdings"/>
      </w:rPr>
    </w:lvl>
  </w:abstractNum>
  <w:abstractNum w:abstractNumId="1" w15:restartNumberingAfterBreak="0">
    <w:nsid w:val="506B5A86"/>
    <w:multiLevelType w:val="hybridMultilevel"/>
    <w:tmpl w:val="F7086E6E"/>
    <w:lvl w:ilvl="0">
      <w:start w:val="1"/>
      <w:numFmt w:val="bullet"/>
      <w:lvlText w:val="-"/>
      <w:lvlJc w:val="left"/>
      <w:pPr>
        <w:ind w:left="1069" w:hanging="360"/>
      </w:pPr>
      <w:rPr>
        <w:rFonts w:ascii="Times New Roman" w:hAnsi="Times New Roman"/>
      </w:rPr>
    </w:lvl>
    <w:lvl w:ilvl="1">
      <w:start w:val="1"/>
      <w:numFmt w:val="bullet"/>
      <w:lvlText w:val="o"/>
      <w:lvlJc w:val="left"/>
      <w:pPr>
        <w:ind w:left="1789" w:hanging="360"/>
      </w:pPr>
      <w:rPr>
        <w:rFonts w:ascii="Courier New" w:hAnsi="Courier New"/>
      </w:rPr>
    </w:lvl>
    <w:lvl w:ilvl="2">
      <w:start w:val="1"/>
      <w:numFmt w:val="bullet"/>
      <w:lvlText w:val=""/>
      <w:lvlJc w:val="left"/>
      <w:pPr>
        <w:ind w:left="2509" w:hanging="360"/>
      </w:pPr>
      <w:rPr>
        <w:rFonts w:ascii="Wingdings" w:hAnsi="Wingdings"/>
      </w:rPr>
    </w:lvl>
    <w:lvl w:ilvl="3">
      <w:start w:val="1"/>
      <w:numFmt w:val="bullet"/>
      <w:lvlText w:val=""/>
      <w:lvlJc w:val="left"/>
      <w:pPr>
        <w:ind w:left="3229" w:hanging="360"/>
      </w:pPr>
      <w:rPr>
        <w:rFonts w:ascii="Symbol" w:hAnsi="Symbol"/>
      </w:rPr>
    </w:lvl>
    <w:lvl w:ilvl="4">
      <w:start w:val="1"/>
      <w:numFmt w:val="bullet"/>
      <w:lvlText w:val="o"/>
      <w:lvlJc w:val="left"/>
      <w:pPr>
        <w:ind w:left="3949" w:hanging="360"/>
      </w:pPr>
      <w:rPr>
        <w:rFonts w:ascii="Courier New" w:hAnsi="Courier New"/>
      </w:rPr>
    </w:lvl>
    <w:lvl w:ilvl="5">
      <w:start w:val="1"/>
      <w:numFmt w:val="bullet"/>
      <w:lvlText w:val=""/>
      <w:lvlJc w:val="left"/>
      <w:pPr>
        <w:ind w:left="4669" w:hanging="360"/>
      </w:pPr>
      <w:rPr>
        <w:rFonts w:ascii="Wingdings" w:hAnsi="Wingdings"/>
      </w:rPr>
    </w:lvl>
    <w:lvl w:ilvl="6">
      <w:start w:val="1"/>
      <w:numFmt w:val="bullet"/>
      <w:lvlText w:val=""/>
      <w:lvlJc w:val="left"/>
      <w:pPr>
        <w:ind w:left="5389" w:hanging="360"/>
      </w:pPr>
      <w:rPr>
        <w:rFonts w:ascii="Symbol" w:hAnsi="Symbol"/>
      </w:rPr>
    </w:lvl>
    <w:lvl w:ilvl="7">
      <w:start w:val="1"/>
      <w:numFmt w:val="bullet"/>
      <w:lvlText w:val="o"/>
      <w:lvlJc w:val="left"/>
      <w:pPr>
        <w:ind w:left="6109" w:hanging="360"/>
      </w:pPr>
      <w:rPr>
        <w:rFonts w:ascii="Courier New" w:hAnsi="Courier New"/>
      </w:rPr>
    </w:lvl>
    <w:lvl w:ilvl="8">
      <w:start w:val="1"/>
      <w:numFmt w:val="bullet"/>
      <w:lvlText w:val=""/>
      <w:lvlJc w:val="left"/>
      <w:pPr>
        <w:ind w:left="6829" w:hanging="360"/>
      </w:pPr>
      <w:rPr>
        <w:rFonts w:ascii="Wingdings" w:hAnsi="Wingdings"/>
      </w:rPr>
    </w:lvl>
  </w:abstractNum>
  <w:abstractNum w:abstractNumId="2" w15:restartNumberingAfterBreak="0">
    <w:nsid w:val="5C0D244F"/>
    <w:multiLevelType w:val="hybridMultilevel"/>
    <w:tmpl w:val="54A82DBA"/>
    <w:lvl w:ilvl="0">
      <w:start w:val="1"/>
      <w:numFmt w:val="bullet"/>
      <w:lvlText w:val="-"/>
      <w:lvlJc w:val="left"/>
      <w:pPr>
        <w:ind w:left="1069" w:hanging="360"/>
      </w:pPr>
      <w:rPr>
        <w:rFonts w:ascii="Times New Roman" w:hAnsi="Times New Roman"/>
      </w:rPr>
    </w:lvl>
    <w:lvl w:ilvl="1">
      <w:start w:val="1"/>
      <w:numFmt w:val="bullet"/>
      <w:lvlText w:val="o"/>
      <w:lvlJc w:val="left"/>
      <w:pPr>
        <w:ind w:left="1789" w:hanging="360"/>
      </w:pPr>
      <w:rPr>
        <w:rFonts w:ascii="Courier New" w:hAnsi="Courier New"/>
      </w:rPr>
    </w:lvl>
    <w:lvl w:ilvl="2">
      <w:start w:val="1"/>
      <w:numFmt w:val="bullet"/>
      <w:lvlText w:val=""/>
      <w:lvlJc w:val="left"/>
      <w:pPr>
        <w:ind w:left="2509" w:hanging="360"/>
      </w:pPr>
      <w:rPr>
        <w:rFonts w:ascii="Wingdings" w:hAnsi="Wingdings"/>
      </w:rPr>
    </w:lvl>
    <w:lvl w:ilvl="3">
      <w:start w:val="1"/>
      <w:numFmt w:val="bullet"/>
      <w:lvlText w:val=""/>
      <w:lvlJc w:val="left"/>
      <w:pPr>
        <w:ind w:left="3229" w:hanging="360"/>
      </w:pPr>
      <w:rPr>
        <w:rFonts w:ascii="Symbol" w:hAnsi="Symbol"/>
      </w:rPr>
    </w:lvl>
    <w:lvl w:ilvl="4">
      <w:start w:val="1"/>
      <w:numFmt w:val="bullet"/>
      <w:lvlText w:val="o"/>
      <w:lvlJc w:val="left"/>
      <w:pPr>
        <w:ind w:left="3949" w:hanging="360"/>
      </w:pPr>
      <w:rPr>
        <w:rFonts w:ascii="Courier New" w:hAnsi="Courier New"/>
      </w:rPr>
    </w:lvl>
    <w:lvl w:ilvl="5">
      <w:start w:val="1"/>
      <w:numFmt w:val="bullet"/>
      <w:lvlText w:val=""/>
      <w:lvlJc w:val="left"/>
      <w:pPr>
        <w:ind w:left="4669" w:hanging="360"/>
      </w:pPr>
      <w:rPr>
        <w:rFonts w:ascii="Wingdings" w:hAnsi="Wingdings"/>
      </w:rPr>
    </w:lvl>
    <w:lvl w:ilvl="6">
      <w:start w:val="1"/>
      <w:numFmt w:val="bullet"/>
      <w:lvlText w:val=""/>
      <w:lvlJc w:val="left"/>
      <w:pPr>
        <w:ind w:left="5389" w:hanging="360"/>
      </w:pPr>
      <w:rPr>
        <w:rFonts w:ascii="Symbol" w:hAnsi="Symbol"/>
      </w:rPr>
    </w:lvl>
    <w:lvl w:ilvl="7">
      <w:start w:val="1"/>
      <w:numFmt w:val="bullet"/>
      <w:lvlText w:val="o"/>
      <w:lvlJc w:val="left"/>
      <w:pPr>
        <w:ind w:left="6109" w:hanging="360"/>
      </w:pPr>
      <w:rPr>
        <w:rFonts w:ascii="Courier New" w:hAnsi="Courier New"/>
      </w:rPr>
    </w:lvl>
    <w:lvl w:ilvl="8">
      <w:start w:val="1"/>
      <w:numFmt w:val="bullet"/>
      <w:lvlText w:val=""/>
      <w:lvlJc w:val="left"/>
      <w:pPr>
        <w:ind w:left="6829" w:hanging="360"/>
      </w:pPr>
      <w:rPr>
        <w:rFonts w:ascii="Wingdings" w:hAnsi="Wingdings"/>
      </w:rPr>
    </w:lvl>
  </w:abstractNum>
  <w:abstractNum w:abstractNumId="3" w15:restartNumberingAfterBreak="0">
    <w:nsid w:val="60806692"/>
    <w:multiLevelType w:val="hybridMultilevel"/>
    <w:tmpl w:val="A88232BE"/>
    <w:lvl w:ilvl="0">
      <w:start w:val="1"/>
      <w:numFmt w:val="bullet"/>
      <w:lvlText w:val="-"/>
      <w:lvlJc w:val="left"/>
      <w:pPr>
        <w:ind w:left="1069" w:hanging="360"/>
      </w:pPr>
      <w:rPr>
        <w:rFonts w:ascii="Times New Roman" w:hAnsi="Times New Roman"/>
      </w:rPr>
    </w:lvl>
    <w:lvl w:ilvl="1">
      <w:start w:val="1"/>
      <w:numFmt w:val="bullet"/>
      <w:lvlText w:val="o"/>
      <w:lvlJc w:val="left"/>
      <w:pPr>
        <w:ind w:left="1789" w:hanging="360"/>
      </w:pPr>
      <w:rPr>
        <w:rFonts w:ascii="Courier New" w:hAnsi="Courier New"/>
      </w:rPr>
    </w:lvl>
    <w:lvl w:ilvl="2">
      <w:start w:val="1"/>
      <w:numFmt w:val="bullet"/>
      <w:lvlText w:val=""/>
      <w:lvlJc w:val="left"/>
      <w:pPr>
        <w:ind w:left="2509" w:hanging="360"/>
      </w:pPr>
      <w:rPr>
        <w:rFonts w:ascii="Wingdings" w:hAnsi="Wingdings"/>
      </w:rPr>
    </w:lvl>
    <w:lvl w:ilvl="3">
      <w:start w:val="1"/>
      <w:numFmt w:val="bullet"/>
      <w:lvlText w:val=""/>
      <w:lvlJc w:val="left"/>
      <w:pPr>
        <w:ind w:left="3229" w:hanging="360"/>
      </w:pPr>
      <w:rPr>
        <w:rFonts w:ascii="Symbol" w:hAnsi="Symbol"/>
      </w:rPr>
    </w:lvl>
    <w:lvl w:ilvl="4">
      <w:start w:val="1"/>
      <w:numFmt w:val="bullet"/>
      <w:lvlText w:val="o"/>
      <w:lvlJc w:val="left"/>
      <w:pPr>
        <w:ind w:left="3949" w:hanging="360"/>
      </w:pPr>
      <w:rPr>
        <w:rFonts w:ascii="Courier New" w:hAnsi="Courier New"/>
      </w:rPr>
    </w:lvl>
    <w:lvl w:ilvl="5">
      <w:start w:val="1"/>
      <w:numFmt w:val="bullet"/>
      <w:lvlText w:val=""/>
      <w:lvlJc w:val="left"/>
      <w:pPr>
        <w:ind w:left="4669" w:hanging="360"/>
      </w:pPr>
      <w:rPr>
        <w:rFonts w:ascii="Wingdings" w:hAnsi="Wingdings"/>
      </w:rPr>
    </w:lvl>
    <w:lvl w:ilvl="6">
      <w:start w:val="1"/>
      <w:numFmt w:val="bullet"/>
      <w:lvlText w:val=""/>
      <w:lvlJc w:val="left"/>
      <w:pPr>
        <w:ind w:left="5389" w:hanging="360"/>
      </w:pPr>
      <w:rPr>
        <w:rFonts w:ascii="Symbol" w:hAnsi="Symbol"/>
      </w:rPr>
    </w:lvl>
    <w:lvl w:ilvl="7">
      <w:start w:val="1"/>
      <w:numFmt w:val="bullet"/>
      <w:lvlText w:val="o"/>
      <w:lvlJc w:val="left"/>
      <w:pPr>
        <w:ind w:left="6109" w:hanging="360"/>
      </w:pPr>
      <w:rPr>
        <w:rFonts w:ascii="Courier New" w:hAnsi="Courier New"/>
      </w:rPr>
    </w:lvl>
    <w:lvl w:ilvl="8">
      <w:start w:val="1"/>
      <w:numFmt w:val="bullet"/>
      <w:lvlText w:val=""/>
      <w:lvlJc w:val="left"/>
      <w:pPr>
        <w:ind w:left="6829" w:hanging="360"/>
      </w:pPr>
      <w:rPr>
        <w:rFonts w:ascii="Wingdings" w:hAnsi="Wingdings"/>
      </w:rPr>
    </w:lvl>
  </w:abstractNum>
  <w:num w:numId="1" w16cid:durableId="1776709301">
    <w:abstractNumId w:val="0"/>
  </w:num>
  <w:num w:numId="2" w16cid:durableId="1386446208">
    <w:abstractNumId w:val="3"/>
  </w:num>
  <w:num w:numId="3" w16cid:durableId="755246328">
    <w:abstractNumId w:val="2"/>
  </w:num>
  <w:num w:numId="4" w16cid:durableId="8780130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ECB"/>
    <w:rsid w:val="00163537"/>
    <w:rsid w:val="0037328E"/>
    <w:rsid w:val="00525B35"/>
    <w:rsid w:val="00713A80"/>
    <w:rsid w:val="00735ECB"/>
    <w:rsid w:val="00784990"/>
    <w:rsid w:val="00795EE3"/>
    <w:rsid w:val="00875156"/>
    <w:rsid w:val="00A3315D"/>
    <w:rsid w:val="00D319BF"/>
    <w:rsid w:val="00E606CC"/>
    <w:rsid w:val="00EE1236"/>
  </w:rsids>
  <w:docVars>
    <w:docVar w:name="url" w:val="http://10.1.48.53:80/ecris_cdms/document_upload.aspx?id_document=200000003296745&amp;id_departament=58&amp;id_sesiune=2969943&amp;id_user=1006&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3CB2FFD"/>
  <w15:docId w15:val="{1A2E60FA-111E-43BC-8458-EADDEFB02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style>
  <w:style w:type="paragraph" w:customStyle="1" w:styleId="Style5">
    <w:name w:val="Style5"/>
    <w:basedOn w:val="Normal"/>
    <w:pPr>
      <w:widowControl w:val="0"/>
      <w:spacing w:line="372" w:lineRule="exact"/>
      <w:ind w:firstLine="869"/>
    </w:pPr>
    <w:rPr>
      <w:rFonts w:ascii="Palatino Linotype" w:hAnsi="Palatino Linotype"/>
      <w:lang w:val="en-US"/>
    </w:rPr>
  </w:style>
  <w:style w:type="paragraph" w:customStyle="1" w:styleId="Style8">
    <w:name w:val="Style8"/>
    <w:basedOn w:val="Normal"/>
    <w:pPr>
      <w:widowControl w:val="0"/>
      <w:spacing w:line="371" w:lineRule="exact"/>
      <w:jc w:val="both"/>
    </w:pPr>
    <w:rPr>
      <w:rFonts w:ascii="Palatino Linotype" w:hAnsi="Palatino Linotype"/>
      <w:lang w:val="en-US"/>
    </w:rPr>
  </w:style>
  <w:style w:type="paragraph" w:customStyle="1" w:styleId="Corptext">
    <w:name w:val="Corp text"/>
    <w:basedOn w:val="Normal"/>
    <w:link w:val="CorptextCaracter"/>
    <w:pPr>
      <w:widowControl w:val="0"/>
      <w:spacing w:line="288" w:lineRule="auto"/>
    </w:pPr>
    <w:rPr>
      <w:lang w:val="en-US"/>
    </w:rPr>
  </w:style>
  <w:style w:type="paragraph" w:customStyle="1" w:styleId="Listparagraf">
    <w:name w:val="Listă paragraf"/>
    <w:basedOn w:val="Normal"/>
    <w:qFormat/>
    <w:pPr>
      <w:ind w:left="720"/>
      <w:contextualSpacing/>
    </w:pPr>
  </w:style>
  <w:style w:type="paragraph" w:customStyle="1" w:styleId="TextnBalon">
    <w:name w:val="Text în Balon"/>
    <w:basedOn w:val="Normal"/>
    <w:link w:val="TextnBalonCaracter"/>
    <w:rPr>
      <w:rFonts w:ascii="Tahoma" w:hAnsi="Tahoma"/>
      <w:sz w:val="16"/>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style>
  <w:style w:type="character" w:customStyle="1" w:styleId="Numrdepagin">
    <w:name w:val="Număr de pagină"/>
  </w:style>
  <w:style w:type="character" w:customStyle="1" w:styleId="FontStyle25">
    <w:name w:val="Font Style25"/>
    <w:rPr>
      <w:rFonts w:ascii="Palatino Linotype" w:hAnsi="Palatino Linotype"/>
      <w:b/>
      <w:sz w:val="26"/>
    </w:rPr>
  </w:style>
  <w:style w:type="character" w:customStyle="1" w:styleId="FontStyle26">
    <w:name w:val="Font Style26"/>
    <w:rPr>
      <w:rFonts w:ascii="Palatino Linotype" w:hAnsi="Palatino Linotype"/>
      <w:sz w:val="26"/>
    </w:rPr>
  </w:style>
  <w:style w:type="character" w:customStyle="1" w:styleId="CorptextCaracter">
    <w:name w:val="Corp text Caracter"/>
    <w:link w:val="Corptext"/>
    <w:rPr>
      <w:lang w:val="en-US"/>
    </w:rPr>
  </w:style>
  <w:style w:type="character" w:customStyle="1" w:styleId="TextnBalonCaracter">
    <w:name w:val="Text în Balon Caracter"/>
    <w:link w:val="TextnBalon"/>
    <w:rPr>
      <w:rFonts w:ascii="Tahoma" w:hAnsi="Tahoma"/>
      <w:sz w:val="16"/>
    </w:rPr>
  </w:style>
  <w:style w:type="character" w:customStyle="1" w:styleId="outputecliaff">
    <w:name w:val="outputecliaff"/>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3732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afer.ro" TargetMode="External" /><Relationship Id="rId5" Type="http://schemas.openxmlformats.org/officeDocument/2006/relationships/hyperlink" Target="http://www.afer.ro" TargetMode="External" /><Relationship Id="rId6" Type="http://schemas.openxmlformats.org/officeDocument/2006/relationships/hyperlink" Target="http://www.afer.ro" TargetMode="Externa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37</ap:TotalTime>
  <ap:Pages>24</ap:Pages>
  <ap:Words>13655</ap:Words>
  <ap:Characters>77836</ap:Characters>
  <ap:Application>Microsoft Office Word</ap:Application>
  <ap:DocSecurity>0</ap:DocSecurity>
  <ap:Lines>648</ap:Lines>
  <ap:Paragraphs>182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91309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