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E93D7" w14:textId="77777777" w:rsidR="00690002" w:rsidRDefault="00690002">
      <w:pPr>
        <w:rPr>
          <w:rStyle w:val="Fontdeparagrafimplicit1"/>
          <w:rFonts w:ascii="Garamond" w:hAnsi="Garamond"/>
          <w:color w:val="92D050"/>
        </w:rPr>
      </w:pPr>
      <w:bookmarkStart w:id="0" w:name="_Hlk138071030"/>
    </w:p>
    <w:p w14:paraId="2B2A5F05" w14:textId="6260E6D9" w:rsidR="00690002" w:rsidRDefault="0086511B">
      <w:pPr>
        <w:rPr>
          <w:rStyle w:val="Fontdeparagrafimplicit1"/>
          <w:rFonts w:ascii="Garamond" w:hAnsi="Garamond"/>
        </w:rPr>
      </w:pPr>
      <w:r>
        <w:rPr>
          <w:rStyle w:val="Fontdeparagrafimplicit1"/>
          <w:rFonts w:ascii="Garamond" w:hAnsi="Garamond"/>
        </w:rPr>
        <w:t>Cod ECLI: ECLI:RO:CA</w:t>
      </w:r>
      <w:r w:rsidR="00085E44">
        <w:rPr>
          <w:rStyle w:val="Fontdeparagrafimplicit1"/>
          <w:rFonts w:ascii="Garamond" w:hAnsi="Garamond"/>
        </w:rPr>
        <w:t>...</w:t>
      </w:r>
    </w:p>
    <w:p w14:paraId="138C1A56" w14:textId="77777777" w:rsidR="00690002" w:rsidRDefault="0086511B">
      <w:pPr>
        <w:rPr>
          <w:rStyle w:val="Fontdeparagrafimplicit1"/>
          <w:b/>
        </w:rPr>
      </w:pPr>
      <w:r>
        <w:rPr>
          <w:rStyle w:val="Fontdeparagrafimplicit1"/>
          <w:b/>
        </w:rPr>
        <w:t>R O M Â N I A</w:t>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p>
    <w:p w14:paraId="00DB0EB7" w14:textId="5CC5C4E6" w:rsidR="00690002" w:rsidRDefault="0086511B">
      <w:pPr>
        <w:rPr>
          <w:rStyle w:val="Fontdeparagrafimplicit1"/>
          <w:b/>
        </w:rPr>
      </w:pPr>
      <w:r>
        <w:rPr>
          <w:rStyle w:val="Fontdeparagrafimplicit1"/>
          <w:b/>
        </w:rPr>
        <w:t xml:space="preserve">    SECŢIA  </w:t>
      </w:r>
      <w:r w:rsidR="00085E44">
        <w:rPr>
          <w:rStyle w:val="Fontdeparagrafimplicit1"/>
          <w:b/>
        </w:rPr>
        <w:t>....</w:t>
      </w:r>
    </w:p>
    <w:p w14:paraId="6ED0422B" w14:textId="6B63BD23" w:rsidR="00690002" w:rsidRDefault="0086511B">
      <w:pPr>
        <w:rPr>
          <w:rStyle w:val="Fontdeparagrafimplicit1"/>
          <w:b/>
        </w:rPr>
      </w:pPr>
      <w:r>
        <w:rPr>
          <w:rStyle w:val="Fontdeparagrafimplicit1"/>
          <w:b/>
        </w:rPr>
        <w:t xml:space="preserve"> Număr operator de date cu caracter personal </w:t>
      </w:r>
      <w:r w:rsidR="00085E44">
        <w:rPr>
          <w:rStyle w:val="Fontdeparagrafimplicit1"/>
          <w:b/>
        </w:rPr>
        <w:t>....</w:t>
      </w:r>
    </w:p>
    <w:p w14:paraId="46875499" w14:textId="376318F6" w:rsidR="00690002" w:rsidRDefault="0086511B">
      <w:pPr>
        <w:rPr>
          <w:rStyle w:val="Fontdeparagrafimplicit1"/>
          <w:b/>
        </w:rPr>
      </w:pPr>
      <w:r>
        <w:rPr>
          <w:rStyle w:val="Fontdeparagrafimplicit1"/>
          <w:b/>
        </w:rPr>
        <w:t xml:space="preserve">  DOSAR NR. </w:t>
      </w:r>
      <w:r w:rsidR="00085E44">
        <w:rPr>
          <w:rStyle w:val="Fontdeparagrafimplicit1"/>
          <w:b/>
        </w:rPr>
        <w:t>...</w:t>
      </w:r>
      <w:r>
        <w:rPr>
          <w:rStyle w:val="Fontdeparagrafimplicit1"/>
          <w:b/>
        </w:rPr>
        <w:t>1</w:t>
      </w:r>
    </w:p>
    <w:p w14:paraId="50C54307" w14:textId="77777777" w:rsidR="00690002" w:rsidRDefault="0086511B">
      <w:r>
        <w:t xml:space="preserve">          </w:t>
      </w:r>
    </w:p>
    <w:p w14:paraId="3AA94E64" w14:textId="77777777" w:rsidR="00690002" w:rsidRDefault="00690002"/>
    <w:p w14:paraId="0C312CEB" w14:textId="77777777" w:rsidR="00690002" w:rsidRDefault="00690002"/>
    <w:p w14:paraId="5594FE00" w14:textId="08A5791F" w:rsidR="00690002" w:rsidRDefault="0086511B">
      <w:pPr>
        <w:keepNext/>
        <w:jc w:val="center"/>
        <w:outlineLvl w:val="0"/>
        <w:rPr>
          <w:rStyle w:val="Fontdeparagrafimplicit1"/>
          <w:b/>
          <w:u w:val="single"/>
        </w:rPr>
      </w:pPr>
      <w:r>
        <w:rPr>
          <w:rStyle w:val="Fontdeparagrafimplicit1"/>
          <w:b/>
          <w:u w:val="single"/>
        </w:rPr>
        <w:t xml:space="preserve">DECIZIA CIVILĂ NR. </w:t>
      </w:r>
      <w:r w:rsidR="00085E44">
        <w:rPr>
          <w:rStyle w:val="Fontdeparagrafimplicit1"/>
          <w:b/>
          <w:u w:val="single"/>
        </w:rPr>
        <w:t>...</w:t>
      </w:r>
    </w:p>
    <w:p w14:paraId="4FE11C8B" w14:textId="77777777" w:rsidR="00690002" w:rsidRDefault="00690002">
      <w:pPr>
        <w:keepNext/>
        <w:jc w:val="center"/>
        <w:outlineLvl w:val="0"/>
        <w:rPr>
          <w:rStyle w:val="Fontdeparagrafimplicit1"/>
          <w:b/>
          <w:u w:val="single"/>
        </w:rPr>
      </w:pPr>
    </w:p>
    <w:p w14:paraId="0A10D279" w14:textId="63A59BE8" w:rsidR="00690002" w:rsidRDefault="0086511B">
      <w:pPr>
        <w:jc w:val="center"/>
        <w:rPr>
          <w:rStyle w:val="Fontdeparagrafimplicit1"/>
          <w:b/>
        </w:rPr>
      </w:pPr>
      <w:r>
        <w:rPr>
          <w:rStyle w:val="Fontdeparagrafimplicit1"/>
          <w:b/>
        </w:rPr>
        <w:t xml:space="preserve">Şedinţa publică din </w:t>
      </w:r>
      <w:r w:rsidR="00085E44">
        <w:rPr>
          <w:rStyle w:val="Fontdeparagrafimplicit1"/>
          <w:b/>
        </w:rPr>
        <w:t>....</w:t>
      </w:r>
      <w:r>
        <w:rPr>
          <w:rStyle w:val="Fontdeparagrafimplicit1"/>
          <w:b/>
        </w:rPr>
        <w:t xml:space="preserve">   </w:t>
      </w:r>
    </w:p>
    <w:p w14:paraId="4267147E" w14:textId="77777777" w:rsidR="00690002" w:rsidRDefault="00690002">
      <w:pPr>
        <w:jc w:val="center"/>
        <w:rPr>
          <w:rStyle w:val="Fontdeparagrafimplicit1"/>
          <w:b/>
        </w:rPr>
      </w:pPr>
    </w:p>
    <w:p w14:paraId="078A09E2" w14:textId="696DF82D" w:rsidR="00690002" w:rsidRDefault="0086511B">
      <w:pPr>
        <w:ind w:left="2124" w:firstLine="708"/>
        <w:rPr>
          <w:rStyle w:val="Fontdeparagrafimplicit1"/>
          <w:b/>
        </w:rPr>
      </w:pPr>
      <w:r>
        <w:rPr>
          <w:rStyle w:val="Fontdeparagrafimplicit1"/>
          <w:b/>
        </w:rPr>
        <w:t xml:space="preserve">PREŞEDINTE: </w:t>
      </w:r>
      <w:r w:rsidR="00085E44">
        <w:t>A0011</w:t>
      </w:r>
      <w:r>
        <w:rPr>
          <w:rStyle w:val="Fontdeparagrafimplicit1"/>
          <w:b/>
        </w:rPr>
        <w:t xml:space="preserve"> </w:t>
      </w:r>
    </w:p>
    <w:p w14:paraId="55A9C9FD" w14:textId="34140B06" w:rsidR="00690002" w:rsidRDefault="0086511B">
      <w:pPr>
        <w:ind w:left="2124" w:firstLine="708"/>
        <w:rPr>
          <w:rStyle w:val="Fontdeparagrafimplicit1"/>
          <w:b/>
        </w:rPr>
      </w:pPr>
      <w:r>
        <w:rPr>
          <w:rStyle w:val="Fontdeparagrafimplicit1"/>
          <w:b/>
        </w:rPr>
        <w:t xml:space="preserve">JUDECĂTOR: </w:t>
      </w:r>
      <w:r w:rsidR="00085E44">
        <w:t>....</w:t>
      </w:r>
    </w:p>
    <w:p w14:paraId="6DB6D329" w14:textId="6495FF61" w:rsidR="00690002" w:rsidRDefault="0086511B">
      <w:pPr>
        <w:ind w:left="2124" w:firstLine="708"/>
        <w:rPr>
          <w:rStyle w:val="Fontdeparagrafimplicit1"/>
          <w:b/>
        </w:rPr>
      </w:pPr>
      <w:r>
        <w:rPr>
          <w:rStyle w:val="Fontdeparagrafimplicit1"/>
          <w:b/>
        </w:rPr>
        <w:t xml:space="preserve">GREFIER: </w:t>
      </w:r>
      <w:r w:rsidR="00085E44">
        <w:t>....</w:t>
      </w:r>
    </w:p>
    <w:p w14:paraId="19CFCD73" w14:textId="77777777" w:rsidR="00690002" w:rsidRDefault="0086511B">
      <w:pPr>
        <w:ind w:left="2124" w:firstLine="708"/>
        <w:rPr>
          <w:rStyle w:val="Fontdeparagrafimplicit1"/>
          <w:b/>
        </w:rPr>
      </w:pPr>
      <w:r>
        <w:rPr>
          <w:rStyle w:val="Fontdeparagrafimplicit1"/>
          <w:b/>
        </w:rPr>
        <w:t xml:space="preserve"> </w:t>
      </w:r>
    </w:p>
    <w:p w14:paraId="54096A80" w14:textId="77777777" w:rsidR="00690002" w:rsidRDefault="00690002">
      <w:pPr>
        <w:ind w:firstLine="708"/>
        <w:jc w:val="both"/>
        <w:rPr>
          <w:rStyle w:val="Fontdeparagrafimplicit1"/>
        </w:rPr>
      </w:pPr>
    </w:p>
    <w:p w14:paraId="08479369" w14:textId="5CD137A3" w:rsidR="00690002" w:rsidRDefault="0086511B">
      <w:pPr>
        <w:ind w:firstLine="708"/>
        <w:jc w:val="both"/>
      </w:pPr>
      <w:r>
        <w:t xml:space="preserve">Pe rol fiind pronuţarea asupra contestaţiei în anulare civile declarată de contestatorul </w:t>
      </w:r>
      <w:r w:rsidR="00085E44">
        <w:rPr>
          <w:rStyle w:val="Fontdeparagrafimplicit1"/>
          <w:b/>
        </w:rPr>
        <w:t>MI</w:t>
      </w:r>
      <w:r>
        <w:t xml:space="preserve">, identificat prin C.N.P. </w:t>
      </w:r>
      <w:r w:rsidR="00085E44">
        <w:t>....</w:t>
      </w:r>
      <w:r>
        <w:t xml:space="preserve">, cu domiciliul în </w:t>
      </w:r>
      <w:r w:rsidR="00085E44">
        <w:t>X</w:t>
      </w:r>
      <w:r>
        <w:t xml:space="preserve">, strada </w:t>
      </w:r>
      <w:r w:rsidR="00085E44">
        <w:t>...</w:t>
      </w:r>
      <w:r>
        <w:t xml:space="preserve">, nr. </w:t>
      </w:r>
      <w:r w:rsidR="00085E44">
        <w:t>...</w:t>
      </w:r>
      <w:r>
        <w:t xml:space="preserve"> </w:t>
      </w:r>
      <w:r w:rsidR="00085E44">
        <w:t>.</w:t>
      </w:r>
      <w:r>
        <w:t xml:space="preserve">, ap. </w:t>
      </w:r>
      <w:r w:rsidR="00085E44">
        <w:t>..</w:t>
      </w:r>
      <w:r>
        <w:t xml:space="preserve">, jud. </w:t>
      </w:r>
      <w:r w:rsidR="00085E44">
        <w:t>Z</w:t>
      </w:r>
      <w:r>
        <w:t xml:space="preserve">, în contradictoriu cu intimata </w:t>
      </w:r>
      <w:r>
        <w:rPr>
          <w:rStyle w:val="Fontdeparagrafimplicit1"/>
          <w:b/>
        </w:rPr>
        <w:t xml:space="preserve">CASA JUDEŢEANĂ DE PENSII </w:t>
      </w:r>
      <w:r w:rsidR="00085E44">
        <w:rPr>
          <w:rStyle w:val="Fontdeparagrafimplicit1"/>
          <w:b/>
        </w:rPr>
        <w:t>Z</w:t>
      </w:r>
      <w:r>
        <w:t xml:space="preserve">, cu sediul în </w:t>
      </w:r>
      <w:r w:rsidR="00085E44">
        <w:t>X</w:t>
      </w:r>
      <w:r>
        <w:t xml:space="preserve">, strada </w:t>
      </w:r>
      <w:r w:rsidR="00085E44">
        <w:t>...</w:t>
      </w:r>
      <w:r>
        <w:t xml:space="preserve">, nr. </w:t>
      </w:r>
      <w:r w:rsidR="00085E44">
        <w:t>...</w:t>
      </w:r>
      <w:r>
        <w:t xml:space="preserve">, jud. </w:t>
      </w:r>
      <w:r w:rsidR="00085E44">
        <w:t>Z</w:t>
      </w:r>
      <w:r>
        <w:t>, împotriva deciziei civile nr.</w:t>
      </w:r>
      <w:bookmarkStart w:id="1" w:name="_Hlk97199104"/>
      <w:r>
        <w:t xml:space="preserve"> </w:t>
      </w:r>
      <w:r w:rsidR="00085E44">
        <w:t>...</w:t>
      </w:r>
      <w:r>
        <w:t xml:space="preserve">din </w:t>
      </w:r>
      <w:r w:rsidR="00085E44">
        <w:t>...</w:t>
      </w:r>
      <w:r>
        <w:t>, pronunţată de</w:t>
      </w:r>
      <w:bookmarkEnd w:id="1"/>
      <w:r>
        <w:t xml:space="preserve"> Curtea de Apel </w:t>
      </w:r>
      <w:r w:rsidR="00085E44">
        <w:t>X</w:t>
      </w:r>
      <w:r>
        <w:t xml:space="preserve"> în dosarul nr. </w:t>
      </w:r>
      <w:r w:rsidR="00085E44">
        <w:t>...</w:t>
      </w:r>
      <w:r>
        <w:t>, având ca obiect recalculare pensie.</w:t>
      </w:r>
    </w:p>
    <w:p w14:paraId="3CEECDA1" w14:textId="071D36A8" w:rsidR="00690002" w:rsidRDefault="0086511B">
      <w:pPr>
        <w:ind w:firstLine="708"/>
        <w:jc w:val="both"/>
      </w:pPr>
      <w:r>
        <w:t xml:space="preserve">Mersul dezbaterilor și concluziile părților au fost consemnate în încheierea de ședință din data de </w:t>
      </w:r>
      <w:r w:rsidR="00085E44">
        <w:t>...</w:t>
      </w:r>
      <w:r>
        <w:t xml:space="preserve">când instanța a amânat pronunțarea la data de </w:t>
      </w:r>
      <w:r w:rsidR="00085E44">
        <w:t>...</w:t>
      </w:r>
      <w:r>
        <w:t xml:space="preserve">, iar apoi la data de </w:t>
      </w:r>
      <w:r w:rsidR="00085E44">
        <w:t>....</w:t>
      </w:r>
      <w:r>
        <w:t xml:space="preserve">, încheieri ce fac parte integrantă din prezenta decizie. </w:t>
      </w:r>
    </w:p>
    <w:p w14:paraId="305372F4" w14:textId="77777777" w:rsidR="00690002" w:rsidRDefault="00690002">
      <w:pPr>
        <w:ind w:firstLine="708"/>
        <w:jc w:val="both"/>
      </w:pPr>
    </w:p>
    <w:p w14:paraId="0C6DCFD6" w14:textId="77777777" w:rsidR="00690002" w:rsidRDefault="0086511B">
      <w:pPr>
        <w:jc w:val="center"/>
        <w:rPr>
          <w:rStyle w:val="Fontdeparagrafimplicit1"/>
          <w:b/>
        </w:rPr>
      </w:pPr>
      <w:r>
        <w:rPr>
          <w:rStyle w:val="Fontdeparagrafimplicit1"/>
          <w:b/>
        </w:rPr>
        <w:t xml:space="preserve">CURTEA DE APEL </w:t>
      </w:r>
    </w:p>
    <w:p w14:paraId="6BCB0C5F" w14:textId="77777777" w:rsidR="00690002" w:rsidRDefault="0086511B">
      <w:pPr>
        <w:jc w:val="center"/>
        <w:rPr>
          <w:rStyle w:val="Fontdeparagrafimplicit1"/>
          <w:b/>
        </w:rPr>
      </w:pPr>
      <w:r>
        <w:rPr>
          <w:rStyle w:val="Fontdeparagrafimplicit1"/>
          <w:b/>
        </w:rPr>
        <w:t xml:space="preserve">D E L I B E R Â N D : </w:t>
      </w:r>
    </w:p>
    <w:p w14:paraId="67A68B3A" w14:textId="77777777" w:rsidR="00690002" w:rsidRDefault="00690002">
      <w:pPr>
        <w:jc w:val="center"/>
        <w:rPr>
          <w:rStyle w:val="Fontdeparagrafimplicit1"/>
          <w:b/>
        </w:rPr>
      </w:pPr>
    </w:p>
    <w:p w14:paraId="7B380D81" w14:textId="77777777" w:rsidR="00690002" w:rsidRDefault="0086511B">
      <w:pPr>
        <w:jc w:val="both"/>
        <w:rPr>
          <w:rStyle w:val="Fontdeparagrafimplicit1"/>
          <w:b/>
        </w:rPr>
      </w:pPr>
      <w:r>
        <w:tab/>
      </w:r>
      <w:r>
        <w:rPr>
          <w:rStyle w:val="Fontdeparagrafimplicit1"/>
          <w:b/>
        </w:rPr>
        <w:t>Asupra apelului civil de faţă, constată următoarele:</w:t>
      </w:r>
    </w:p>
    <w:p w14:paraId="306AFB1C" w14:textId="033AF18E" w:rsidR="00690002" w:rsidRDefault="0086511B">
      <w:pPr>
        <w:ind w:firstLine="708"/>
        <w:jc w:val="both"/>
      </w:pPr>
      <w:r>
        <w:rPr>
          <w:rStyle w:val="Fontdeparagrafimplicit1"/>
          <w:b/>
        </w:rPr>
        <w:t xml:space="preserve">Prin decizia civilă nr. </w:t>
      </w:r>
      <w:r w:rsidR="00085E44">
        <w:rPr>
          <w:rStyle w:val="Fontdeparagrafimplicit1"/>
          <w:b/>
        </w:rPr>
        <w:t>...</w:t>
      </w:r>
      <w:r>
        <w:rPr>
          <w:rStyle w:val="Fontdeparagrafimplicit1"/>
          <w:b/>
        </w:rPr>
        <w:t xml:space="preserve">, pronunțată de Curtea de Apel </w:t>
      </w:r>
      <w:r w:rsidR="00085E44">
        <w:rPr>
          <w:rStyle w:val="Fontdeparagrafimplicit1"/>
          <w:b/>
        </w:rPr>
        <w:t>X</w:t>
      </w:r>
      <w:r>
        <w:t xml:space="preserve"> la data de </w:t>
      </w:r>
      <w:r w:rsidR="00085E44">
        <w:t>...</w:t>
      </w:r>
      <w:r>
        <w:t xml:space="preserve">, în dosar nr. </w:t>
      </w:r>
      <w:r w:rsidR="00085E44">
        <w:t>...</w:t>
      </w:r>
      <w:r>
        <w:t xml:space="preserve">, a fost respins, ca nefondat, apelul civil declarat de către apelantul-contestator </w:t>
      </w:r>
      <w:r w:rsidR="00085E44">
        <w:t>MI</w:t>
      </w:r>
      <w:r>
        <w:t xml:space="preserve">, în contradictoriu cu intimata Casa Judeţeană de Pensii </w:t>
      </w:r>
      <w:r w:rsidR="00085E44">
        <w:t>Z</w:t>
      </w:r>
      <w:r>
        <w:t xml:space="preserve">, împotriva sentinței civile nr. </w:t>
      </w:r>
      <w:r w:rsidR="00085E44">
        <w:t>...</w:t>
      </w:r>
      <w:r>
        <w:t xml:space="preserve"> din data de </w:t>
      </w:r>
      <w:r w:rsidR="00085E44">
        <w:t>....</w:t>
      </w:r>
      <w:r>
        <w:t xml:space="preserve">, pronunțată de Tribunalul </w:t>
      </w:r>
      <w:r w:rsidR="00085E44">
        <w:t>Z</w:t>
      </w:r>
      <w:r>
        <w:t xml:space="preserve">, care a fost păstrată. </w:t>
      </w:r>
    </w:p>
    <w:p w14:paraId="133034B8" w14:textId="77777777" w:rsidR="00690002" w:rsidRDefault="0086511B">
      <w:pPr>
        <w:ind w:firstLine="708"/>
        <w:jc w:val="both"/>
        <w:rPr>
          <w:rStyle w:val="Fontdeparagrafimplicit1"/>
          <w:b/>
        </w:rPr>
      </w:pPr>
      <w:r>
        <w:rPr>
          <w:rStyle w:val="Fontdeparagrafimplicit1"/>
          <w:b/>
        </w:rPr>
        <w:t xml:space="preserve">Pentru a pronunţa astfel, Curtea a reţinut următoarele: </w:t>
      </w:r>
    </w:p>
    <w:p w14:paraId="3B633EA0" w14:textId="6AC323AF" w:rsidR="00690002" w:rsidRDefault="0086511B">
      <w:pPr>
        <w:ind w:firstLine="708"/>
        <w:jc w:val="both"/>
      </w:pPr>
      <w:r>
        <w:t xml:space="preserve">Prin acțiunea formulată, în contradictoriu cu pârâta, Casa Județeană de Pensii </w:t>
      </w:r>
      <w:r w:rsidR="00085E44">
        <w:t>Z</w:t>
      </w:r>
      <w:r>
        <w:t xml:space="preserve">, reclamantul </w:t>
      </w:r>
      <w:r w:rsidR="00085E44">
        <w:t>MI</w:t>
      </w:r>
      <w:r>
        <w:t>, a solicitat instanței de judecată să pronunțe o hotărâre prin care să dispună obligarea pârâtei la recalcularea pensiei sale cu aplicarea unui stagiu complet de cotizare de 20 de ani în baza Deciziei nr. 11/2015 pronunțată în recurs în interesul legii de către Înalta Curte de Casație și Justiție.</w:t>
      </w:r>
    </w:p>
    <w:p w14:paraId="69665A69" w14:textId="4A3EA75D" w:rsidR="00690002" w:rsidRDefault="0086511B">
      <w:pPr>
        <w:ind w:firstLine="708"/>
        <w:jc w:val="both"/>
      </w:pPr>
      <w:r>
        <w:t xml:space="preserve">Curtea a reținut că în mod corect instanța de fond a respins ca neîntemeiată contestația, reținând prin hotărârea apelată incidența excepției autorității de lucru judecat invocată de către pârâta, Casa Județeană de Pensii </w:t>
      </w:r>
      <w:r w:rsidR="00085E44">
        <w:t>Z</w:t>
      </w:r>
      <w:r>
        <w:t>, în cuprinsul întâmpinării.</w:t>
      </w:r>
    </w:p>
    <w:p w14:paraId="16A769A1" w14:textId="381ABBFB" w:rsidR="00690002" w:rsidRDefault="0086511B">
      <w:pPr>
        <w:ind w:firstLine="708"/>
        <w:jc w:val="both"/>
      </w:pPr>
      <w:r>
        <w:t xml:space="preserve">Curtea a reținut că reclamantul a fost înscris în pensie pentru munca depusă și limită de vârstă prin Decizia nr. </w:t>
      </w:r>
      <w:r w:rsidR="00085E44">
        <w:t>A</w:t>
      </w:r>
      <w:r>
        <w:t xml:space="preserve"> din data de 25 octombrie 1994 (fila 52 dosar fond), sub imperiul Legii nr. 3/1977, cu plata drepturilor începând din data de 01 decembrie 1994, prin care s-a stabilit o vechime totală în muncă de 40 de ani, 6 luni și 14 zile, dintre care 23 de ani și 2 luni în grupa I de muncă și 5 ani, 10 luni și 14 zile în grupa a III-a de muncă. Ulterior, prin Decizia nr. </w:t>
      </w:r>
      <w:r w:rsidR="00085E44">
        <w:t>A</w:t>
      </w:r>
      <w:r>
        <w:t xml:space="preserve"> din data de 02 mai 2007 (fila 45 dosar fond), drepturile de pensie ale contestatorului au fost recalculate în baza O.U.G. nr. 4/2005, aprobată prin</w:t>
      </w:r>
      <w:r>
        <w:t xml:space="preserve"> Legea nr. 78/2005 și în baza H.G. nr. 1550/2004, drepturile astfel recalculate fiindu-i acordate din data de 01 septembrie 2005, fiind stabilit și un stagiu complet de cotizare de 30 de ani conform Legii nr. 19/2000. </w:t>
      </w:r>
    </w:p>
    <w:p w14:paraId="2F8C0627" w14:textId="0D2927D1" w:rsidR="00690002" w:rsidRDefault="0086511B">
      <w:pPr>
        <w:ind w:firstLine="708"/>
        <w:jc w:val="both"/>
      </w:pPr>
      <w:r>
        <w:lastRenderedPageBreak/>
        <w:t xml:space="preserve">Însă, prin Decizia nr. </w:t>
      </w:r>
      <w:r w:rsidR="00085E44">
        <w:t>...</w:t>
      </w:r>
      <w:r>
        <w:t xml:space="preserve">, pronunțată în data de </w:t>
      </w:r>
      <w:r w:rsidR="00085E44">
        <w:t>...</w:t>
      </w:r>
      <w:r>
        <w:t xml:space="preserve"> 2008 de Tribunalul </w:t>
      </w:r>
      <w:r w:rsidR="00085E44">
        <w:t>Z</w:t>
      </w:r>
      <w:r>
        <w:t xml:space="preserve">, în dosarul nr. </w:t>
      </w:r>
      <w:r w:rsidR="00085E44">
        <w:t>...</w:t>
      </w:r>
      <w:r>
        <w:t xml:space="preserve">, instanța a stabilit acordarea un stagiu complet de cotizare utilizat la determinarea punctajului mediu anual de 25 ani, iar nu de 20, astfel cum s-a solicitat prin cererea de chemare în judecată. Așadar, Curtea a constatat că a mai existat o acțiune prin care contestatorul a solicitat instanței de judecată obligarea Casei Județene de Pensii </w:t>
      </w:r>
      <w:r w:rsidR="00085E44">
        <w:t>Z</w:t>
      </w:r>
      <w:r>
        <w:t xml:space="preserve"> la aplicarea unui stagiu complet de cotizare de 20 de ani în ceea ce îl privește, însă Tribuna</w:t>
      </w:r>
      <w:r>
        <w:t xml:space="preserve">lul </w:t>
      </w:r>
      <w:r w:rsidR="00085E44">
        <w:t>Z</w:t>
      </w:r>
      <w:r>
        <w:t xml:space="preserve"> a statuat, în conformitate cu dispozițiile legale în vigoare la acel moment, în sensul că reclamantul are dreptul la aplicarea unui stagiu complet de cotizare de 25 de ani, iar nu de 20.</w:t>
      </w:r>
    </w:p>
    <w:p w14:paraId="29D4D6A5" w14:textId="77777777" w:rsidR="00690002" w:rsidRDefault="0086511B">
      <w:pPr>
        <w:ind w:firstLine="708"/>
        <w:jc w:val="both"/>
      </w:pPr>
      <w:r>
        <w:t>Dând prevalență dispozițiilor articolului 248 alineatul 1 Cod de Procedură Civilă, conform cărora „Instanța se va pronunța mai întâi asupra excepțiilor de procedură precum și asupra celor de fond care fac inutilă, în tot sau în parte, administrarea de probe noi, după caz, cercetarea în fond a cauzei”, Curtea s-a pronunțat, cu prioritate, asupra modului de soluționare de către instanța de fond a excepției autorității de lucru judecat.</w:t>
      </w:r>
    </w:p>
    <w:p w14:paraId="653B2E90" w14:textId="5157A395" w:rsidR="00690002" w:rsidRDefault="0086511B">
      <w:pPr>
        <w:ind w:firstLine="708"/>
        <w:jc w:val="both"/>
      </w:pPr>
      <w:r>
        <w:t xml:space="preserve">Curtea a constatat, așa cum în mod temeinic și legal a reținut și prima instanță, că o altă acțiune având identitate de părți, cauză și obiect cu prezenta cerere de chemare în judecată a fost soluționată prin Sentința Civilă nr. </w:t>
      </w:r>
      <w:r w:rsidR="00085E44">
        <w:t>...</w:t>
      </w:r>
      <w:r>
        <w:t xml:space="preserve"> din data de </w:t>
      </w:r>
      <w:r w:rsidR="00085E44">
        <w:t>...</w:t>
      </w:r>
      <w:r>
        <w:t xml:space="preserve"> 2008 pronunțată de Tribunalul </w:t>
      </w:r>
      <w:r w:rsidR="00085E44">
        <w:t>Z</w:t>
      </w:r>
      <w:r>
        <w:t xml:space="preserve"> în dosarul nr. </w:t>
      </w:r>
      <w:r w:rsidR="00085E44">
        <w:t>...</w:t>
      </w:r>
      <w:r>
        <w:t>.</w:t>
      </w:r>
    </w:p>
    <w:p w14:paraId="2A76341D" w14:textId="77777777" w:rsidR="00690002" w:rsidRDefault="0086511B">
      <w:pPr>
        <w:ind w:firstLine="708"/>
        <w:jc w:val="both"/>
      </w:pPr>
      <w:r>
        <w:t xml:space="preserve">Scopul avut în vedere de legiuitor prin reglementarea autorității de lucru judecata a fost în primul rând împiedicarea judecării, în mod definitiv, a unei acțiunii, în repetate rânduri, iar în al doilea rând soluția dată raporturilor deduse judecății să nu poată fi contrazisă printr-o altă hotărâre. </w:t>
      </w:r>
    </w:p>
    <w:p w14:paraId="13BA024C" w14:textId="375C28FD" w:rsidR="00690002" w:rsidRDefault="0086511B">
      <w:pPr>
        <w:ind w:firstLine="708"/>
        <w:jc w:val="both"/>
      </w:pPr>
      <w:r>
        <w:t xml:space="preserve">Examinând actele și lucrările dosarului, instanța a constatat că identitatea de părți, obiect și cauză, având în vedere, în acest din urmă caz, pretențiile deduse judecății în dosarul nr. </w:t>
      </w:r>
      <w:r w:rsidR="00085E44">
        <w:t>...</w:t>
      </w:r>
      <w:r>
        <w:t>, este de netăgăduit.</w:t>
      </w:r>
    </w:p>
    <w:p w14:paraId="61F6D534" w14:textId="77777777" w:rsidR="00690002" w:rsidRDefault="0086511B">
      <w:pPr>
        <w:ind w:firstLine="708"/>
        <w:jc w:val="both"/>
      </w:pPr>
      <w:r>
        <w:t xml:space="preserve"> În conformitate cu dispozițiile articolului 430 alineatele 1 și 2 din Codul de Procedură Civilă „(1)Hotărârea judecătorească ce soluționează, în tot sau în parte, fondul procesului sau statuează asupra unei excepții procesuale ori asupra oricărui alt incident are, de la pronunțare, autoritate de lucru judecat cu privire la chestiunea tranșată. (2) Autoritate de lucru judecat privește dispozitivul, precum și considerentele pe care aceasta se sprijină, inclusiv cele prin care s-a rezolvat o chestiune litigio</w:t>
      </w:r>
      <w:r>
        <w:t>asă”. De asemenea prin articolul 431 Cod de Procedură Civilă s-a statuat că „Nimeni nu poate fi chemat în judecată de două ori în aceeași calitate, în temeiul aceleiași cauze și pentru același obiect”. În consecință identitatea de obiect implică prevalarea de același beneficiu juridic cu cel dedus judecății anterior, prin formularea aceleiași pretenții, condiție îndeplinită în speța de față.</w:t>
      </w:r>
    </w:p>
    <w:p w14:paraId="555E238D" w14:textId="77777777" w:rsidR="00690002" w:rsidRDefault="0086511B">
      <w:pPr>
        <w:ind w:firstLine="708"/>
        <w:jc w:val="both"/>
      </w:pPr>
      <w:r>
        <w:t>Ca principiu general al dreptului Uniunii Europene, principiul securității raporturilor juridice urmărește să garanteze previzibilitatea situațiilor și a raporturilor juridice din dreptul Uniunii. În acest scop, este esențial ca instituțiile Uniunii să respecte intangibilitatea actelor pe care le-au adoptat și care afectează situația juridică și materială a subiectelor de drept, astfel încât ele nu vor putea modifica aceste acte decât cu respectarea normelor de competență și de procedură. Respectarea princi</w:t>
      </w:r>
      <w:r>
        <w:t>piului securității juridice impune, de asemenea, ca instituțiile să evite, în principiu, incoerențele care pot apărea în punerea în aplicare a diferitor dispoziții de drept al Uniunii, în special în ipoteza în care aceste dispoziții vizează același obiectiv.</w:t>
      </w:r>
    </w:p>
    <w:p w14:paraId="1786B523" w14:textId="77777777" w:rsidR="00690002" w:rsidRDefault="0086511B">
      <w:pPr>
        <w:ind w:firstLine="708"/>
        <w:jc w:val="both"/>
      </w:pPr>
      <w:r>
        <w:t>În considerentele hotărârii pronunțată în cauza Brumărescu contra României, Curtea Europeană a Drepturilor Omului a statuat în sensul că unul dintre elementele fundamentale ale principiului preeminenței dreptului este principiul securității raporturilor juridice, care presupune, printre altele, ca soluțiile definitive date de instanțele judecătorești să nu mai poată fi rediscutate.</w:t>
      </w:r>
    </w:p>
    <w:p w14:paraId="25DFBC2F" w14:textId="1EED396A" w:rsidR="00690002" w:rsidRDefault="0086511B">
      <w:pPr>
        <w:ind w:firstLine="708"/>
        <w:jc w:val="both"/>
      </w:pPr>
      <w:r>
        <w:t xml:space="preserve">În ceea ce privește susținerea apelantului în sensul că, de la data pronunțării Sentinței Civile a Tribunalului </w:t>
      </w:r>
      <w:r w:rsidR="00085E44">
        <w:t>Z</w:t>
      </w:r>
      <w:r>
        <w:t xml:space="preserve"> din 2008, a intervenit Decizia nr. 11/2015 a Înaltei Curți de Casație și Justiție, ca element de noutate juridică pe care prima instanță ar fi trebuit să îl aibă în vedere, Curtea a reținut că aceasta nu poate să fie primită, în condițiile în care, raportat la natura juridică a deciziei pronunțate de către Curtea Supremă în soluționarea unui Recurs în Interesul </w:t>
      </w:r>
      <w:r>
        <w:lastRenderedPageBreak/>
        <w:t xml:space="preserve">Legii, respectiv aceea de mijloc privind asigurarea unei practici judiciare unitare, potrivit dispozițiilor articolului 517 alineatele 2 și 4 Cod </w:t>
      </w:r>
      <w:r>
        <w:t>de Procedură Civilă, decizia pronunțată în Recurs în Interesul Legii de către Înalta Curte de Casație și Justiție nu are efecte asupra hotărârilor judecătorești examinate și nici cu privire la situația părților din acele procese, dezlegarea dată problemelor de drept judecate fiind obligatorie de la data publicării deciziei în Monitorul Oficial al României, Partea I. Astfel, Curtea a reținut că dispozițiile legale anterior citate statuează în mod precis faptul că deciziile pronunțate de către Instanța Suprem</w:t>
      </w:r>
      <w:r>
        <w:t>ă nu pot modifica drepturile câștigate sau dimpotrivă nerealizate prin hotărâi judecătorești pronunțate anterior publicării Recursurilor în Interesul Legii în Monitorul Oficial. Așadar, Curtea a arătat că apariția acestei decizii, invocată de către apelantul reclamant atât prin intermediul cererii introductive de instanță, cât și prin cererea de apel, nu îi conferă posibilitatea de a exercita o acțiunea ce a făcut obiectul unui litigiu în care problema de drept a fost soluționată în mod definitiv, astfel cu</w:t>
      </w:r>
      <w:r>
        <w:t>m în mod corect a reținut și instanța de fond.</w:t>
      </w:r>
    </w:p>
    <w:p w14:paraId="134320F5" w14:textId="77777777" w:rsidR="00690002" w:rsidRDefault="0086511B">
      <w:pPr>
        <w:ind w:firstLine="708"/>
        <w:jc w:val="both"/>
      </w:pPr>
      <w:r>
        <w:t xml:space="preserve">Având în vedere considerentele mai sus-expuse, reținând că motivele invocate de apelant sunt neîntemeiate, în baza articolului 480 alineatul 1 Cod de Procedură Civilă, instanța a respins ca nefondat apelul, menținând în totalitate sentința apelată ca legală și temeinică, conform dispozitivului prezentei.                      </w:t>
      </w:r>
    </w:p>
    <w:p w14:paraId="11540E3B" w14:textId="49FD156B" w:rsidR="00690002" w:rsidRDefault="0086511B">
      <w:pPr>
        <w:ind w:firstLine="708"/>
        <w:jc w:val="both"/>
      </w:pPr>
      <w:r>
        <w:rPr>
          <w:rStyle w:val="Fontdeparagrafimplicit1"/>
          <w:b/>
        </w:rPr>
        <w:t>Împotriva acestei hotărâri a formulat contestaţie în anulare</w:t>
      </w:r>
      <w:r>
        <w:t xml:space="preserve"> contestatorul </w:t>
      </w:r>
      <w:r w:rsidR="00085E44">
        <w:t>MI</w:t>
      </w:r>
      <w:r>
        <w:t>, solicitând admiterea contestației, iar, pe cale de consecință, admiterea apelului, cu consecința admiterii cererii principale; cu cheltuieli de judecată pe cale separată.</w:t>
      </w:r>
    </w:p>
    <w:p w14:paraId="60B29BE3" w14:textId="77777777" w:rsidR="00690002" w:rsidRDefault="0086511B">
      <w:pPr>
        <w:ind w:firstLine="708"/>
        <w:jc w:val="both"/>
      </w:pPr>
      <w:r>
        <w:t>În motivarea contestației în anulare s-a arătat că decizia atacată este nefondată cu privire la reținerea excepției puterii de lucru judecat, având în vedere faptul că în speță nu este îndeplinită condiția identității de obiect și cauză.</w:t>
      </w:r>
    </w:p>
    <w:p w14:paraId="3F1344FB" w14:textId="5ED751C4" w:rsidR="00690002" w:rsidRDefault="0086511B">
      <w:pPr>
        <w:ind w:firstLine="708"/>
        <w:jc w:val="both"/>
      </w:pPr>
      <w:r>
        <w:t xml:space="preserve">A susținut contestatorul că obiectul cauzei este cu totul altul decât cel al dosarului nr. </w:t>
      </w:r>
      <w:r w:rsidR="00085E44">
        <w:t>...</w:t>
      </w:r>
      <w:r>
        <w:t xml:space="preserve">, iar </w:t>
      </w:r>
      <w:r>
        <w:rPr>
          <w:rStyle w:val="Fontdeparagrafimplicit1"/>
          <w:i/>
        </w:rPr>
        <w:t>causa petendi</w:t>
      </w:r>
      <w:r>
        <w:t xml:space="preserve"> este dată de dispozițiile exprese în materia pensiilor data de Înalta Curte de Casație și Justiție prin decizia nr. 11/2015, o cu totul altă motivație juridică față de dosarul precedent.</w:t>
      </w:r>
    </w:p>
    <w:p w14:paraId="614A3224" w14:textId="77777777" w:rsidR="00690002" w:rsidRDefault="0086511B">
      <w:pPr>
        <w:ind w:firstLine="708"/>
        <w:jc w:val="both"/>
      </w:pPr>
      <w:r>
        <w:t>În drept, contestatorul a invocat dispozițiile art. 503, 504 alin. 2 C. pr. civ., coroborat cu Legea nr. 19/2000, HG nr. 1550/2004, Ord. 4/2005, Decizia nr. 11/2015 a ÎCCJ, art. 107 din Legea nr. 263/2010, art. 1531 Cod civil.</w:t>
      </w:r>
    </w:p>
    <w:p w14:paraId="76726A90" w14:textId="28EEEA58" w:rsidR="00690002" w:rsidRDefault="0086511B">
      <w:pPr>
        <w:shd w:val="clear" w:color="auto" w:fill="FFFFFF"/>
        <w:ind w:firstLine="708"/>
        <w:jc w:val="both"/>
      </w:pPr>
      <w:r>
        <w:rPr>
          <w:rStyle w:val="Fontdeparagrafimplicit1"/>
          <w:b/>
        </w:rPr>
        <w:t xml:space="preserve">Prin întâmpinare, intimata Casa Județeană de Pensii </w:t>
      </w:r>
      <w:r w:rsidR="00085E44">
        <w:rPr>
          <w:rStyle w:val="Fontdeparagrafimplicit1"/>
          <w:b/>
        </w:rPr>
        <w:t>Z</w:t>
      </w:r>
      <w:r>
        <w:rPr>
          <w:rStyle w:val="Fontdeparagrafimplicit1"/>
          <w:b/>
        </w:rPr>
        <w:t xml:space="preserve"> </w:t>
      </w:r>
      <w:r>
        <w:t>a invocat excepția inadmisibilității, solicitând respingerea ca inadmisibilă a contestației în anulare.</w:t>
      </w:r>
    </w:p>
    <w:p w14:paraId="1E6F0E33" w14:textId="77777777" w:rsidR="00690002" w:rsidRDefault="0086511B">
      <w:pPr>
        <w:shd w:val="clear" w:color="auto" w:fill="FFFFFF"/>
        <w:ind w:firstLine="708"/>
        <w:jc w:val="both"/>
      </w:pPr>
      <w:r>
        <w:t>În susținerea excepției invocate, intimata a subliniat caracterul extraordinar al căii de atac a contestației în anulare, arătând că motivele pentru care contestatorul poate uza de aceasta sunt strict și limitativ prevăzute în art. 503 Cod procedură civilă.</w:t>
      </w:r>
    </w:p>
    <w:p w14:paraId="258085FB" w14:textId="77777777" w:rsidR="00690002" w:rsidRDefault="0086511B">
      <w:pPr>
        <w:shd w:val="clear" w:color="auto" w:fill="FFFFFF"/>
        <w:ind w:firstLine="708"/>
        <w:jc w:val="both"/>
        <w:rPr>
          <w:rStyle w:val="Fontdeparagrafimplicit1"/>
          <w:b/>
        </w:rPr>
      </w:pPr>
      <w:r>
        <w:t>A arătat intimata că din analiza motivelor contestației în anulare nu se poate reține incidența în cauză a dispozițiilor art. 503 C. pr. civ., contestatorul limitându-se la a se declara nemulțumit de hotărârea atacată, invocând că în mod nefondat a fost admisă excepția autorității de lucru judecat, motiv ce nu poate fi încadrat în cazurile de contestație în anulare prevăzute de lege.</w:t>
      </w:r>
    </w:p>
    <w:p w14:paraId="4EA0C4A6" w14:textId="77777777" w:rsidR="00690002" w:rsidRDefault="0086511B">
      <w:pPr>
        <w:shd w:val="clear" w:color="auto" w:fill="FFFFFF"/>
        <w:ind w:firstLine="708"/>
        <w:jc w:val="both"/>
      </w:pPr>
      <w:r>
        <w:t>În drept, intimata a invocat dispozițiile Codului de procedură civilă.</w:t>
      </w:r>
    </w:p>
    <w:p w14:paraId="08A505AD" w14:textId="77777777" w:rsidR="00690002" w:rsidRDefault="0086511B">
      <w:pPr>
        <w:ind w:right="41"/>
        <w:jc w:val="both"/>
        <w:rPr>
          <w:rStyle w:val="Fontdeparagrafimplicit1"/>
          <w:b/>
        </w:rPr>
      </w:pPr>
      <w:r>
        <w:tab/>
      </w:r>
      <w:r>
        <w:rPr>
          <w:rStyle w:val="Fontdeparagrafimplicit1"/>
          <w:b/>
        </w:rPr>
        <w:t>Examinând hotărârea apelantă prin prisma motivelor de apel invocate, instanţa reţine următoarele:</w:t>
      </w:r>
    </w:p>
    <w:p w14:paraId="3DD76A81" w14:textId="77777777" w:rsidR="00690002" w:rsidRDefault="0086511B">
      <w:pPr>
        <w:shd w:val="clear" w:color="auto" w:fill="FFFFFF"/>
        <w:ind w:firstLine="708"/>
        <w:jc w:val="both"/>
      </w:pPr>
      <w:r>
        <w:t>În ceea ce privește excepția inadmisibilității contestației în anulare, invocată de către intimată prin întâmpinare, Curtea reține că, potrivit dispozițiilor art. 457 alin. 1 C. pr. civ. hotărârea judecătorească este supusă numai căilor de atac prevăzute de lege, în condițiile și </w:t>
      </w:r>
      <w:hyperlink r:id="rId6" w:history="1">
        <w:r w:rsidR="00690002">
          <w:t>termenele</w:t>
        </w:r>
      </w:hyperlink>
      <w:r>
        <w:t> stabilite de aceasta, indiferent de mențiunile din dispozitivul ei. Totodată, în conformitate cu dispozițiile art. 129 din Constituție, împotriva hotărârilor judecătorești, părțile interesate pot exercita căile de atac, în condițiile legii.</w:t>
      </w:r>
    </w:p>
    <w:p w14:paraId="0C1DBA99" w14:textId="77777777" w:rsidR="00690002" w:rsidRDefault="0086511B">
      <w:pPr>
        <w:shd w:val="clear" w:color="auto" w:fill="FFFFFF"/>
        <w:ind w:firstLine="708"/>
        <w:jc w:val="both"/>
      </w:pPr>
      <w:r>
        <w:t>Articolul 503 prevede că hotărârile definitive pot fi atacate cu contestație în anulare atunci când contestatorul nu a fost legal citat și nici nu a fost prezent la termenul când a avut loc judecata, respectiv că hotărârile instanței de apel pot fi atacate cu contestație în anulare în ipotezele prevăzute de alineatul (2) al acestui text de lege.</w:t>
      </w:r>
    </w:p>
    <w:p w14:paraId="6B8C29FD" w14:textId="77777777" w:rsidR="00690002" w:rsidRDefault="0086511B">
      <w:pPr>
        <w:shd w:val="clear" w:color="auto" w:fill="FFFFFF"/>
        <w:ind w:firstLine="708"/>
        <w:jc w:val="both"/>
      </w:pPr>
      <w:r>
        <w:lastRenderedPageBreak/>
        <w:t>Prin urmare, în condițiile în care contestația în anulare ce face obiectul prezentului dosar a fost declarată împotriva unei hotărâri definitive, pronunțată în apel, iar legea nu interzice exercitarea contestației în anulare împotriva hotărârilor pronunțate în materie de pensii și asigurări sociale, excepția inadmisibilității urmează a fi respinsă.</w:t>
      </w:r>
    </w:p>
    <w:p w14:paraId="7B33C7C4" w14:textId="77777777" w:rsidR="00690002" w:rsidRDefault="0086511B">
      <w:pPr>
        <w:ind w:right="-142" w:firstLine="708"/>
        <w:jc w:val="both"/>
      </w:pPr>
      <w:r>
        <w:t>Cu privire la fondul contestației, criticile formulate de către contestator sunt în întregime nefondate.</w:t>
      </w:r>
    </w:p>
    <w:p w14:paraId="0C83A9F6" w14:textId="552BF6FE" w:rsidR="00690002" w:rsidRDefault="0086511B">
      <w:pPr>
        <w:jc w:val="both"/>
      </w:pPr>
      <w:r>
        <w:tab/>
        <w:t xml:space="preserve">Prezentul litigiu este centrat pe solicitarea contestatorului privind recalcularea pensiei sale cu utilizarea unui stagiu complet de cotizare de 20 de ani, în baza Deciziei nr. 11/20015 a Înaltei Curți de Casație și Justiție, solicitare care a fost respinsă prin sentința civilă nr. </w:t>
      </w:r>
      <w:r w:rsidR="00085E44">
        <w:t>....</w:t>
      </w:r>
      <w:r>
        <w:t xml:space="preserve"> din data de </w:t>
      </w:r>
      <w:r w:rsidR="00085E44">
        <w:t>...</w:t>
      </w:r>
      <w:r>
        <w:t xml:space="preserve"> 2022, pronunțată de Tribunalul </w:t>
      </w:r>
      <w:r w:rsidR="00085E44">
        <w:t>Z</w:t>
      </w:r>
      <w:r>
        <w:t xml:space="preserve"> în Dosar nr. </w:t>
      </w:r>
      <w:r w:rsidR="00085E44">
        <w:t>...</w:t>
      </w:r>
      <w:r>
        <w:t>.</w:t>
      </w:r>
    </w:p>
    <w:p w14:paraId="321BEA4E" w14:textId="5FD2B87C" w:rsidR="00690002" w:rsidRDefault="0086511B">
      <w:pPr>
        <w:jc w:val="both"/>
      </w:pPr>
      <w:r>
        <w:tab/>
        <w:t xml:space="preserve">Pentru a pronunța această soluție, Tribunalul a avut în vedere faptul că prin sentința civilă nr. </w:t>
      </w:r>
      <w:r w:rsidR="00085E44">
        <w:t>...</w:t>
      </w:r>
      <w:r>
        <w:t xml:space="preserve">, pronunțată în Dosar nr. </w:t>
      </w:r>
      <w:r w:rsidR="00085E44">
        <w:t>...</w:t>
      </w:r>
      <w:r>
        <w:t xml:space="preserve">, definitivă, Tribunalul </w:t>
      </w:r>
      <w:r w:rsidR="00085E44">
        <w:t>Z</w:t>
      </w:r>
      <w:r>
        <w:t xml:space="preserve"> s-a pronunțat deja asupra cererii contestatorului privind utilizarea stagiului de 20 de ani, recunoscându-i acestuia doar dreptul de a beneficia de recunoașterea unui stagiu de cotizare de 25 de ani.</w:t>
      </w:r>
    </w:p>
    <w:p w14:paraId="73F8850E" w14:textId="54A959F9" w:rsidR="00690002" w:rsidRDefault="0086511B">
      <w:pPr>
        <w:jc w:val="both"/>
      </w:pPr>
      <w:r>
        <w:tab/>
        <w:t xml:space="preserve">Tribunalul </w:t>
      </w:r>
      <w:r w:rsidR="00085E44">
        <w:t>Z</w:t>
      </w:r>
      <w:r>
        <w:t xml:space="preserve"> a reținut, astfel, puterea de lucru judecat a sentinței civile nr. </w:t>
      </w:r>
      <w:r w:rsidR="00085E44">
        <w:t>...</w:t>
      </w:r>
      <w:r>
        <w:t xml:space="preserve"> 2008 în ceea ce privește pretenția dedusă judecății în cadrul dosarului </w:t>
      </w:r>
      <w:r w:rsidR="00085E44">
        <w:t>...</w:t>
      </w:r>
      <w:r>
        <w:t xml:space="preserve">, hotărârea astfel pronunțată fiind menținută de Curtea de Apel </w:t>
      </w:r>
      <w:r w:rsidR="00085E44">
        <w:t>X</w:t>
      </w:r>
      <w:r>
        <w:t xml:space="preserve"> prin decizia civilă nr. </w:t>
      </w:r>
      <w:r w:rsidR="00085E44">
        <w:t>...</w:t>
      </w:r>
      <w:r>
        <w:t xml:space="preserve">, pronunțată la data de </w:t>
      </w:r>
      <w:r w:rsidR="00085E44">
        <w:t>...</w:t>
      </w:r>
      <w:r>
        <w:t>.</w:t>
      </w:r>
    </w:p>
    <w:p w14:paraId="2015584F" w14:textId="790DCCF4" w:rsidR="00690002" w:rsidRDefault="0086511B">
      <w:pPr>
        <w:jc w:val="both"/>
      </w:pPr>
      <w:r>
        <w:tab/>
        <w:t xml:space="preserve">Această decizie a Curții de Apel </w:t>
      </w:r>
      <w:r w:rsidR="00085E44">
        <w:t>X</w:t>
      </w:r>
      <w:r>
        <w:t xml:space="preserve"> formează obiectul contestației în anulare înregistrată în prezentul dosar.</w:t>
      </w:r>
    </w:p>
    <w:p w14:paraId="6DE989AA" w14:textId="39F858F1" w:rsidR="00690002" w:rsidRDefault="0086511B">
      <w:pPr>
        <w:jc w:val="both"/>
      </w:pPr>
      <w:r>
        <w:tab/>
        <w:t xml:space="preserve">În susținerea contestației în anulare, contestatorul a susținut că nu este întrunită cerința identității de obiect și cauză între acțiunile care au făcut obiectul dosarelor </w:t>
      </w:r>
      <w:r w:rsidR="00085E44">
        <w:t>...</w:t>
      </w:r>
      <w:r>
        <w:t xml:space="preserve">, respectiv </w:t>
      </w:r>
      <w:r w:rsidR="00085E44">
        <w:t>...</w:t>
      </w:r>
      <w:r>
        <w:t>, astfel încât apreciază că autoritatea de lucru judecat a hotărârilor pronunțate în cadrul primului dosar nu ar opera. În acest sens, contestatorul a solicitat Curții să aibă în vedere faptul că cea de-a doua acțiune are o cu totul altă motivație juridică decât prima și anume Decizia nr. 11/2015 a Înaltei Curți de Casație și Justiție, potrivit căreia, în ceea ce îl privește, stagiul de cotizare aplicabil este cel de 20 de ani, având în vedere faptul că a lucrat în grupa I de muncă mai mul</w:t>
      </w:r>
      <w:r>
        <w:t>t de 20 de ani și a fost pensionat anterior datei de 01.04.2001.</w:t>
      </w:r>
    </w:p>
    <w:p w14:paraId="33533D17" w14:textId="77777777" w:rsidR="00690002" w:rsidRDefault="0086511B">
      <w:pPr>
        <w:ind w:firstLine="709"/>
        <w:jc w:val="both"/>
      </w:pPr>
      <w:r>
        <w:t>Contestatorul nu indică în concret pe care dintre motivele expres prevăzute de dispozițiile art. 503 Cod procedură civilă înțelege să își întemeieze contestația, invocând în mod formal, în finalul contestației, dispozițiile Codului de procedură civilă ce reglementează cazurile de contestație în anulare.</w:t>
      </w:r>
    </w:p>
    <w:p w14:paraId="1B5B586D" w14:textId="77777777" w:rsidR="00690002" w:rsidRDefault="0086511B">
      <w:pPr>
        <w:ind w:firstLine="709"/>
        <w:jc w:val="both"/>
      </w:pPr>
      <w:r>
        <w:t>Curtea constată că nici unul dintre aceste cazuri nu este incident în speță.</w:t>
      </w:r>
    </w:p>
    <w:p w14:paraId="1A5C0280" w14:textId="77777777" w:rsidR="00690002" w:rsidRDefault="0086511B">
      <w:pPr>
        <w:ind w:firstLine="709"/>
        <w:jc w:val="both"/>
      </w:pPr>
      <w:r>
        <w:t>Astfel, contestatorul a fost legal citat în apel, instanța fiind competentă să soluționeze cauza, iar motivele de apel invocate de către contestatorul de azi au fost analizate în cadrul considerentelor deciziei atacate.</w:t>
      </w:r>
    </w:p>
    <w:p w14:paraId="56D8A51E" w14:textId="77777777" w:rsidR="00690002" w:rsidRDefault="0086511B">
      <w:pPr>
        <w:ind w:firstLine="709"/>
        <w:jc w:val="both"/>
      </w:pPr>
      <w:r>
        <w:t xml:space="preserve">În ceea ce privește cazul de contestație în anulare prevăzut de art. 503 alin. 2 pct. 2, referitor la eroarea materială, Curtea reține că această noțiune se referă la aspecte formale ale judecății, neputând fi calificat drept eroare materială modul în care instanța de apel a înțeles să aprecieze probele, aceasta reprezentând, eventual, o greșeală de judecată, care nu poate face obiectul unei căi de atac de retractare.   </w:t>
      </w:r>
    </w:p>
    <w:p w14:paraId="504347B7" w14:textId="77777777" w:rsidR="00690002" w:rsidRDefault="0086511B">
      <w:pPr>
        <w:ind w:firstLine="708"/>
        <w:jc w:val="both"/>
      </w:pPr>
      <w:r>
        <w:t>Este evident, așadar, că toate criticile formulate de către contestator vizează modalitatea de soluţionare cauzei de către instanța de apel, acesta urmărind repunerea în discuție a fondului cauzei, ceea ce este inadmisibil în cadrul unei căi extraordinare de atac, cu caracter nedevolutiv, cum este contestația în anulare.</w:t>
      </w:r>
    </w:p>
    <w:p w14:paraId="40230CD3" w14:textId="77777777" w:rsidR="00690002" w:rsidRDefault="0086511B">
      <w:pPr>
        <w:ind w:firstLine="708"/>
        <w:jc w:val="both"/>
        <w:rPr>
          <w:rStyle w:val="Fontdeparagrafimplicit1"/>
          <w:shd w:val="clear" w:color="auto" w:fill="FFFFFF"/>
        </w:rPr>
      </w:pPr>
      <w:r>
        <w:rPr>
          <w:rStyle w:val="Fontdeparagrafimplicit1"/>
          <w:shd w:val="clear" w:color="auto" w:fill="FFFFFF"/>
        </w:rPr>
        <w:t>Cu privire la acest aspect, în considerentele hotărârii pronunțate în cauza Mitrea împotriva României (paragrafele 19-20), Curtea Europeană a Drepturilor Omului, reiterând jurisprudența sa anterioară, a arătat că principiul securității juridice impune ca, atunci când instanțele au pronunțat o soluție definitivă, soluția lor să nu poată fi repusă în discuție (Brumărescu împotriva României ([MC], nr. 28.342/95, CEDO 1999-VII). În acest sens, Curtea a menționat că certitudinea legală presupune respect pentru p</w:t>
      </w:r>
      <w:r>
        <w:rPr>
          <w:rStyle w:val="Fontdeparagrafimplicit1"/>
          <w:shd w:val="clear" w:color="auto" w:fill="FFFFFF"/>
        </w:rPr>
        <w:t xml:space="preserve">rincipiul </w:t>
      </w:r>
      <w:r>
        <w:rPr>
          <w:rStyle w:val="Fontdeparagrafimplicit1"/>
          <w:i/>
          <w:shd w:val="clear" w:color="auto" w:fill="FFFFFF"/>
        </w:rPr>
        <w:t>res iudicata</w:t>
      </w:r>
      <w:r>
        <w:rPr>
          <w:rStyle w:val="Fontdeparagrafimplicit1"/>
          <w:shd w:val="clear" w:color="auto" w:fill="FFFFFF"/>
        </w:rPr>
        <w:t xml:space="preserve">, adică principiul caracterului definitiv al deciziilor, principiu care subliniază că nici o parte nu are dreptul să solicite revizuirea unei decizii definitive și obligatorii doar în scopul de a obține o rejudecare și o nouă decizie în speță. Astfel, contestația în anulare nu ar trebui tratată ca un </w:t>
      </w:r>
      <w:r>
        <w:rPr>
          <w:rStyle w:val="Fontdeparagrafimplicit1"/>
          <w:shd w:val="clear" w:color="auto" w:fill="FFFFFF"/>
        </w:rPr>
        <w:lastRenderedPageBreak/>
        <w:t>apel deghizat, iar simpla posibilitate a existenței a două puncte de vedere asupra unei probleme nu este un temei pentru reexaminare.</w:t>
      </w:r>
    </w:p>
    <w:p w14:paraId="1BAFD039" w14:textId="77777777" w:rsidR="00690002" w:rsidRDefault="0086511B">
      <w:pPr>
        <w:ind w:firstLine="708"/>
        <w:jc w:val="both"/>
        <w:rPr>
          <w:rStyle w:val="Fontdeparagrafimplicit1"/>
        </w:rPr>
      </w:pPr>
      <w:r>
        <w:rPr>
          <w:rStyle w:val="Fontdeparagrafimplicit1"/>
          <w:shd w:val="clear" w:color="auto" w:fill="FFFFFF"/>
        </w:rPr>
        <w:t xml:space="preserve">Tocmai din necesitatea respectării principiilor </w:t>
      </w:r>
      <w:r>
        <w:rPr>
          <w:rStyle w:val="Fontdeparagrafimplicit1"/>
          <w:i/>
          <w:shd w:val="clear" w:color="auto" w:fill="FFFFFF"/>
        </w:rPr>
        <w:t>res iudicata</w:t>
      </w:r>
      <w:r>
        <w:rPr>
          <w:rStyle w:val="Fontdeparagrafimplicit1"/>
          <w:shd w:val="clear" w:color="auto" w:fill="FFFFFF"/>
        </w:rPr>
        <w:t xml:space="preserve"> și al securității raporturilor juridice, legiuitorul a reglementat cu strictețe condițiile în care părțile pot recurge la exercitarea căilor extraordinare de atac împotriva hotărârilor judecătorești definitive, impunând în mod expres și limitativ motivele pentru care acestea pot să fie exercitate.</w:t>
      </w:r>
    </w:p>
    <w:p w14:paraId="42D3DED1" w14:textId="77777777" w:rsidR="00690002" w:rsidRDefault="0086511B">
      <w:pPr>
        <w:ind w:firstLine="708"/>
        <w:jc w:val="both"/>
      </w:pPr>
      <w:r>
        <w:t>Pentru toate aceste considerente, în temeiul art.480 alin. 1 Cod procedură civilă, instanţa va respinge ca nefondată contestația în anulare, decizia atacată urmând a fi menținută în totalitate.</w:t>
      </w:r>
    </w:p>
    <w:p w14:paraId="5517D609" w14:textId="77777777" w:rsidR="00690002" w:rsidRDefault="0086511B">
      <w:pPr>
        <w:ind w:firstLine="708"/>
        <w:jc w:val="both"/>
      </w:pPr>
      <w:r>
        <w:t>Va lua act de faptul că intimata nu a solicitat cheltuieli de judecată, iar, față de soluția de respingere a contestației, apelantul nu este îndreptățit la acordarea acestora.</w:t>
      </w:r>
    </w:p>
    <w:p w14:paraId="0E7AF682" w14:textId="77777777" w:rsidR="00690002" w:rsidRDefault="00690002">
      <w:pPr>
        <w:shd w:val="clear" w:color="auto" w:fill="FFFFFF"/>
        <w:ind w:firstLine="708"/>
        <w:jc w:val="both"/>
      </w:pPr>
    </w:p>
    <w:p w14:paraId="1E4F8789" w14:textId="77777777" w:rsidR="00690002" w:rsidRDefault="00690002">
      <w:pPr>
        <w:shd w:val="clear" w:color="auto" w:fill="FFFFFF"/>
        <w:ind w:firstLine="708"/>
        <w:jc w:val="both"/>
      </w:pPr>
    </w:p>
    <w:p w14:paraId="6C0F4FFC" w14:textId="77777777" w:rsidR="00690002" w:rsidRDefault="0086511B">
      <w:pPr>
        <w:jc w:val="center"/>
        <w:rPr>
          <w:rStyle w:val="Fontdeparagrafimplicit1"/>
          <w:b/>
        </w:rPr>
      </w:pPr>
      <w:r>
        <w:rPr>
          <w:rStyle w:val="Fontdeparagrafimplicit1"/>
          <w:b/>
        </w:rPr>
        <w:t xml:space="preserve">PENTRU ACESTE MOTIVE </w:t>
      </w:r>
    </w:p>
    <w:p w14:paraId="227C5FC0" w14:textId="77777777" w:rsidR="00690002" w:rsidRDefault="0086511B">
      <w:pPr>
        <w:jc w:val="center"/>
        <w:rPr>
          <w:rStyle w:val="Fontdeparagrafimplicit1"/>
          <w:b/>
        </w:rPr>
      </w:pPr>
      <w:r>
        <w:rPr>
          <w:rStyle w:val="Fontdeparagrafimplicit1"/>
          <w:b/>
        </w:rPr>
        <w:t xml:space="preserve">ÎN NUMELE LEGII </w:t>
      </w:r>
    </w:p>
    <w:p w14:paraId="1871FD21" w14:textId="77777777" w:rsidR="00690002" w:rsidRDefault="0086511B">
      <w:pPr>
        <w:jc w:val="center"/>
        <w:rPr>
          <w:rStyle w:val="Fontdeparagrafimplicit1"/>
          <w:b/>
        </w:rPr>
      </w:pPr>
      <w:r>
        <w:rPr>
          <w:rStyle w:val="Fontdeparagrafimplicit1"/>
          <w:b/>
        </w:rPr>
        <w:t xml:space="preserve">D E C I D E : </w:t>
      </w:r>
    </w:p>
    <w:p w14:paraId="68088D30" w14:textId="77777777" w:rsidR="00690002" w:rsidRDefault="00690002">
      <w:pPr>
        <w:jc w:val="center"/>
        <w:rPr>
          <w:rStyle w:val="Fontdeparagrafimplicit1"/>
          <w:b/>
        </w:rPr>
      </w:pPr>
    </w:p>
    <w:p w14:paraId="2B1D5F1A" w14:textId="06B194AA" w:rsidR="00690002" w:rsidRDefault="0086511B">
      <w:pPr>
        <w:ind w:firstLine="708"/>
        <w:jc w:val="both"/>
      </w:pPr>
      <w:r>
        <w:rPr>
          <w:rStyle w:val="Fontdeparagrafimplicit1"/>
          <w:b/>
        </w:rPr>
        <w:t>RESPINGE</w:t>
      </w:r>
      <w:r>
        <w:t xml:space="preserve"> ca nefondată contestaţia în anulare civilă introdusă de contestatorul </w:t>
      </w:r>
      <w:r w:rsidR="00085E44">
        <w:rPr>
          <w:rStyle w:val="Fontdeparagrafimplicit1"/>
          <w:b/>
        </w:rPr>
        <w:t>MI</w:t>
      </w:r>
      <w:r>
        <w:t xml:space="preserve">, identificat prin C.N.P. </w:t>
      </w:r>
      <w:r w:rsidR="00085E44">
        <w:t>....</w:t>
      </w:r>
      <w:r>
        <w:t xml:space="preserve">, cu domiciliul în </w:t>
      </w:r>
      <w:r w:rsidR="00085E44">
        <w:t>X</w:t>
      </w:r>
      <w:r>
        <w:t xml:space="preserve">, strada </w:t>
      </w:r>
      <w:r w:rsidR="00085E44">
        <w:t>...</w:t>
      </w:r>
      <w:r>
        <w:t xml:space="preserve">, nr. </w:t>
      </w:r>
      <w:r w:rsidR="00085E44">
        <w:t>..</w:t>
      </w:r>
      <w:r>
        <w:t xml:space="preserve"> </w:t>
      </w:r>
      <w:r w:rsidR="00085E44">
        <w:t>.</w:t>
      </w:r>
      <w:r>
        <w:t xml:space="preserve">, ap. </w:t>
      </w:r>
      <w:r w:rsidR="00085E44">
        <w:t>..</w:t>
      </w:r>
      <w:r>
        <w:t xml:space="preserve">, jud. </w:t>
      </w:r>
      <w:r w:rsidR="00085E44">
        <w:t>Z</w:t>
      </w:r>
      <w:r>
        <w:t xml:space="preserve">, în contradictoriu cu intimata </w:t>
      </w:r>
      <w:r>
        <w:rPr>
          <w:rStyle w:val="Fontdeparagrafimplicit1"/>
          <w:b/>
        </w:rPr>
        <w:t xml:space="preserve">CASA JUDEŢEANĂ DE PENSII </w:t>
      </w:r>
      <w:r w:rsidR="00085E44">
        <w:rPr>
          <w:rStyle w:val="Fontdeparagrafimplicit1"/>
          <w:b/>
        </w:rPr>
        <w:t>Z</w:t>
      </w:r>
      <w:r>
        <w:t xml:space="preserve">, cu sediul în </w:t>
      </w:r>
      <w:r w:rsidR="00085E44">
        <w:t>X</w:t>
      </w:r>
      <w:r>
        <w:t xml:space="preserve">, strada </w:t>
      </w:r>
      <w:r w:rsidR="00085E44">
        <w:t>...</w:t>
      </w:r>
      <w:r>
        <w:t xml:space="preserve">, nr. </w:t>
      </w:r>
      <w:r w:rsidR="00085E44">
        <w:t>...</w:t>
      </w:r>
      <w:r>
        <w:t xml:space="preserve">, jud. </w:t>
      </w:r>
      <w:r w:rsidR="00085E44">
        <w:t>Z</w:t>
      </w:r>
      <w:r>
        <w:t xml:space="preserve">, împotriva deciziei civile nr. </w:t>
      </w:r>
      <w:r w:rsidR="00085E44">
        <w:t>..</w:t>
      </w:r>
      <w:r>
        <w:t xml:space="preserve"> din </w:t>
      </w:r>
      <w:r w:rsidR="00085E44">
        <w:t>...</w:t>
      </w:r>
      <w:r>
        <w:t xml:space="preserve">, pronunţată de Curtea de Apel </w:t>
      </w:r>
      <w:r w:rsidR="00085E44">
        <w:t>X</w:t>
      </w:r>
      <w:r>
        <w:t xml:space="preserve"> în dosarul nr. </w:t>
      </w:r>
      <w:r w:rsidR="00085E44">
        <w:t>...</w:t>
      </w:r>
      <w:r>
        <w:t xml:space="preserve">, pe care o menţine în totalitate. </w:t>
      </w:r>
    </w:p>
    <w:p w14:paraId="20D63B2B" w14:textId="77777777" w:rsidR="00690002" w:rsidRDefault="0086511B">
      <w:pPr>
        <w:jc w:val="both"/>
      </w:pPr>
      <w:r>
        <w:tab/>
        <w:t>Fără cheltuieli de judecată.</w:t>
      </w:r>
    </w:p>
    <w:p w14:paraId="55A8A87A" w14:textId="77777777" w:rsidR="00690002" w:rsidRDefault="0086511B">
      <w:pPr>
        <w:jc w:val="both"/>
      </w:pPr>
      <w:r>
        <w:tab/>
        <w:t>DEFINITIVĂ.</w:t>
      </w:r>
    </w:p>
    <w:p w14:paraId="42543194" w14:textId="66962C9C" w:rsidR="00690002" w:rsidRDefault="0086511B">
      <w:pPr>
        <w:jc w:val="both"/>
      </w:pPr>
      <w:r>
        <w:tab/>
        <w:t xml:space="preserve">Pronunţată în data de </w:t>
      </w:r>
      <w:r w:rsidR="00085E44">
        <w:t>...</w:t>
      </w:r>
      <w:r>
        <w:t xml:space="preserve"> prin punerea soluției la dispoziția părților prin grefa instanței.</w:t>
      </w:r>
    </w:p>
    <w:p w14:paraId="32FECBC4" w14:textId="77777777" w:rsidR="00690002" w:rsidRDefault="00690002">
      <w:pPr>
        <w:ind w:firstLine="708"/>
        <w:jc w:val="both"/>
      </w:pPr>
    </w:p>
    <w:p w14:paraId="73DBDF3D" w14:textId="77777777" w:rsidR="00690002" w:rsidRDefault="0086511B">
      <w:pPr>
        <w:jc w:val="both"/>
        <w:rPr>
          <w:rStyle w:val="Fontdeparagrafimplicit1"/>
          <w:b/>
        </w:rPr>
      </w:pPr>
      <w:r>
        <w:rPr>
          <w:rStyle w:val="Fontdeparagrafimplicit1"/>
          <w:b/>
        </w:rPr>
        <w:t xml:space="preserve">         PREŞEDINTE </w:t>
      </w:r>
      <w:r>
        <w:rPr>
          <w:rStyle w:val="Fontdeparagrafimplicit1"/>
          <w:b/>
        </w:rPr>
        <w:tab/>
      </w:r>
      <w:r>
        <w:rPr>
          <w:rStyle w:val="Fontdeparagrafimplicit1"/>
          <w:b/>
        </w:rPr>
        <w:tab/>
        <w:t xml:space="preserve">          JUDECĂTOR </w:t>
      </w:r>
      <w:r>
        <w:rPr>
          <w:rStyle w:val="Fontdeparagrafimplicit1"/>
          <w:b/>
        </w:rPr>
        <w:tab/>
        <w:t xml:space="preserve">                        GREFIER  </w:t>
      </w:r>
    </w:p>
    <w:p w14:paraId="55101A79" w14:textId="29010FDD" w:rsidR="00690002" w:rsidRDefault="0086511B">
      <w:pPr>
        <w:jc w:val="both"/>
      </w:pPr>
      <w:r>
        <w:t xml:space="preserve">                   A0011  </w:t>
      </w:r>
      <w:r>
        <w:tab/>
        <w:t xml:space="preserve">                                     ....                                        ....</w:t>
      </w:r>
    </w:p>
    <w:p w14:paraId="65D482C6" w14:textId="77777777" w:rsidR="00690002" w:rsidRDefault="00690002">
      <w:pPr>
        <w:jc w:val="both"/>
      </w:pPr>
    </w:p>
    <w:p w14:paraId="24A9D892" w14:textId="77777777" w:rsidR="00690002" w:rsidRDefault="00690002">
      <w:pPr>
        <w:jc w:val="both"/>
      </w:pPr>
    </w:p>
    <w:p w14:paraId="22E62F6F" w14:textId="77777777" w:rsidR="00690002" w:rsidRDefault="00690002">
      <w:pPr>
        <w:jc w:val="both"/>
      </w:pPr>
    </w:p>
    <w:p w14:paraId="73B6795B" w14:textId="77777777" w:rsidR="00690002" w:rsidRDefault="00690002">
      <w:pPr>
        <w:jc w:val="both"/>
      </w:pPr>
    </w:p>
    <w:p w14:paraId="3A5A9590" w14:textId="5CE1BD8F" w:rsidR="00690002" w:rsidRDefault="0086511B">
      <w:pPr>
        <w:jc w:val="both"/>
        <w:rPr>
          <w:rStyle w:val="Fontdeparagrafimplicit1"/>
          <w:sz w:val="16"/>
        </w:rPr>
      </w:pPr>
      <w:r>
        <w:rPr>
          <w:rStyle w:val="Fontdeparagrafimplicit1"/>
          <w:sz w:val="16"/>
        </w:rPr>
        <w:t>Red.dec. jud.</w:t>
      </w:r>
      <w:r w:rsidR="00085E44">
        <w:rPr>
          <w:rStyle w:val="Fontdeparagrafimplicit1"/>
          <w:sz w:val="16"/>
        </w:rPr>
        <w:t>A0011</w:t>
      </w:r>
      <w:r>
        <w:rPr>
          <w:rStyle w:val="Fontdeparagrafimplicit1"/>
          <w:sz w:val="16"/>
        </w:rPr>
        <w:t xml:space="preserve"> /</w:t>
      </w:r>
      <w:r w:rsidR="00085E44">
        <w:rPr>
          <w:rStyle w:val="Fontdeparagrafimplicit1"/>
          <w:sz w:val="16"/>
        </w:rPr>
        <w:t>...</w:t>
      </w:r>
    </w:p>
    <w:p w14:paraId="402898BE" w14:textId="0FCB0235" w:rsidR="00690002" w:rsidRDefault="0086511B">
      <w:pPr>
        <w:jc w:val="both"/>
        <w:rPr>
          <w:rStyle w:val="Fontdeparagrafimplicit1"/>
          <w:sz w:val="16"/>
        </w:rPr>
      </w:pPr>
      <w:r>
        <w:rPr>
          <w:rStyle w:val="Fontdeparagrafimplicit1"/>
          <w:sz w:val="16"/>
        </w:rPr>
        <w:t xml:space="preserve"> Jud. fond: </w:t>
      </w:r>
      <w:r w:rsidR="00085E44">
        <w:rPr>
          <w:rStyle w:val="Fontdeparagrafimplicit1"/>
          <w:sz w:val="16"/>
        </w:rPr>
        <w:t>...</w:t>
      </w:r>
    </w:p>
    <w:p w14:paraId="70788C49" w14:textId="1E9047A8" w:rsidR="00690002" w:rsidRDefault="0086511B">
      <w:pPr>
        <w:jc w:val="both"/>
        <w:rPr>
          <w:rStyle w:val="Fontdeparagrafimplicit1"/>
          <w:sz w:val="16"/>
        </w:rPr>
      </w:pPr>
      <w:r>
        <w:rPr>
          <w:rStyle w:val="Fontdeparagrafimplicit1"/>
          <w:sz w:val="16"/>
        </w:rPr>
        <w:t xml:space="preserve">Jud. decizie: </w:t>
      </w:r>
      <w:r w:rsidR="00085E44">
        <w:rPr>
          <w:rStyle w:val="Fontdeparagrafimplicit1"/>
          <w:sz w:val="16"/>
        </w:rPr>
        <w:t>...</w:t>
      </w:r>
      <w:r>
        <w:rPr>
          <w:rStyle w:val="Fontdeparagrafimplicit1"/>
          <w:sz w:val="16"/>
        </w:rPr>
        <w:t>/</w:t>
      </w:r>
      <w:r w:rsidR="00085E44">
        <w:rPr>
          <w:rStyle w:val="Fontdeparagrafimplicit1"/>
          <w:sz w:val="16"/>
        </w:rPr>
        <w:t>...</w:t>
      </w:r>
    </w:p>
    <w:p w14:paraId="5BAAAF80" w14:textId="0C9AA5D3" w:rsidR="00690002" w:rsidRDefault="0086511B">
      <w:pPr>
        <w:jc w:val="both"/>
        <w:rPr>
          <w:rStyle w:val="Fontdeparagrafimplicit1"/>
          <w:color w:val="FF0000"/>
          <w:sz w:val="16"/>
        </w:rPr>
      </w:pPr>
      <w:r>
        <w:rPr>
          <w:rStyle w:val="Fontdeparagrafimplicit1"/>
          <w:sz w:val="16"/>
        </w:rPr>
        <w:t>Tehnored.G.A./4 ex./2</w:t>
      </w:r>
      <w:r w:rsidR="00085E44">
        <w:rPr>
          <w:rStyle w:val="Fontdeparagrafimplicit1"/>
          <w:sz w:val="16"/>
        </w:rPr>
        <w:t>....</w:t>
      </w:r>
    </w:p>
    <w:p w14:paraId="3E1B9964" w14:textId="77777777" w:rsidR="00690002" w:rsidRDefault="00690002">
      <w:pPr>
        <w:jc w:val="both"/>
        <w:rPr>
          <w:rStyle w:val="Fontdeparagrafimplicit1"/>
          <w:b/>
          <w:sz w:val="18"/>
        </w:rPr>
      </w:pPr>
    </w:p>
    <w:p w14:paraId="43D86DA4" w14:textId="77777777" w:rsidR="00690002" w:rsidRDefault="0086511B">
      <w:pPr>
        <w:jc w:val="both"/>
        <w:rPr>
          <w:rStyle w:val="Fontdeparagrafimplicit1"/>
          <w:b/>
          <w:sz w:val="18"/>
          <w:u w:val="single"/>
        </w:rPr>
      </w:pPr>
      <w:r>
        <w:rPr>
          <w:rStyle w:val="Fontdeparagrafimplicit1"/>
          <w:b/>
          <w:sz w:val="18"/>
          <w:u w:val="single"/>
        </w:rPr>
        <w:t xml:space="preserve">Emis 2 comunicări către: </w:t>
      </w:r>
    </w:p>
    <w:p w14:paraId="60F2FE06" w14:textId="760DCDD4" w:rsidR="00690002" w:rsidRDefault="0086511B">
      <w:pPr>
        <w:jc w:val="both"/>
        <w:rPr>
          <w:rStyle w:val="Fontdeparagrafimplicit1"/>
          <w:sz w:val="18"/>
        </w:rPr>
      </w:pPr>
      <w:r>
        <w:rPr>
          <w:rStyle w:val="Fontdeparagrafimplicit1"/>
          <w:sz w:val="18"/>
        </w:rPr>
        <w:t xml:space="preserve">- contestatorul </w:t>
      </w:r>
      <w:r w:rsidR="00085E44">
        <w:rPr>
          <w:rStyle w:val="Fontdeparagrafimplicit1"/>
          <w:sz w:val="18"/>
        </w:rPr>
        <w:t>MI</w:t>
      </w:r>
      <w:r>
        <w:rPr>
          <w:rStyle w:val="Fontdeparagrafimplicit1"/>
          <w:sz w:val="18"/>
        </w:rPr>
        <w:t xml:space="preserve">, identificat prin C.N.P. </w:t>
      </w:r>
      <w:r w:rsidR="00085E44">
        <w:rPr>
          <w:rStyle w:val="Fontdeparagrafimplicit1"/>
          <w:sz w:val="18"/>
        </w:rPr>
        <w:t>....</w:t>
      </w:r>
      <w:r>
        <w:rPr>
          <w:rStyle w:val="Fontdeparagrafimplicit1"/>
          <w:sz w:val="18"/>
        </w:rPr>
        <w:t xml:space="preserve">, cu domiciliul în </w:t>
      </w:r>
      <w:r w:rsidR="00085E44">
        <w:rPr>
          <w:rStyle w:val="Fontdeparagrafimplicit1"/>
          <w:sz w:val="18"/>
        </w:rPr>
        <w:t>X</w:t>
      </w:r>
      <w:r>
        <w:rPr>
          <w:rStyle w:val="Fontdeparagrafimplicit1"/>
          <w:sz w:val="18"/>
        </w:rPr>
        <w:t xml:space="preserve">, strada </w:t>
      </w:r>
      <w:r w:rsidR="00085E44">
        <w:rPr>
          <w:rStyle w:val="Fontdeparagrafimplicit1"/>
          <w:sz w:val="18"/>
        </w:rPr>
        <w:t>...</w:t>
      </w:r>
      <w:r>
        <w:rPr>
          <w:rStyle w:val="Fontdeparagrafimplicit1"/>
          <w:sz w:val="18"/>
        </w:rPr>
        <w:t xml:space="preserve">, nr. </w:t>
      </w:r>
      <w:r w:rsidR="00085E44">
        <w:rPr>
          <w:rStyle w:val="Fontdeparagrafimplicit1"/>
          <w:sz w:val="18"/>
        </w:rPr>
        <w:t>...</w:t>
      </w:r>
      <w:r>
        <w:rPr>
          <w:rStyle w:val="Fontdeparagrafimplicit1"/>
          <w:sz w:val="18"/>
        </w:rPr>
        <w:t xml:space="preserve"> </w:t>
      </w:r>
      <w:r w:rsidR="00085E44">
        <w:rPr>
          <w:rStyle w:val="Fontdeparagrafimplicit1"/>
          <w:sz w:val="18"/>
        </w:rPr>
        <w:t>..</w:t>
      </w:r>
      <w:r>
        <w:rPr>
          <w:rStyle w:val="Fontdeparagrafimplicit1"/>
          <w:sz w:val="18"/>
        </w:rPr>
        <w:t xml:space="preserve">, ap. </w:t>
      </w:r>
      <w:r w:rsidR="00085E44">
        <w:rPr>
          <w:rStyle w:val="Fontdeparagrafimplicit1"/>
          <w:sz w:val="18"/>
        </w:rPr>
        <w:t>..</w:t>
      </w:r>
      <w:r>
        <w:rPr>
          <w:rStyle w:val="Fontdeparagrafimplicit1"/>
          <w:sz w:val="18"/>
        </w:rPr>
        <w:t xml:space="preserve">, jud. </w:t>
      </w:r>
      <w:r w:rsidR="00085E44">
        <w:rPr>
          <w:rStyle w:val="Fontdeparagrafimplicit1"/>
          <w:sz w:val="18"/>
        </w:rPr>
        <w:t>Z</w:t>
      </w:r>
      <w:r>
        <w:rPr>
          <w:rStyle w:val="Fontdeparagrafimplicit1"/>
          <w:sz w:val="18"/>
        </w:rPr>
        <w:t>;</w:t>
      </w:r>
    </w:p>
    <w:p w14:paraId="65081707" w14:textId="7BE59FB6" w:rsidR="00690002" w:rsidRDefault="0086511B">
      <w:pPr>
        <w:jc w:val="both"/>
        <w:rPr>
          <w:rStyle w:val="Fontdeparagrafimplicit1"/>
          <w:sz w:val="18"/>
        </w:rPr>
      </w:pPr>
      <w:r>
        <w:rPr>
          <w:rStyle w:val="Fontdeparagrafimplicit1"/>
          <w:sz w:val="18"/>
        </w:rPr>
        <w:t xml:space="preserve">- intimata CASA JUDEŢEANĂ DE PENSII </w:t>
      </w:r>
      <w:r w:rsidR="00085E44">
        <w:rPr>
          <w:rStyle w:val="Fontdeparagrafimplicit1"/>
          <w:sz w:val="18"/>
        </w:rPr>
        <w:t>Z</w:t>
      </w:r>
      <w:r>
        <w:rPr>
          <w:rStyle w:val="Fontdeparagrafimplicit1"/>
          <w:sz w:val="18"/>
        </w:rPr>
        <w:t xml:space="preserve">, cu sediul în </w:t>
      </w:r>
      <w:r w:rsidR="00085E44">
        <w:rPr>
          <w:rStyle w:val="Fontdeparagrafimplicit1"/>
          <w:sz w:val="18"/>
        </w:rPr>
        <w:t>X</w:t>
      </w:r>
      <w:r>
        <w:rPr>
          <w:rStyle w:val="Fontdeparagrafimplicit1"/>
          <w:sz w:val="18"/>
        </w:rPr>
        <w:t xml:space="preserve">, strada </w:t>
      </w:r>
      <w:r w:rsidR="00085E44">
        <w:rPr>
          <w:rStyle w:val="Fontdeparagrafimplicit1"/>
          <w:sz w:val="18"/>
        </w:rPr>
        <w:t>...</w:t>
      </w:r>
      <w:r>
        <w:rPr>
          <w:rStyle w:val="Fontdeparagrafimplicit1"/>
          <w:sz w:val="18"/>
        </w:rPr>
        <w:t xml:space="preserve">, nr. </w:t>
      </w:r>
      <w:r w:rsidR="00085E44">
        <w:rPr>
          <w:rStyle w:val="Fontdeparagrafimplicit1"/>
          <w:sz w:val="18"/>
        </w:rPr>
        <w:t>...</w:t>
      </w:r>
      <w:r>
        <w:rPr>
          <w:rStyle w:val="Fontdeparagrafimplicit1"/>
          <w:sz w:val="18"/>
        </w:rPr>
        <w:t xml:space="preserve">, jud. </w:t>
      </w:r>
      <w:r w:rsidR="00085E44">
        <w:rPr>
          <w:rStyle w:val="Fontdeparagrafimplicit1"/>
          <w:sz w:val="18"/>
        </w:rPr>
        <w:t>Z</w:t>
      </w:r>
    </w:p>
    <w:p w14:paraId="02684223" w14:textId="77777777" w:rsidR="00690002" w:rsidRDefault="00690002">
      <w:pPr>
        <w:jc w:val="both"/>
        <w:rPr>
          <w:rStyle w:val="Fontdeparagrafimplicit1"/>
          <w:b/>
          <w:sz w:val="18"/>
          <w:u w:val="single"/>
        </w:rPr>
      </w:pPr>
    </w:p>
    <w:bookmarkEnd w:id="0"/>
    <w:p w14:paraId="74BDDCFA" w14:textId="77777777" w:rsidR="00690002" w:rsidRDefault="00690002">
      <w:pPr>
        <w:rPr>
          <w:rStyle w:val="Fontdeparagrafimplicit1"/>
        </w:rPr>
      </w:pPr>
    </w:p>
    <w:sectPr w:rsidR="00690002">
      <w:footerReference w:type="default" r:id="rId7"/>
      <w:pgSz w:w="11906" w:h="16838"/>
      <w:pgMar w:top="1135" w:right="1417" w:bottom="993"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91640" w14:textId="77777777" w:rsidR="0086511B" w:rsidRDefault="0086511B">
      <w:r>
        <w:separator/>
      </w:r>
    </w:p>
  </w:endnote>
  <w:endnote w:type="continuationSeparator" w:id="0">
    <w:p w14:paraId="7E54B1AA" w14:textId="77777777" w:rsidR="0086511B" w:rsidRDefault="0086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667B6" w14:textId="77777777" w:rsidR="00690002" w:rsidRDefault="0086511B">
    <w:pPr>
      <w:pStyle w:val="Subsol1"/>
      <w:jc w:val="center"/>
    </w:pPr>
    <w:r>
      <w:fldChar w:fldCharType="begin"/>
    </w:r>
    <w:r>
      <w:instrText>PAGE   \* MERGEFORMAT</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D2EF" w14:textId="77777777" w:rsidR="0086511B" w:rsidRDefault="0086511B">
      <w:r>
        <w:separator/>
      </w:r>
    </w:p>
  </w:footnote>
  <w:footnote w:type="continuationSeparator" w:id="0">
    <w:p w14:paraId="4EF1145C" w14:textId="77777777" w:rsidR="0086511B" w:rsidRDefault="008651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942922&amp;id_departament=2&amp;id_sesiune=718999&amp;id_user=181&amp;id_institutie=35&amp;actiune=modifica"/>
  </w:docVars>
  <w:rsids>
    <w:rsidRoot w:val="00690002"/>
    <w:rsid w:val="00085E44"/>
    <w:rsid w:val="001547EA"/>
    <w:rsid w:val="003A4B2C"/>
    <w:rsid w:val="00531C70"/>
    <w:rsid w:val="005C79F7"/>
    <w:rsid w:val="00690002"/>
    <w:rsid w:val="0086511B"/>
    <w:rsid w:val="00D4387E"/>
    <w:rsid w:val="00E73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3A298"/>
  <w15:docId w15:val="{2554F12E-B939-480A-A484-4937787EE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rPr>
      <w:rFonts w:ascii="Calibri" w:hAnsi="Calibri"/>
      <w:sz w:val="22"/>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nsultantavocat.ro/termenel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2697</Words>
  <Characters>15645</Characters>
  <Application>Microsoft Office Word</Application>
  <DocSecurity>0</DocSecurity>
  <Lines>130</Lines>
  <Paragraphs>36</Paragraphs>
  <ScaleCrop>false</ScaleCrop>
  <Manager/>
  <Company/>
  <LinksUpToDate>false</LinksUpToDate>
  <CharactersWithSpaces>18306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2026-09-03T13:02:00Z</dcterms:created>
  <dcterms:modified xsi:type="dcterms:W3CDTF">2026-09-03T13:02:00Z</dcterms:modified>
  <cp:category/>
  <dc:identifier/>
  <cp:contentStatus/>
  <dc:language/>
  <cp:version/>
</cp:coreProperties>
</file>