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6</w:t>
      </w:r>
    </w:p>
    <w:p>
      <w:pPr>
        <w:pStyle w:val="Normal"/>
        <w:rPr>
          <w:b/>
        </w:rPr>
      </w:pPr>
      <w:r>
        <w:rPr>
          <w:rStyle w:val="Fontdeparagrafimplicit"/>
          <w:b/>
        </w:rPr>
        <w:t>Dosar nr. D1</w:t>
      </w:r>
    </w:p>
    <w:p>
      <w:pPr>
        <w:pStyle w:val="Normal"/>
        <w:jc w:val="center"/>
        <w:rPr>
          <w:b/>
        </w:rPr>
      </w:pPr>
      <w:r>
        <w:rPr>
          <w:rStyle w:val="Fontdeparagrafimplicit"/>
          <w:b/>
        </w:rPr>
        <w:t>R O M Â N I A</w:t>
      </w:r>
    </w:p>
    <w:p>
      <w:pPr>
        <w:pStyle w:val="Normal"/>
        <w:jc w:val="center"/>
        <w:rPr>
          <w:b/>
        </w:rPr>
      </w:pPr>
      <w:r>
        <w:rPr>
          <w:b/>
        </w:rPr>
      </w:r>
    </w:p>
    <w:p>
      <w:pPr>
        <w:pStyle w:val="Normal"/>
        <w:jc w:val="center"/>
        <w:rPr>
          <w:b/>
        </w:rPr>
      </w:pPr>
      <w:r>
        <w:rPr>
          <w:rStyle w:val="Fontdeparagrafimplicit"/>
          <w:b/>
        </w:rPr>
        <w:t>CURTEA DE APEL ....</w:t>
      </w:r>
    </w:p>
    <w:p>
      <w:pPr>
        <w:pStyle w:val="Normal"/>
        <w:jc w:val="center"/>
        <w:rPr>
          <w:b/>
          <w:lang w:val="en-US"/>
        </w:rPr>
      </w:pPr>
      <w:r>
        <w:rPr>
          <w:rStyle w:val="Fontdeparagrafimplicit"/>
          <w:b/>
        </w:rPr>
        <w:t>SECŢIA ....</w:t>
      </w:r>
    </w:p>
    <w:p>
      <w:pPr>
        <w:pStyle w:val="Normal"/>
        <w:rPr>
          <w:b/>
        </w:rPr>
      </w:pPr>
      <w:r>
        <w:rPr>
          <w:b/>
        </w:rPr>
      </w:r>
    </w:p>
    <w:p>
      <w:pPr>
        <w:pStyle w:val="Normal"/>
        <w:jc w:val="center"/>
        <w:rPr>
          <w:b/>
        </w:rPr>
      </w:pPr>
      <w:bookmarkStart w:name="tip_incheiere" w:id="0"/>
      <w:r>
        <w:rPr>
          <w:rStyle w:val="Fontdeparagrafimplicit"/>
          <w:b/>
        </w:rPr>
        <w:t>DECIZIE</w:t>
      </w:r>
      <w:bookmarkEnd w:id="0"/>
      <w:r>
        <w:rPr>
          <w:rStyle w:val="Fontdeparagrafimplicit"/>
          <w:b/>
        </w:rPr>
        <w:t xml:space="preserve"> Nr. ....</w:t>
      </w:r>
    </w:p>
    <w:p>
      <w:pPr>
        <w:pStyle w:val="Normal"/>
        <w:jc w:val="center"/>
        <w:rPr>
          <w:b/>
        </w:rPr>
      </w:pPr>
      <w:r>
        <w:rPr>
          <w:rStyle w:val="Fontdeparagrafimplicit"/>
          <w:b/>
        </w:rPr>
        <w:t>Şedinţa </w:t>
      </w:r>
      <w:bookmarkStart w:name="tip_sedinta" w:id="1"/>
      <w:r>
        <w:rPr>
          <w:rStyle w:val="Fontdeparagrafimplicit"/>
          <w:b/>
        </w:rPr>
        <w:t>publică</w:t>
      </w:r>
      <w:bookmarkEnd w:id="1"/>
      <w:r>
        <w:rPr>
          <w:rStyle w:val="Fontdeparagrafimplicit"/>
          <w:b/>
        </w:rPr>
        <w:t xml:space="preserve"> de la .... </w:t>
      </w:r>
    </w:p>
    <w:p>
      <w:pPr>
        <w:pStyle w:val="Normal"/>
        <w:jc w:val="center"/>
        <w:rPr>
          <w:b/>
        </w:rPr>
      </w:pPr>
      <w:r>
        <w:rPr>
          <w:rStyle w:val="Fontdeparagrafimplicit"/>
          <w:b/>
        </w:rPr>
        <w:t>Instanţa constituită din:</w:t>
      </w:r>
    </w:p>
    <w:p>
      <w:pPr>
        <w:pStyle w:val="Normal"/>
        <w:jc w:val="center"/>
        <w:rPr>
          <w:b/>
        </w:rPr>
      </w:pPr>
      <w:r>
        <w:rPr>
          <w:rStyle w:val="Fontdeparagrafimplicit"/>
          <w:b/>
        </w:rPr>
        <w:t>PREŞEDINTE ...</w:t>
      </w:r>
    </w:p>
    <w:p>
      <w:pPr>
        <w:pStyle w:val="Normal"/>
        <w:jc w:val="center"/>
        <w:rPr>
          <w:b/>
        </w:rPr>
      </w:pPr>
      <w:r>
        <w:rPr>
          <w:rStyle w:val="Fontdeparagrafimplicit"/>
          <w:b/>
        </w:rPr>
        <w:t>Judecător A0006</w:t>
      </w:r>
    </w:p>
    <w:p>
      <w:pPr>
        <w:pStyle w:val="Normal"/>
        <w:jc w:val="center"/>
        <w:rPr>
          <w:b/>
        </w:rPr>
      </w:pPr>
      <w:r>
        <w:rPr>
          <w:rStyle w:val="Fontdeparagrafimplicit"/>
          <w:b/>
        </w:rPr>
        <w:t>Judecător ...</w:t>
      </w:r>
    </w:p>
    <w:p>
      <w:pPr>
        <w:pStyle w:val="Normal"/>
        <w:jc w:val="center"/>
        <w:rPr>
          <w:b/>
        </w:rPr>
      </w:pPr>
      <w:r>
        <w:rPr>
          <w:rStyle w:val="Fontdeparagrafimplicit"/>
          <w:b/>
        </w:rPr>
        <w:t>Grefier ...</w:t>
      </w:r>
    </w:p>
    <w:p>
      <w:pPr>
        <w:pStyle w:val="Normal"/>
        <w:jc w:val="center"/>
        <w:rPr>
          <w:rStyle w:val="Fontdeparagrafimplicit"/>
        </w:rPr>
      </w:pPr>
      <w:r>
        <w:rPr/>
      </w:r>
    </w:p>
    <w:p>
      <w:pPr>
        <w:pStyle w:val="Normal"/>
        <w:jc w:val="center"/>
        <w:rPr>
          <w:rStyle w:val="Fontdeparagrafimplicit"/>
        </w:rPr>
      </w:pPr>
      <w:r>
        <w:rPr/>
      </w:r>
    </w:p>
    <w:p>
      <w:pPr>
        <w:pStyle w:val="Normal"/>
        <w:ind w:firstLine="708"/>
        <w:jc w:val="both"/>
        <w:rPr>
          <w:b/>
        </w:rPr>
      </w:pPr>
      <w:r>
        <w:rPr/>
        <w:t xml:space="preserve">Pe rol, soluționarea </w:t>
      </w:r>
      <w:bookmarkStart w:name="_Hlk163570255" w:id="2"/>
      <w:bookmarkStart w:name="_Hlk158819991" w:id="3"/>
      <w:r>
        <w:rPr/>
        <w:t xml:space="preserve">contestației în anulare </w:t>
      </w:r>
      <w:bookmarkEnd w:id="3"/>
      <w:r>
        <w:rPr/>
        <w:t xml:space="preserve">formulate de </w:t>
      </w:r>
      <w:bookmarkStart w:name="_Hlk29983462" w:id="4"/>
      <w:bookmarkStart w:name="_Hlk56519953" w:id="5"/>
      <w:bookmarkStart w:name="_Hlk25578309" w:id="6"/>
      <w:bookmarkStart w:name="_Hlk20296562" w:id="7"/>
      <w:bookmarkStart w:name="_Hlk20990416" w:id="8"/>
      <w:bookmarkStart w:name="_Hlk163574468" w:id="9"/>
      <w:r>
        <w:rPr/>
        <w:t xml:space="preserve">contestatoarea </w:t>
      </w:r>
      <w:bookmarkEnd w:id="9"/>
      <w:r>
        <w:rPr>
          <w:rStyle w:val="Fontdeparagrafimplicit"/>
          <w:b/>
        </w:rPr>
        <w:t>A1</w:t>
      </w:r>
      <w:r>
        <w:rPr/>
        <w:t xml:space="preserve">, </w:t>
      </w:r>
      <w:r>
        <w:rPr>
          <w:rStyle w:val="Fontdeparagrafimplicit"/>
          <w:b/>
        </w:rPr>
        <w:t>în calitate de reprezentant legal al minorului A2</w:t>
      </w:r>
      <w:r>
        <w:rPr/>
        <w:t>, în contradictoriu cu</w:t>
      </w:r>
      <w:bookmarkEnd w:id="5"/>
      <w:bookmarkEnd w:id="6"/>
      <w:bookmarkEnd w:id="7"/>
      <w:bookmarkEnd w:id="8"/>
      <w:r>
        <w:rPr>
          <w:rStyle w:val="Fontdeparagrafimplicit"/>
          <w:b/>
        </w:rPr>
        <w:t xml:space="preserve"> </w:t>
      </w:r>
      <w:r>
        <w:rPr/>
        <w:t xml:space="preserve">intimatele </w:t>
      </w:r>
      <w:r>
        <w:rPr>
          <w:rStyle w:val="Fontdeparagrafimplicit"/>
          <w:b/>
        </w:rPr>
        <w:t xml:space="preserve">Unitatea Administrativ-Teritorială B1 </w:t>
      </w:r>
      <w:r>
        <w:rPr/>
        <w:t>şi</w:t>
      </w:r>
      <w:r>
        <w:rPr>
          <w:rStyle w:val="Fontdeparagrafimplicit"/>
          <w:b/>
        </w:rPr>
        <w:t xml:space="preserve"> Şcoala Gimnazială nr. 1 B1</w:t>
      </w:r>
      <w:r>
        <w:rPr/>
        <w:t xml:space="preserve">, împotriva deciziei nr. </w:t>
      </w:r>
      <w:bookmarkStart w:name="_Hlk158820812" w:id="10"/>
      <w:bookmarkStart w:name="_Hlk20296462" w:id="11"/>
      <w:bookmarkStart w:name="_Hlk29983392" w:id="12"/>
      <w:bookmarkStart w:name="_Hlk51324496" w:id="13"/>
      <w:bookmarkStart w:name="_Hlk25578262" w:id="14"/>
      <w:bookmarkStart w:name="_Hlk34051356" w:id="15"/>
      <w:bookmarkStart w:name="_Hlk20991303" w:id="16"/>
      <w:bookmarkStart w:name="_Hlk53131915" w:id="17"/>
      <w:r>
        <w:rPr/>
        <w:t xml:space="preserve">...9/2024 din data de ...., pronunţată de Curtea de Apel ...., Secția ...., în dosarul nr. </w:t>
      </w:r>
      <w:bookmarkEnd w:id="10"/>
      <w:bookmarkEnd w:id="11"/>
      <w:bookmarkEnd w:id="12"/>
      <w:bookmarkEnd w:id="13"/>
      <w:bookmarkEnd w:id="14"/>
      <w:bookmarkEnd w:id="15"/>
      <w:bookmarkEnd w:id="16"/>
      <w:bookmarkEnd w:id="17"/>
      <w:r>
        <w:rPr/>
        <w:t>D2, având ca obiect „refuz acordare drepturi protecţie sociala (persoane cu handicap, protecția copilului)”.</w:t>
      </w:r>
      <w:bookmarkEnd w:id="2"/>
      <w:bookmarkEnd w:id="4"/>
    </w:p>
    <w:p>
      <w:pPr>
        <w:pStyle w:val="Normal"/>
        <w:ind w:firstLine="709"/>
        <w:jc w:val="both"/>
        <w:rPr/>
      </w:pPr>
      <w:r>
        <w:rPr/>
        <w:t>La apelul nominal, făcut în ședința publică, părțile nu au răspuns.</w:t>
      </w:r>
    </w:p>
    <w:p>
      <w:pPr>
        <w:pStyle w:val="Normal"/>
        <w:ind w:firstLine="708"/>
        <w:jc w:val="both"/>
        <w:rPr/>
      </w:pPr>
      <w:r>
        <w:rPr/>
        <w:t>Procedura de citare a părților nu este legal îndeplinită.</w:t>
      </w:r>
    </w:p>
    <w:p>
      <w:pPr>
        <w:pStyle w:val="Normal"/>
        <w:ind w:firstLine="708"/>
        <w:jc w:val="both"/>
        <w:rPr/>
      </w:pPr>
      <w:r>
        <w:rPr/>
        <w:t xml:space="preserve">S-a făcut referatul cauzei de către grefierul de şedinţă, după care, instanţa constată cauza în stare de judecată şi o reţine spre soluţionare. </w:t>
      </w:r>
    </w:p>
    <w:p>
      <w:pPr>
        <w:pStyle w:val="Normal"/>
        <w:jc w:val="both"/>
        <w:rPr/>
      </w:pPr>
      <w:r>
        <w:rPr/>
      </w:r>
    </w:p>
    <w:p>
      <w:pPr>
        <w:pStyle w:val="Normal"/>
        <w:jc w:val="center"/>
        <w:rPr>
          <w:b/>
        </w:rPr>
      </w:pPr>
      <w:r>
        <w:rPr>
          <w:rStyle w:val="Fontdeparagrafimplicit"/>
          <w:b/>
        </w:rPr>
        <w:t>CURTEA</w:t>
      </w:r>
    </w:p>
    <w:p>
      <w:pPr>
        <w:pStyle w:val="Normal"/>
        <w:jc w:val="center"/>
        <w:rPr>
          <w:rStyle w:val="Fontdeparagrafimplicit"/>
        </w:rPr>
      </w:pPr>
      <w:r>
        <w:rPr/>
      </w:r>
    </w:p>
    <w:p>
      <w:pPr>
        <w:pStyle w:val="Normal"/>
        <w:ind w:firstLine="708"/>
        <w:jc w:val="both"/>
        <w:rPr>
          <w:color w:val="000000"/>
        </w:rPr>
      </w:pPr>
      <w:r>
        <w:rPr>
          <w:rStyle w:val="Fontdeparagrafimplicit"/>
          <w:color w:val="000000"/>
        </w:rPr>
        <w:t>Deliberând asupra contestaţiei în anulare declarată, constată următoarele:</w:t>
      </w:r>
    </w:p>
    <w:p>
      <w:pPr>
        <w:pStyle w:val="Normal"/>
        <w:ind w:firstLine="709"/>
        <w:jc w:val="both"/>
        <w:rPr/>
      </w:pPr>
      <w:bookmarkStart w:name="_Hlk166820758" w:id="18"/>
      <w:r>
        <w:rPr>
          <w:rStyle w:val="Fontdeparagrafimplicit"/>
          <w:color w:val="000000"/>
        </w:rPr>
        <w:t xml:space="preserve">Prin </w:t>
      </w:r>
      <w:r>
        <w:rPr/>
        <w:t>decizia nr. ...9/2024 din data de ...., pronunţată de Curtea de Apel ..., Secția ...., în dosarul nr. D2, s-a respins recursul, formulat de recurenta reclamantă A1, în calitate de reprezentant legal al minorului A2, împotriva sentinței civile nr. SC2 din data de ...,</w:t>
      </w:r>
      <w:r>
        <w:rPr>
          <w:rStyle w:val="Fontdeparagrafimplicit"/>
          <w:b/>
        </w:rPr>
        <w:t xml:space="preserve"> </w:t>
      </w:r>
      <w:r>
        <w:rPr/>
        <w:t>pronunțată de Tribunalul ...- Secția de ...., în dosarul nr.D2, în contradictoriu cu intimatele pârâte ŞCOALA GIMNAZIALĂ NR.1 B1 şi UNITATEA ADMINISTRATIV TERITORIALĂ B1, ca tardiv formulat.</w:t>
      </w:r>
      <w:bookmarkEnd w:id="18"/>
    </w:p>
    <w:p>
      <w:pPr>
        <w:pStyle w:val="Normal"/>
        <w:ind w:firstLine="709"/>
        <w:jc w:val="both"/>
        <w:rPr/>
      </w:pPr>
      <w:r>
        <w:rPr/>
        <w:t>Împotriva acestei decizii a formulat contestație în anulare contestatoarea A1, în calitate de reprezentant legal al minorului A2, solicitând ca prin decizia ce se va pronunța într-o prima teza, in temeiul art. 503 alin.2 C.pr. civila coroborat cu art. 508 alin.3 C.pr. civ. sa se dispună admiterea contestației in anulare, anularea deciziei atacate si rejudecand admiterea recursului asa cum a fost formulat, iar într-o teza subsidiara, anularea hotărârii atacate si daca soluționarea cauzei la același termen de judecata nu este posibila, fixarea unui termen in vederea soluționării recursului printr-o noua hotărâre.</w:t>
      </w:r>
    </w:p>
    <w:p>
      <w:pPr>
        <w:pStyle w:val="Normal"/>
        <w:ind w:firstLine="709"/>
        <w:jc w:val="both"/>
        <w:rPr/>
      </w:pPr>
      <w:r>
        <w:rPr/>
        <w:t>In fapt, prin decizia nr. DC1/.... pronunțata de Curtea de Apel ... - Secția ... a fost respins recursul declarat impotriva sentinței civile nr. SC2 din ..., pronunțata de Tribunalul ...-Sectia ..., ca tardiv formulat, retinandu-se in esența ca, termenul in care putea fi exercitata calea de atac promovata a fost depășit, astfel ca a intervenit decăderea din dreptul de a mai promova calea de atac, cu consecința respingerii acesteia ca tardiv formulata, in raport de prevederile art. 185 alin. 1 coroborat cu art. 485 C.pr. civila.</w:t>
      </w:r>
    </w:p>
    <w:p>
      <w:pPr>
        <w:pStyle w:val="Normal"/>
        <w:ind w:firstLine="709"/>
        <w:jc w:val="both"/>
        <w:rPr/>
      </w:pPr>
      <w:r>
        <w:rPr/>
        <w:t>În considerentele hotărârii se retine ca potrivit dovezilor de la dosarul cauzei ar rezulta ca hotărârea atacata ar fi fost comunicata la data de 08.07.2023 si cum recursul a fost declarat la data de 25.07.2023, s-ar fi depășit termenul de recurs de 15 zile, aşa cum este prevăzut de art. 20 alin.l din Legea nr. 554/2004 .</w:t>
      </w:r>
    </w:p>
    <w:p>
      <w:pPr>
        <w:pStyle w:val="Normal"/>
        <w:ind w:firstLine="709"/>
        <w:jc w:val="both"/>
        <w:rPr/>
      </w:pPr>
      <w:r>
        <w:rPr/>
        <w:t>Contestatoarea arată ca in speța de fata este incident motivul contestației in anulare prevăzut de art. 503 alin.2 C.pr. civila, întrucat este vorba despre o eroare materială, susceptibilă sa duca la retractarea hotărârii, greșeala involuntara, de ordin formal, procedural care a influențat, de o maniera determinanta, pronunțarea soluției data recursului promovat de împotriva sentinței nr. SC2 din ..., pronunțata de Tribunalul ..., in dosarul nr. D2, astfel ca devine aplicabila dispoziția mai sus evocata, care condiționează admisibilitatea contestației in anulare de faptul ca soluția instanței este rezultatul acestei greșeli materiale.</w:t>
      </w:r>
    </w:p>
    <w:p>
      <w:pPr>
        <w:pStyle w:val="Normal"/>
        <w:ind w:firstLine="709"/>
        <w:jc w:val="both"/>
        <w:rPr/>
      </w:pPr>
      <w:r>
        <w:rPr/>
        <w:t>Cu toate ca în considerentele hotărârii se menționează, ca potrivit procesului-verbal de înmânare existent la fila 192 din dosarul de fond, hotărârea atacata împotriva căreia a promovat calea de atac i-ar fi fost comunicata la data de 08.07.2023, aceste pretinse dovezi nu corespund realității, in condițiile in care conform datelor de pe plicul original prin care i-a fost comunicata hotărârea, care cuprinde si stampila poștei de la Oficiul Postai B1, se poate decela cu ușurința ca data este cea de 10.07.2023, iar nu cea de 08.07.2023.</w:t>
      </w:r>
    </w:p>
    <w:p>
      <w:pPr>
        <w:pStyle w:val="Normal"/>
        <w:ind w:firstLine="709"/>
        <w:jc w:val="both"/>
        <w:rPr/>
      </w:pPr>
      <w:r>
        <w:rPr/>
        <w:t>In acest context, după primirea hotărârii de la Curtea de Apel .... si observând neconcordantele ce vizează dovada de primire a hotărârii atacate, contestatoarea s-a adresat Oficiului Postal B1 pentru a i se comunica un punct de vedere cu privire la modalitatea de comunicare a hotărârii de la Tribunalul ... in luna iulie a anului trecut, iar potrivit mențiunilor inserate in cuprinsul Adeverinței nr. ..../04.03.2024 reiese fara echivoc ca hotărârea i-a fost predata conform listei de distribuire F8 prin lăsare la cutia poștala in data de 10.07.2023.</w:t>
      </w:r>
    </w:p>
    <w:p>
      <w:pPr>
        <w:pStyle w:val="Normal"/>
        <w:ind w:firstLine="709"/>
        <w:jc w:val="both"/>
        <w:rPr/>
      </w:pPr>
      <w:r>
        <w:rPr/>
        <w:t>Or, cat timp pe plicul original - pe care îl anexează prezentei, exista doua date (fata- verso), respectiv data de 07.07.2023 - unde se ragaseste stampila Oficiului Postal ... si data de 10.07.2023 - unde se regăsește stampila Oficiului Postal B1, rezulta fara putinta de tagada ca hotararea atacata nu putea sa fie comunicata in data de 08.07.2023, anterior primirii acesteia de către Oficiul Postal B1.</w:t>
      </w:r>
    </w:p>
    <w:p>
      <w:pPr>
        <w:pStyle w:val="Normal"/>
        <w:ind w:firstLine="709"/>
        <w:jc w:val="both"/>
        <w:rPr/>
      </w:pPr>
      <w:r>
        <w:rPr/>
        <w:t>Mai mult decât atat, verificând data de 08.07.2023 in calendar, a constatat ca aceasta corespunde unei zile nelucrătoare, astfel ca nici nu putea obiectiv sa se îndeplinească un act de procedura in afara programului de lucru.</w:t>
      </w:r>
    </w:p>
    <w:p>
      <w:pPr>
        <w:pStyle w:val="Normal"/>
        <w:ind w:firstLine="709"/>
        <w:jc w:val="both"/>
        <w:rPr/>
      </w:pPr>
      <w:r>
        <w:rPr/>
        <w:t>In raport de aceste împrejurări, susţine ca acel proces-verbal la care face referire instanța de recurs, existent la dosarului cauzei face dovada comunicării unei hotărâri care nu o vizează pe contestatoare, in raport de înscrisurile pe care le deține si care probează întocmai data la care i-a fost comunicata hotărârea pronunțata de Tribunalul ....</w:t>
      </w:r>
    </w:p>
    <w:p>
      <w:pPr>
        <w:pStyle w:val="Normal"/>
        <w:ind w:firstLine="709"/>
        <w:jc w:val="both"/>
        <w:rPr/>
      </w:pPr>
      <w:r>
        <w:rPr/>
        <w:t>În drept şi-a întemeiat contestația pe disp. art. 503 alin.2 C.pr. civila si art. 508 alin.3 C.pr. civila, iar in probatiune a solicitat incvuviintarea probei cu înscrisurile anexatei prezentei, respectiv - plicul in original prin intermediul căruia i s-a comunicat sentința nr. SC2 din ... pronunțata de Tribunalul ..., in dosarul nr. D2 si Adeverința nr. .... /04.03.2024 emisa de Oficiul Județean de Posta ...- Oficiul Postai B1.</w:t>
      </w:r>
    </w:p>
    <w:p>
      <w:pPr>
        <w:pStyle w:val="Normal"/>
        <w:ind w:firstLine="720"/>
        <w:jc w:val="both"/>
        <w:rPr>
          <w:b/>
        </w:rPr>
      </w:pPr>
      <w:r>
        <w:rPr>
          <w:rStyle w:val="Fontdeparagrafimplicit"/>
          <w:b/>
        </w:rPr>
        <w:t xml:space="preserve">Examinând contestaţia în anulare prin prisma motivelor formulate şi dispoziţiilor legale incidente în cauză, Curtea constată că: </w:t>
      </w:r>
    </w:p>
    <w:p>
      <w:pPr>
        <w:pStyle w:val="Normal"/>
        <w:ind w:firstLine="720"/>
        <w:jc w:val="both"/>
        <w:rPr/>
      </w:pPr>
      <w:r>
        <w:rPr>
          <w:rStyle w:val="Fontdeparagrafimplicit"/>
          <w:b/>
        </w:rPr>
        <w:t xml:space="preserve">Potrivit art. 503 alineat 2 punctul 2 din Codul de procedură civilă </w:t>
      </w:r>
      <w:r>
        <w:rPr/>
        <w:t>(2) Hotărârile instanţelor de recurs mai pot fi atacate cu contestaţie în anulare atunci când: 2. dezlegarea dată recursului este rezultatul unei erori materiale.</w:t>
      </w:r>
    </w:p>
    <w:p>
      <w:pPr>
        <w:pStyle w:val="Normal"/>
        <w:ind w:firstLine="709"/>
        <w:jc w:val="both"/>
        <w:rPr/>
      </w:pPr>
      <w:r>
        <w:rPr>
          <w:rStyle w:val="Fontdeparagrafimplicit"/>
          <w:color w:val="000000"/>
        </w:rPr>
        <w:t xml:space="preserve">Prin </w:t>
      </w:r>
      <w:r>
        <w:rPr/>
        <w:t>decizia nr. ...9/2024 din data de ...., pronunţată de Curtea de Apel ...., s-a respins recursul, formulat de recurenta reclamantă A1, în calitate de reprezentant legal al minorului A2, ca tardiv formulat.</w:t>
      </w:r>
    </w:p>
    <w:p>
      <w:pPr>
        <w:pStyle w:val="Normal"/>
        <w:ind w:firstLine="709"/>
        <w:jc w:val="both"/>
        <w:rPr/>
      </w:pPr>
      <w:r>
        <w:rPr/>
        <w:t>Art. 503 alin. (2) pct. 2 din C. proc. civ. statuează că  reprezintă eroare materială susceptibilă să ducă la retractarea hotărârii, greşeala involuntară, de ordin formal, procedural care a influenţat, de o manieră determinantă, pronunţarea soluţiei dată recursului promovat de părâtă, astfel încât este incidentă dispoziţia mai-sus amintită, care condiţionează admisibilitatea contestaţiei în anulare de faptul ca soluţia instanţei să fie rezultatul acelei greşeli materiale.</w:t>
      </w:r>
    </w:p>
    <w:p>
      <w:pPr>
        <w:pStyle w:val="Normal"/>
        <w:ind w:firstLine="709"/>
        <w:jc w:val="both"/>
        <w:rPr/>
      </w:pPr>
      <w:r>
        <w:rPr/>
        <w:t>Mai mult decât atât, fiind legată de aspectele formale ale judecării recursului nu este de natură să conducă la o reexaminare a fondului sau o reapreciere a probelor, referindu-se, printre altele, la neobservarea de către instanţă a unui act de procedură cu privire la care nu s-a făcut nicio judecată.</w:t>
      </w:r>
    </w:p>
    <w:p>
      <w:pPr>
        <w:pStyle w:val="Normal"/>
        <w:ind w:firstLine="709"/>
        <w:jc w:val="both"/>
        <w:rPr/>
      </w:pPr>
      <w:r>
        <w:rPr/>
        <w:t>Greşelile materiale se apreciază în raport cu datele existente la dosarul cauzei la momentul pronunţării, deoarece numai în aceste condiţii se poate stabili dacă soluţia dată în recurs este sau nu rezultatul unei greşeli materiale.</w:t>
      </w:r>
    </w:p>
    <w:p>
      <w:pPr>
        <w:pStyle w:val="Normal"/>
        <w:ind w:firstLine="709"/>
        <w:jc w:val="both"/>
        <w:rPr/>
      </w:pPr>
      <w:r>
        <w:rPr/>
        <w:t>Cu toate ca în considerentele hotărârii se menționează, ca potrivit procesului-verbal de înmânare existent la fila 192 din dosarul de fond, hotărârea atacata împotriva căreia a promovat calea de atac a fost comunicata la data de 08.07.2023, conform datelor de pe plicul original prin care i-a fost comunicata hotărârea, care cuprinde si stampila poștei de la Oficiul Postai B1, data este 10.07.2023, dată faţă de care, calea de atac este în termen.</w:t>
      </w:r>
    </w:p>
    <w:p>
      <w:pPr>
        <w:pStyle w:val="Normal"/>
        <w:ind w:firstLine="709"/>
        <w:jc w:val="both"/>
        <w:rPr/>
      </w:pPr>
      <w:r>
        <w:rPr/>
        <w:t>Curtea  apreciază şi că nu este incident finele de neprimire al înscrierii în fals cu privire la procesul-verbal privind dovada de comunicare a hotărârii, având în vedere că art.304 din Codul de procedură civilă reglementează denunţarea înscrisului ca fals care are ca şi componentă „ falsificarea scrierii sau semnăturii”, în cauză considerându-se că este o simplă eroare materială de completare a datei, iar nu o acţiune intenţionată de falsificare a datei.</w:t>
      </w:r>
    </w:p>
    <w:p>
      <w:pPr>
        <w:pStyle w:val="Normal"/>
        <w:ind w:firstLine="709"/>
        <w:jc w:val="both"/>
        <w:rPr/>
      </w:pPr>
      <w:r>
        <w:rPr/>
        <w:t>Faţă de cele ce preced, Curtea, în temeiul art. 508 alin. (3) din C. proc. civ., va admite, contestaţia în anulare formulată de contestatoarea A1, în calitate de reprezentant legal al minorului A2, va anula, decizia atacată, şi, întrucât soluţionarea cauzei la acest termen nu este posibilă, se va stabili la 17 mai 2024 termen de fond.</w:t>
      </w:r>
    </w:p>
    <w:p>
      <w:pPr>
        <w:pStyle w:val="Normal"/>
        <w:jc w:val="both"/>
        <w:rPr>
          <w:color w:val="000000"/>
        </w:rPr>
      </w:pPr>
      <w:r>
        <w:rPr>
          <w:color w:val="000000"/>
        </w:rPr>
      </w:r>
    </w:p>
    <w:p>
      <w:pPr>
        <w:pStyle w:val="Normal"/>
        <w:jc w:val="center"/>
        <w:rPr>
          <w:b/>
        </w:rPr>
      </w:pPr>
      <w:r>
        <w:rPr>
          <w:rStyle w:val="Fontdeparagrafimplicit"/>
          <w:b/>
        </w:rPr>
        <w:t>PENTRU ACESTE MOTIVE,</w:t>
        <w:br/>
        <w:t>ÎN NUMELE LEGII</w:t>
      </w:r>
    </w:p>
    <w:p>
      <w:pPr>
        <w:pStyle w:val="Normal"/>
        <w:jc w:val="center"/>
        <w:rPr>
          <w:b/>
        </w:rPr>
      </w:pPr>
      <w:r>
        <w:rPr>
          <w:b/>
        </w:rPr>
      </w:r>
    </w:p>
    <w:p>
      <w:pPr>
        <w:pStyle w:val="Normal"/>
        <w:jc w:val="center"/>
        <w:rPr/>
      </w:pPr>
      <w:r>
        <w:rPr>
          <w:rStyle w:val="Fontdeparagrafimplicit"/>
          <w:b/>
        </w:rPr>
        <w:t>DECIDE</w:t>
      </w:r>
    </w:p>
    <w:p>
      <w:pPr>
        <w:pStyle w:val="Normal"/>
        <w:rPr>
          <w:rStyle w:val="Fontdeparagrafimplicit"/>
        </w:rPr>
      </w:pPr>
      <w:r>
        <w:rPr/>
      </w:r>
    </w:p>
    <w:p>
      <w:pPr>
        <w:pStyle w:val="Normal"/>
        <w:ind w:firstLine="708"/>
        <w:jc w:val="both"/>
        <w:rPr>
          <w:color w:val="000000"/>
        </w:rPr>
      </w:pPr>
      <w:r>
        <w:rPr>
          <w:rStyle w:val="Fontdeparagrafimplicit"/>
          <w:color w:val="000000"/>
        </w:rPr>
        <w:t>Admite contestaţia in anulare</w:t>
      </w:r>
      <w:r>
        <w:rPr/>
        <w:t xml:space="preserve"> formulată de contestatoarea </w:t>
      </w:r>
      <w:r>
        <w:rPr>
          <w:rStyle w:val="Fontdeparagrafimplicit"/>
          <w:b/>
        </w:rPr>
        <w:t>A1</w:t>
      </w:r>
      <w:r>
        <w:rPr/>
        <w:t xml:space="preserve">, </w:t>
      </w:r>
      <w:r>
        <w:rPr>
          <w:rStyle w:val="Fontdeparagrafimplicit"/>
          <w:b/>
        </w:rPr>
        <w:t>în calitate de reprezentant legal al minorului A2</w:t>
      </w:r>
      <w:r>
        <w:rPr/>
        <w:t>, în contradictoriu cu</w:t>
      </w:r>
      <w:r>
        <w:rPr>
          <w:rStyle w:val="Fontdeparagrafimplicit"/>
          <w:b/>
        </w:rPr>
        <w:t xml:space="preserve"> </w:t>
      </w:r>
      <w:r>
        <w:rPr/>
        <w:t xml:space="preserve">intimatele </w:t>
      </w:r>
      <w:r>
        <w:rPr>
          <w:rStyle w:val="Fontdeparagrafimplicit"/>
          <w:b/>
        </w:rPr>
        <w:t xml:space="preserve">Unitatea Administrativ-Teritorială B1 </w:t>
      </w:r>
      <w:r>
        <w:rPr/>
        <w:t>şi</w:t>
      </w:r>
      <w:r>
        <w:rPr>
          <w:rStyle w:val="Fontdeparagrafimplicit"/>
          <w:b/>
        </w:rPr>
        <w:t xml:space="preserve"> Şcoala Gimnazială nr. 1 B1</w:t>
      </w:r>
      <w:r>
        <w:rPr/>
        <w:t>, împotriva deciziei nr. ...9/2024 din data de ...., pronunţată de Curtea de Apel ...., Secția ...., în dosarul nr. D2</w:t>
      </w:r>
      <w:r>
        <w:rPr>
          <w:rStyle w:val="Fontdeparagrafimplicit"/>
          <w:color w:val="000000"/>
        </w:rPr>
        <w:t>.</w:t>
      </w:r>
    </w:p>
    <w:p>
      <w:pPr>
        <w:pStyle w:val="Normal"/>
        <w:ind w:firstLine="708"/>
        <w:jc w:val="both"/>
        <w:rPr>
          <w:color w:val="000000"/>
        </w:rPr>
      </w:pPr>
      <w:r>
        <w:rPr>
          <w:rStyle w:val="Fontdeparagrafimplicit"/>
          <w:color w:val="000000"/>
        </w:rPr>
        <w:t>Anulează decizia nr. DC1/.....</w:t>
      </w:r>
    </w:p>
    <w:p>
      <w:pPr>
        <w:pStyle w:val="Normal"/>
        <w:ind w:firstLine="708"/>
        <w:jc w:val="both"/>
        <w:rPr>
          <w:color w:val="000000"/>
        </w:rPr>
      </w:pPr>
      <w:r>
        <w:rPr>
          <w:rStyle w:val="Fontdeparagrafimplicit"/>
          <w:color w:val="000000"/>
        </w:rPr>
        <w:t>Stabileşte termen pentru soluţionarea recursului la ...., ora 12:00, cu citarea părţilor în şedinţă publică.</w:t>
      </w:r>
    </w:p>
    <w:p>
      <w:pPr>
        <w:pStyle w:val="Normal"/>
        <w:ind w:firstLine="708"/>
        <w:jc w:val="both"/>
        <w:rPr>
          <w:color w:val="000000"/>
        </w:rPr>
      </w:pPr>
      <w:r>
        <w:rPr>
          <w:rStyle w:val="Fontdeparagrafimplicit"/>
          <w:color w:val="000000"/>
        </w:rPr>
        <w:t>Definitivă.</w:t>
      </w:r>
    </w:p>
    <w:p>
      <w:pPr>
        <w:pStyle w:val="Normal"/>
        <w:ind w:firstLine="708"/>
        <w:jc w:val="both"/>
        <w:rPr/>
      </w:pPr>
      <w:r>
        <w:rPr>
          <w:rStyle w:val="Fontdeparagrafimplicit"/>
          <w:color w:val="000000"/>
        </w:rPr>
        <w:t>Pronunţată azi ...., prin punerea soluţiei la dispoziţia părţilor de către grefa instanţei.</w:t>
      </w:r>
    </w:p>
    <w:p>
      <w:pPr>
        <w:pStyle w:val="Normal"/>
        <w:jc w:val="center"/>
        <w:rPr/>
      </w:pPr>
      <w:r>
        <w:rPr/>
      </w:r>
      <w:bookmarkStart w:name="completul_1" w:id="19"/>
      <w:bookmarkStart w:name="completul_1" w:id="20"/>
      <w:bookmarkEnd w:id="20"/>
    </w:p>
    <w:tbl>
      <w:tblPr>
        <w:tblW w:w="8882" w:type="dxa"/>
        <w:jc w:val="center"/>
        <w:tblInd w:w="0" w:type="dxa"/>
        <w:tblLayout w:type="fixed"/>
        <w:tblCellMar>
          <w:top w:w="284" w:type="dxa"/>
          <w:left w:w="108" w:type="dxa"/>
          <w:bottom w:w="284" w:type="dxa"/>
          <w:right w:w="108" w:type="dxa"/>
        </w:tblCellMar>
      </w:tblPr>
      <w:tblGrid>
        <w:gridCol w:w="2963"/>
        <w:gridCol w:w="2960"/>
        <w:gridCol w:w="2959"/>
      </w:tblGrid>
      <w:tr>
        <w:trPr/>
        <w:tc>
          <w:tcPr>
            <w:tcW w:w="2963"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w:t>
            </w:r>
          </w:p>
        </w:tc>
        <w:tc>
          <w:tcPr>
            <w:tcW w:w="2960"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A0006</w:t>
            </w:r>
          </w:p>
        </w:tc>
        <w:tc>
          <w:tcPr>
            <w:tcW w:w="2959"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2963"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2960"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2959"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21"/>
      <w:bookmarkStart w:name="completul_1" w:id="22"/>
      <w:bookmarkEnd w:id="22"/>
    </w:p>
    <w:p>
      <w:pPr>
        <w:pStyle w:val="Normal"/>
        <w:jc w:val="center"/>
        <w:rPr/>
      </w:pPr>
      <w:r>
        <w:rPr/>
      </w:r>
    </w:p>
    <w:p>
      <w:pPr>
        <w:pStyle w:val="Normal"/>
        <w:rPr>
          <w:sz w:val="16"/>
        </w:rPr>
      </w:pPr>
      <w:r>
        <w:rPr>
          <w:rStyle w:val="Fontdeparagrafimplicit"/>
          <w:sz w:val="16"/>
        </w:rPr>
        <w:t>Red. jud. A0006</w:t>
      </w:r>
    </w:p>
    <w:p>
      <w:pPr>
        <w:pStyle w:val="Normal"/>
        <w:rPr>
          <w:sz w:val="16"/>
        </w:rPr>
      </w:pPr>
      <w:r>
        <w:rPr>
          <w:rStyle w:val="Fontdeparagrafimplicit"/>
          <w:sz w:val="16"/>
        </w:rPr>
        <w:t>Tehnored....</w:t>
      </w:r>
    </w:p>
    <w:p>
      <w:pPr>
        <w:pStyle w:val="Normal"/>
        <w:rPr>
          <w:rStyle w:val="Fontdeparagrafimplicit"/>
        </w:rPr>
      </w:pPr>
      <w:r>
        <w:rPr/>
      </w:r>
    </w:p>
    <w:sectPr>
      <w:footerReference w:type="default" r:id="rId2"/>
      <w:type w:val="nextPage"/>
      <w:pgSz w:w="11906" w:h="16838"/>
      <w:pgMar w:top="1440" w:right="1440" w:bottom="1440" w:left="1800"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ubsol"/>
      <w:jc w:val="center"/>
      <w:rPr/>
    </w:pPr>
    <w:r>
      <w:rPr/>
      <w:fldChar w:fldCharType="begin"/>
    </w:r>
    <w:r>
      <w:rPr/>
      <w:instrText xml:space="preserve"> PAGE </w:instrText>
    </w:r>
    <w:r>
      <w:rPr/>
      <w:fldChar w:fldCharType="separate"/>
    </w:r>
    <w:r>
      <w:rPr/>
      <w:t>4</w:t>
    </w:r>
    <w:r>
      <w:rPr/>
      <w:fldChar w:fldCharType="end"/>
    </w:r>
  </w:p>
  <w:p>
    <w:pPr>
      <w:pStyle w:val="Subsol"/>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755501&amp;id_departament=5&amp;id_sesiune=2728452&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
    <w:name w:val="Font de paragraf implicit"/>
    <w:qFormat/>
    <w:rPr/>
  </w:style>
  <w:style w:type="character" w:styleId="AntetCaracter">
    <w:name w:val="Antet Caracter"/>
    <w:link w:val="Antet"/>
    <w:qFormat/>
    <w:rPr/>
  </w:style>
  <w:style w:type="character" w:styleId="SubsolCaracter">
    <w:name w:val="Subsol Caracter"/>
    <w:link w:val="Subsol"/>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u1">
    <w:name w:val="Titlu 1"/>
    <w:basedOn w:val="Normal"/>
    <w:next w:val="Normal"/>
    <w:qFormat/>
    <w:pPr>
      <w:keepNext w:val="true"/>
      <w:numPr>
        <w:ilvl w:val="0"/>
        <w:numId w:val="0"/>
      </w:numPr>
      <w:jc w:val="center"/>
      <w:outlineLvl w:val="0"/>
    </w:pPr>
    <w:rPr>
      <w:b/>
      <w:sz w:val="28"/>
      <w:lang w:val="en-US"/>
    </w:rPr>
  </w:style>
  <w:style w:type="paragraph" w:styleId="NormalWeb">
    <w:name w:val="Normal (Web)"/>
    <w:basedOn w:val="Normal"/>
    <w:qFormat/>
    <w:pPr>
      <w:spacing w:before="280" w:after="280"/>
    </w:pPr>
    <w:rPr/>
  </w:style>
  <w:style w:type="paragraph" w:styleId="Antet">
    <w:name w:val="Antet"/>
    <w:basedOn w:val="Normal"/>
    <w:link w:val="AntetCaracter"/>
    <w:qFormat/>
    <w:pPr>
      <w:tabs>
        <w:tab w:val="clear" w:pos="720"/>
        <w:tab w:val="center" w:pos="4536" w:leader="none"/>
        <w:tab w:val="right" w:pos="9072" w:leader="none"/>
      </w:tabs>
    </w:pPr>
    <w:rPr/>
  </w:style>
  <w:style w:type="paragraph" w:styleId="Subsol">
    <w:name w:val="Subsol"/>
    <w:basedOn w:val="Normal"/>
    <w:link w:val="SubsolCaracter"/>
    <w:qFormat/>
    <w:pPr>
      <w:tabs>
        <w:tab w:val="clear" w:pos="720"/>
        <w:tab w:val="center" w:pos="4536" w:leader="none"/>
        <w:tab w:val="right" w:pos="9072" w:leader="none"/>
      </w:tabs>
    </w:pPr>
    <w:rPr/>
  </w:style>
  <w:style w:type="paragraph" w:styleId="HeaderandFooter">
    <w:name w:val="Header and Footer"/>
    <w:basedOn w:val="Normal"/>
    <w:qFormat/>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Application>LibreOffice/24.2.7.2$Linux_X86_64 LibreOffice_project/420$Build-2</ap:Application>
  <ap:AppVersion>15.0000</ap:AppVersion>
  <ap:Pages>3</ap:Pages>
  <ap:Words>1485</ap:Words>
  <ap:Characters>8144</ap:Characters>
  <ap:CharactersWithSpaces>9578</ap:CharactersWithSpaces>
  <ap:Paragraphs>56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2024-05-17T08:38:00.0000000Z</lastPrinted>
  <revision/>
  <dc:subject/>
  <dc:title/>
  <keywords/>
  <category/>
  <contentStatus/>
  <dc:identifier/>
  <version/>
</coreProperties>
</file>