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6025F" w14:textId="764F261E" w:rsidR="007A5092" w:rsidRDefault="005B7675">
      <w:pPr>
        <w:keepNext/>
        <w:tabs>
          <w:tab w:val="left" w:pos="210"/>
        </w:tabs>
        <w:outlineLvl w:val="2"/>
      </w:pPr>
      <w:r>
        <w:t xml:space="preserve"> </w:t>
      </w:r>
    </w:p>
    <w:p w14:paraId="69D5AC02" w14:textId="5BDC4C7D" w:rsidR="007A5092" w:rsidRDefault="005B7675">
      <w:pPr>
        <w:keepNext/>
        <w:tabs>
          <w:tab w:val="left" w:pos="210"/>
        </w:tabs>
        <w:outlineLvl w:val="2"/>
      </w:pPr>
      <w:r>
        <w:t xml:space="preserve">Dosar nr. </w:t>
      </w:r>
      <w:r w:rsidR="00B92C37">
        <w:t>1</w:t>
      </w:r>
      <w:r>
        <w:t>*</w:t>
      </w:r>
    </w:p>
    <w:p w14:paraId="4534BD17" w14:textId="77777777" w:rsidR="007A5092" w:rsidRDefault="007A5092">
      <w:pPr>
        <w:keepNext/>
        <w:jc w:val="center"/>
        <w:outlineLvl w:val="2"/>
      </w:pPr>
    </w:p>
    <w:p w14:paraId="1346F892" w14:textId="77777777" w:rsidR="007A5092" w:rsidRDefault="005B7675">
      <w:pPr>
        <w:keepNext/>
        <w:jc w:val="center"/>
        <w:outlineLvl w:val="2"/>
      </w:pPr>
      <w:r>
        <w:t>R O M Â N I A</w:t>
      </w:r>
    </w:p>
    <w:p w14:paraId="24BAAB05" w14:textId="77777777" w:rsidR="007A5092" w:rsidRDefault="007A5092">
      <w:pPr>
        <w:jc w:val="center"/>
      </w:pPr>
    </w:p>
    <w:p w14:paraId="283F9837" w14:textId="3D7497E1" w:rsidR="007A5092" w:rsidRDefault="005B7675">
      <w:pPr>
        <w:jc w:val="center"/>
      </w:pPr>
      <w:r>
        <w:t xml:space="preserve">CURTEA DE APEL </w:t>
      </w:r>
      <w:r w:rsidR="00B92C37">
        <w:t xml:space="preserve">............ </w:t>
      </w:r>
    </w:p>
    <w:p w14:paraId="2ABF2EB4" w14:textId="4F22D936" w:rsidR="007A5092" w:rsidRDefault="005B7675">
      <w:pPr>
        <w:jc w:val="center"/>
      </w:pPr>
      <w:r>
        <w:t xml:space="preserve">SECŢIA </w:t>
      </w:r>
      <w:r w:rsidR="00B92C37">
        <w:t>...............</w:t>
      </w:r>
    </w:p>
    <w:p w14:paraId="036F7621" w14:textId="77777777" w:rsidR="007A5092" w:rsidRDefault="007A5092">
      <w:pPr>
        <w:jc w:val="center"/>
      </w:pPr>
    </w:p>
    <w:p w14:paraId="66136F15" w14:textId="0A66397A" w:rsidR="007A5092" w:rsidRDefault="005B7675">
      <w:pPr>
        <w:keepNext/>
        <w:jc w:val="center"/>
        <w:outlineLvl w:val="1"/>
      </w:pPr>
      <w:r>
        <w:t xml:space="preserve">Decizia </w:t>
      </w:r>
      <w:r w:rsidR="00C85096">
        <w:t xml:space="preserve"> </w:t>
      </w:r>
      <w:r>
        <w:t xml:space="preserve"> nr. </w:t>
      </w:r>
      <w:r w:rsidR="00B92C37">
        <w:t>1</w:t>
      </w:r>
    </w:p>
    <w:p w14:paraId="12996115" w14:textId="77777777" w:rsidR="007A5092" w:rsidRDefault="007A5092">
      <w:pPr>
        <w:keepNext/>
        <w:jc w:val="center"/>
        <w:outlineLvl w:val="1"/>
      </w:pPr>
    </w:p>
    <w:p w14:paraId="212E1E0D" w14:textId="2BCD4EC8" w:rsidR="007A5092" w:rsidRDefault="005B7675">
      <w:pPr>
        <w:jc w:val="center"/>
      </w:pPr>
      <w:r>
        <w:t xml:space="preserve">Şedinţa publică din data de </w:t>
      </w:r>
      <w:r w:rsidR="00B92C37">
        <w:t xml:space="preserve">........... </w:t>
      </w:r>
    </w:p>
    <w:p w14:paraId="01438DC7" w14:textId="77777777" w:rsidR="007A5092" w:rsidRDefault="005B7675">
      <w:pPr>
        <w:jc w:val="center"/>
      </w:pPr>
      <w:r>
        <w:t>Curtea constituită din:</w:t>
      </w:r>
    </w:p>
    <w:p w14:paraId="17A2AF7C" w14:textId="2CA2D94B" w:rsidR="007A5092" w:rsidRDefault="005B7675">
      <w:pPr>
        <w:jc w:val="center"/>
      </w:pPr>
      <w:r>
        <w:t xml:space="preserve">Preşedinte: </w:t>
      </w:r>
      <w:r w:rsidR="00B92C37">
        <w:t xml:space="preserve">................ </w:t>
      </w:r>
    </w:p>
    <w:p w14:paraId="5732F79F" w14:textId="2DED8057" w:rsidR="007A5092" w:rsidRDefault="005B7675">
      <w:pPr>
        <w:jc w:val="center"/>
      </w:pPr>
      <w:r>
        <w:t xml:space="preserve">Judecător: </w:t>
      </w:r>
      <w:r w:rsidR="00B92C37">
        <w:t>A0008</w:t>
      </w:r>
    </w:p>
    <w:p w14:paraId="5952705B" w14:textId="3784B207" w:rsidR="007A5092" w:rsidRDefault="005B7675">
      <w:pPr>
        <w:jc w:val="center"/>
      </w:pPr>
      <w:r>
        <w:t xml:space="preserve">Judecător: </w:t>
      </w:r>
      <w:r w:rsidR="00B92C37">
        <w:t xml:space="preserve">............... </w:t>
      </w:r>
    </w:p>
    <w:p w14:paraId="4AAD3045" w14:textId="6FFBF244" w:rsidR="007A5092" w:rsidRDefault="005B7675">
      <w:pPr>
        <w:jc w:val="center"/>
      </w:pPr>
      <w:r>
        <w:t xml:space="preserve">Grefier: </w:t>
      </w:r>
      <w:r w:rsidR="00B92C37">
        <w:t xml:space="preserve">............... </w:t>
      </w:r>
    </w:p>
    <w:p w14:paraId="71219F67" w14:textId="77777777" w:rsidR="007A5092" w:rsidRDefault="007A5092"/>
    <w:p w14:paraId="31ED388A" w14:textId="2FBD45CB" w:rsidR="007A5092" w:rsidRDefault="005B7675">
      <w:pPr>
        <w:ind w:firstLine="684"/>
        <w:jc w:val="both"/>
        <w:rPr>
          <w:rStyle w:val="Fontdeparagrafimplicit1"/>
          <w:color w:val="000000"/>
        </w:rPr>
      </w:pPr>
      <w:r>
        <w:tab/>
        <w:t xml:space="preserve">Pe rol se află soluţionarea cererii de recurs formulată de recurenta – reclamantă SC </w:t>
      </w:r>
      <w:r w:rsidR="00B92C37">
        <w:t xml:space="preserve">1 </w:t>
      </w:r>
      <w:r>
        <w:t xml:space="preserve"> SRL </w:t>
      </w:r>
      <w:r w:rsidR="00B92C37">
        <w:t xml:space="preserve">............ </w:t>
      </w:r>
      <w:r>
        <w:t>, împotriva sentinţei civile nr.</w:t>
      </w:r>
      <w:r w:rsidR="00B92C37">
        <w:t xml:space="preserve">......./........... </w:t>
      </w:r>
      <w:r>
        <w:t xml:space="preserve">, pronunţată </w:t>
      </w:r>
      <w:r>
        <w:rPr>
          <w:rStyle w:val="Fontdeparagrafimplicit1"/>
          <w:color w:val="000000"/>
        </w:rPr>
        <w:t xml:space="preserve">de Tribunalul </w:t>
      </w:r>
      <w:r w:rsidR="00B92C37">
        <w:rPr>
          <w:rStyle w:val="Fontdeparagrafimplicit1"/>
          <w:color w:val="000000"/>
        </w:rPr>
        <w:t xml:space="preserve">............. </w:t>
      </w:r>
      <w:r>
        <w:rPr>
          <w:rStyle w:val="Fontdeparagrafimplicit1"/>
          <w:color w:val="000000"/>
        </w:rPr>
        <w:t xml:space="preserve">– Secţia </w:t>
      </w:r>
      <w:r w:rsidR="00B92C37">
        <w:rPr>
          <w:rStyle w:val="Fontdeparagrafimplicit1"/>
          <w:color w:val="000000"/>
        </w:rPr>
        <w:t xml:space="preserve">............. </w:t>
      </w:r>
      <w:r>
        <w:rPr>
          <w:rStyle w:val="Fontdeparagrafimplicit1"/>
          <w:color w:val="000000"/>
        </w:rPr>
        <w:t>în dosarul nr.</w:t>
      </w:r>
      <w:r w:rsidR="00B92C37">
        <w:rPr>
          <w:rStyle w:val="Fontdeparagrafimplicit1"/>
          <w:color w:val="000000"/>
        </w:rPr>
        <w:t>1</w:t>
      </w:r>
      <w:r>
        <w:rPr>
          <w:rStyle w:val="Fontdeparagrafimplicit1"/>
          <w:color w:val="000000"/>
        </w:rPr>
        <w:t xml:space="preserve">, în contradictoriu cu intimatul - pârât MUNICIPIUL </w:t>
      </w:r>
      <w:r w:rsidR="00B92C37">
        <w:rPr>
          <w:rStyle w:val="Fontdeparagrafimplicit1"/>
          <w:color w:val="000000"/>
        </w:rPr>
        <w:t xml:space="preserve">2 </w:t>
      </w:r>
      <w:r>
        <w:rPr>
          <w:rStyle w:val="Fontdeparagrafimplicit1"/>
          <w:color w:val="000000"/>
        </w:rPr>
        <w:t xml:space="preserve"> PRIN PRIMAR, având ca obiect: „despăgubire”. </w:t>
      </w:r>
    </w:p>
    <w:p w14:paraId="749EE55D" w14:textId="025C8405" w:rsidR="007A5092" w:rsidRDefault="005B7675">
      <w:pPr>
        <w:tabs>
          <w:tab w:val="left" w:pos="709"/>
          <w:tab w:val="left" w:pos="1418"/>
          <w:tab w:val="left" w:pos="2127"/>
          <w:tab w:val="left" w:pos="2836"/>
          <w:tab w:val="left" w:pos="3545"/>
          <w:tab w:val="left" w:pos="4254"/>
          <w:tab w:val="left" w:pos="4963"/>
          <w:tab w:val="left" w:pos="5672"/>
          <w:tab w:val="left" w:pos="6381"/>
        </w:tabs>
        <w:ind w:firstLine="708"/>
        <w:jc w:val="both"/>
        <w:rPr>
          <w:rStyle w:val="Fontdeparagrafimplicit1"/>
          <w:color w:val="000000"/>
        </w:rPr>
      </w:pPr>
      <w:r>
        <w:rPr>
          <w:rStyle w:val="Fontdeparagrafimplicit1"/>
          <w:color w:val="000000"/>
        </w:rPr>
        <w:t xml:space="preserve">Instanţa a reţinut cauza spre soluţionare în şedinţa publică din data de </w:t>
      </w:r>
      <w:r w:rsidR="00B92C37">
        <w:rPr>
          <w:rStyle w:val="Fontdeparagrafimplicit1"/>
          <w:color w:val="000000"/>
        </w:rPr>
        <w:t xml:space="preserve">.......... </w:t>
      </w:r>
      <w:r>
        <w:rPr>
          <w:rStyle w:val="Fontdeparagrafimplicit1"/>
          <w:color w:val="000000"/>
        </w:rPr>
        <w:t xml:space="preserve">, datele fiind consemnate în încheierea de şedinţă de la acel termen la care curtea, având nevoie de timp pentru a delibera, a amânat pronunţarea succesiv pentru </w:t>
      </w:r>
      <w:r w:rsidR="00B92C37">
        <w:rPr>
          <w:rStyle w:val="Fontdeparagrafimplicit1"/>
          <w:color w:val="000000"/>
        </w:rPr>
        <w:t xml:space="preserve">.......... </w:t>
      </w:r>
      <w:r>
        <w:rPr>
          <w:rStyle w:val="Fontdeparagrafimplicit1"/>
          <w:color w:val="000000"/>
        </w:rPr>
        <w:t xml:space="preserve">, respectiv </w:t>
      </w:r>
      <w:r w:rsidR="00B92C37">
        <w:rPr>
          <w:rStyle w:val="Fontdeparagrafimplicit1"/>
          <w:color w:val="000000"/>
        </w:rPr>
        <w:t xml:space="preserve">.......... </w:t>
      </w:r>
      <w:r>
        <w:rPr>
          <w:rStyle w:val="Fontdeparagrafimplicit1"/>
          <w:color w:val="000000"/>
        </w:rPr>
        <w:t>.</w:t>
      </w:r>
    </w:p>
    <w:p w14:paraId="0ED21BD2" w14:textId="77777777" w:rsidR="007A5092" w:rsidRDefault="007A5092">
      <w:pPr>
        <w:tabs>
          <w:tab w:val="left" w:pos="709"/>
          <w:tab w:val="left" w:pos="1418"/>
          <w:tab w:val="left" w:pos="2127"/>
          <w:tab w:val="left" w:pos="2836"/>
          <w:tab w:val="left" w:pos="3545"/>
          <w:tab w:val="left" w:pos="4254"/>
          <w:tab w:val="left" w:pos="4963"/>
          <w:tab w:val="left" w:pos="5672"/>
          <w:tab w:val="left" w:pos="6381"/>
        </w:tabs>
        <w:ind w:firstLine="708"/>
        <w:jc w:val="both"/>
        <w:rPr>
          <w:rStyle w:val="Fontdeparagrafimplicit1"/>
          <w:color w:val="000000"/>
        </w:rPr>
      </w:pPr>
    </w:p>
    <w:p w14:paraId="2D8204A8" w14:textId="77777777" w:rsidR="007A5092" w:rsidRDefault="007A5092">
      <w:pPr>
        <w:ind w:firstLine="708"/>
        <w:jc w:val="both"/>
        <w:rPr>
          <w:rStyle w:val="Fontdeparagrafimplicit1"/>
        </w:rPr>
      </w:pPr>
    </w:p>
    <w:p w14:paraId="6FF971CD" w14:textId="77777777" w:rsidR="007A5092" w:rsidRDefault="005B7675">
      <w:pPr>
        <w:jc w:val="center"/>
        <w:rPr>
          <w:rStyle w:val="Fontdeparagrafimplicit1"/>
          <w:b/>
        </w:rPr>
      </w:pPr>
      <w:r>
        <w:rPr>
          <w:rStyle w:val="Fontdeparagrafimplicit1"/>
          <w:b/>
        </w:rPr>
        <w:t>CURTEA,</w:t>
      </w:r>
    </w:p>
    <w:p w14:paraId="4F8FBE55" w14:textId="77777777" w:rsidR="007A5092" w:rsidRDefault="005B7675">
      <w:pPr>
        <w:pStyle w:val="Listparagraf1"/>
        <w:numPr>
          <w:ilvl w:val="0"/>
          <w:numId w:val="3"/>
        </w:numPr>
        <w:ind w:right="-709"/>
        <w:jc w:val="both"/>
        <w:rPr>
          <w:rStyle w:val="Fontdeparagrafimplicit1"/>
          <w:b/>
        </w:rPr>
      </w:pPr>
      <w:r>
        <w:rPr>
          <w:rStyle w:val="Fontdeparagrafimplicit1"/>
          <w:b/>
        </w:rPr>
        <w:t>Circumstanţele cauzei</w:t>
      </w:r>
    </w:p>
    <w:p w14:paraId="58859C44" w14:textId="77777777" w:rsidR="007A5092" w:rsidRDefault="005B7675">
      <w:pPr>
        <w:pStyle w:val="Listparagraf1"/>
        <w:numPr>
          <w:ilvl w:val="1"/>
          <w:numId w:val="3"/>
        </w:numPr>
        <w:ind w:right="-709"/>
        <w:jc w:val="both"/>
        <w:rPr>
          <w:rStyle w:val="Fontdeparagrafimplicit1"/>
          <w:u w:val="single"/>
        </w:rPr>
      </w:pPr>
      <w:r>
        <w:rPr>
          <w:rStyle w:val="Fontdeparagrafimplicit1"/>
          <w:u w:val="single"/>
        </w:rPr>
        <w:t>Acţiunea formulată</w:t>
      </w:r>
    </w:p>
    <w:p w14:paraId="18C8D14B" w14:textId="1A94968A" w:rsidR="007A5092" w:rsidRDefault="005B7675">
      <w:pPr>
        <w:tabs>
          <w:tab w:val="left" w:pos="709"/>
          <w:tab w:val="left" w:pos="1418"/>
          <w:tab w:val="left" w:pos="2127"/>
          <w:tab w:val="left" w:pos="2836"/>
          <w:tab w:val="left" w:pos="3545"/>
          <w:tab w:val="left" w:pos="4254"/>
          <w:tab w:val="left" w:pos="4963"/>
          <w:tab w:val="left" w:pos="5672"/>
          <w:tab w:val="left" w:pos="6381"/>
        </w:tabs>
        <w:ind w:firstLine="708"/>
        <w:jc w:val="both"/>
      </w:pPr>
      <w:r>
        <w:t xml:space="preserve">Prin cererea de chemare în judecată înregistrată la Curtea de Apel </w:t>
      </w:r>
      <w:r w:rsidR="00B92C37">
        <w:t xml:space="preserve">............ </w:t>
      </w:r>
      <w:r>
        <w:t xml:space="preserve"> secţia </w:t>
      </w:r>
      <w:r w:rsidR="00B92C37">
        <w:t xml:space="preserve">.............. </w:t>
      </w:r>
      <w:r>
        <w:t xml:space="preserve"> sub nr. </w:t>
      </w:r>
      <w:r w:rsidR="00B92C37">
        <w:t>1</w:t>
      </w:r>
      <w:r>
        <w:t xml:space="preserve"> din </w:t>
      </w:r>
      <w:r w:rsidR="007A38B4">
        <w:t xml:space="preserve">   </w:t>
      </w:r>
      <w:r>
        <w:t>.</w:t>
      </w:r>
      <w:r w:rsidR="007A38B4">
        <w:t>2015</w:t>
      </w:r>
      <w:r w:rsidR="005E267C">
        <w:t xml:space="preserve">  </w:t>
      </w:r>
      <w:r>
        <w:t xml:space="preserve"> reclamanta SC </w:t>
      </w:r>
      <w:r w:rsidR="00B92C37">
        <w:t xml:space="preserve">1 </w:t>
      </w:r>
      <w:r>
        <w:t xml:space="preserve"> SRL </w:t>
      </w:r>
      <w:r w:rsidR="00B92C37">
        <w:t xml:space="preserve">............ </w:t>
      </w:r>
      <w:r>
        <w:t xml:space="preserve">  în contradictoriu cu pârât municipiul </w:t>
      </w:r>
      <w:r w:rsidR="00B92C37">
        <w:t xml:space="preserve">2 </w:t>
      </w:r>
      <w:r>
        <w:t xml:space="preserve">prin Primar a solicitat pronunţarea unei hotărâri prin care să se dispună  revocarea actului administrativ nr. </w:t>
      </w:r>
      <w:r w:rsidR="00B92C37">
        <w:t xml:space="preserve">3 </w:t>
      </w:r>
      <w:r>
        <w:t>/02.12.</w:t>
      </w:r>
      <w:r w:rsidR="005E267C">
        <w:t xml:space="preserve"> </w:t>
      </w:r>
      <w:r>
        <w:t xml:space="preserve"> emis de pârâtă în îndeplinirea procedurii prealabile prevăzută de art. 7 din Legea contenciosului administrativ nr. 554/2004 actualizată; rezilierea contractului de concesiune de lucrări nr. </w:t>
      </w:r>
      <w:r w:rsidR="00B92C37">
        <w:t>4/22.06.2010</w:t>
      </w:r>
      <w:r>
        <w:t xml:space="preserve"> încheiat între reclamantă şi municipiul </w:t>
      </w:r>
      <w:r w:rsidR="00B92C37">
        <w:t xml:space="preserve">2 </w:t>
      </w:r>
      <w:r>
        <w:t xml:space="preserve"> şi  în consecinţă: obligarea pârâtei să restituie suma de 3.972.000 lei reprezentând valoarea de intrare actualizată a construcţiei edificată d</w:t>
      </w:r>
      <w:r>
        <w:t xml:space="preserve">e reclamantă în conformitate cu contractul sus menţionat; obligarea pârâtei să repare parţial paguba suferită de reclamantă, în cuantum de 5400 000 Euro, cu titlu de daune interese, constând în beneficiul nerealizat (lucrum  cessans)   din  cauza  neexecutării   culpabile   de   către  pârâtă  a contractului de concesiune de lucrări nr. </w:t>
      </w:r>
      <w:r w:rsidR="00B92C37">
        <w:t>4/22.06.2010</w:t>
      </w:r>
      <w:r>
        <w:t>; obligarea pârâtei la plata cheltuielilor de judecată pricinuite de acest proces.</w:t>
      </w:r>
    </w:p>
    <w:p w14:paraId="6B11F5FF" w14:textId="77777777" w:rsidR="007A5092" w:rsidRDefault="007A5092">
      <w:pPr>
        <w:tabs>
          <w:tab w:val="left" w:pos="709"/>
          <w:tab w:val="left" w:pos="1418"/>
          <w:tab w:val="left" w:pos="2127"/>
          <w:tab w:val="left" w:pos="2836"/>
          <w:tab w:val="left" w:pos="3545"/>
          <w:tab w:val="left" w:pos="4254"/>
          <w:tab w:val="left" w:pos="4963"/>
          <w:tab w:val="left" w:pos="5672"/>
          <w:tab w:val="left" w:pos="6381"/>
        </w:tabs>
        <w:ind w:firstLine="708"/>
        <w:jc w:val="both"/>
      </w:pPr>
    </w:p>
    <w:p w14:paraId="2B1729FB" w14:textId="77777777" w:rsidR="007A5092" w:rsidRDefault="005B7675">
      <w:pPr>
        <w:pStyle w:val="Listparagraf1"/>
        <w:numPr>
          <w:ilvl w:val="1"/>
          <w:numId w:val="3"/>
        </w:numPr>
        <w:ind w:right="-709"/>
        <w:jc w:val="both"/>
        <w:rPr>
          <w:rStyle w:val="Fontdeparagrafimplicit1"/>
          <w:u w:val="single"/>
        </w:rPr>
      </w:pPr>
      <w:r>
        <w:rPr>
          <w:rStyle w:val="Fontdeparagrafimplicit1"/>
          <w:u w:val="single"/>
        </w:rPr>
        <w:t>Sentinţa civilă pronunţată în cauză</w:t>
      </w:r>
    </w:p>
    <w:p w14:paraId="32B23CDB" w14:textId="43487D85" w:rsidR="007A5092" w:rsidRDefault="005B7675">
      <w:pPr>
        <w:tabs>
          <w:tab w:val="left" w:pos="709"/>
          <w:tab w:val="left" w:pos="1418"/>
          <w:tab w:val="left" w:pos="2127"/>
          <w:tab w:val="left" w:pos="2836"/>
          <w:tab w:val="left" w:pos="3545"/>
          <w:tab w:val="left" w:pos="4254"/>
          <w:tab w:val="left" w:pos="4963"/>
          <w:tab w:val="left" w:pos="5672"/>
          <w:tab w:val="left" w:pos="6381"/>
        </w:tabs>
        <w:ind w:firstLine="708"/>
        <w:jc w:val="both"/>
      </w:pPr>
      <w:r>
        <w:t xml:space="preserve">Prin sentinţa civilă nr. </w:t>
      </w:r>
      <w:r w:rsidR="00B92C37">
        <w:t xml:space="preserve">......./........... </w:t>
      </w:r>
      <w:r>
        <w:t xml:space="preserve">, pronunţată de Tribunalul </w:t>
      </w:r>
      <w:r w:rsidR="00B92C37">
        <w:t xml:space="preserve">........... </w:t>
      </w:r>
      <w:r>
        <w:t xml:space="preserve">- Secţia </w:t>
      </w:r>
      <w:r w:rsidR="00B92C37">
        <w:t xml:space="preserve">........... </w:t>
      </w:r>
      <w:r>
        <w:t xml:space="preserve">, în dosarul nr. </w:t>
      </w:r>
      <w:r w:rsidR="00B92C37">
        <w:t>1</w:t>
      </w:r>
      <w:r>
        <w:t>*, s-au dispus următoarele:</w:t>
      </w:r>
    </w:p>
    <w:p w14:paraId="7AD559A6" w14:textId="77777777" w:rsidR="007A5092" w:rsidRDefault="005B7675">
      <w:pPr>
        <w:pStyle w:val="Listparagraf1"/>
        <w:numPr>
          <w:ilvl w:val="0"/>
          <w:numId w:val="4"/>
        </w:numPr>
        <w:tabs>
          <w:tab w:val="left" w:pos="709"/>
          <w:tab w:val="left" w:pos="1418"/>
          <w:tab w:val="left" w:pos="2127"/>
          <w:tab w:val="left" w:pos="2836"/>
          <w:tab w:val="left" w:pos="3545"/>
          <w:tab w:val="left" w:pos="4254"/>
          <w:tab w:val="left" w:pos="4963"/>
          <w:tab w:val="left" w:pos="5672"/>
          <w:tab w:val="left" w:pos="6381"/>
        </w:tabs>
        <w:jc w:val="both"/>
      </w:pPr>
      <w:r>
        <w:t>respingerea excepţiilor inadmisibilităţii şi prescripţiei dreptului material la acţiune invocate de pârât, ca nefondate;</w:t>
      </w:r>
    </w:p>
    <w:p w14:paraId="65DD2911" w14:textId="18A58A2B" w:rsidR="007A5092" w:rsidRDefault="005B7675">
      <w:pPr>
        <w:pStyle w:val="Listparagraf1"/>
        <w:numPr>
          <w:ilvl w:val="0"/>
          <w:numId w:val="4"/>
        </w:numPr>
        <w:tabs>
          <w:tab w:val="left" w:pos="709"/>
          <w:tab w:val="left" w:pos="1418"/>
          <w:tab w:val="left" w:pos="2127"/>
          <w:tab w:val="left" w:pos="2836"/>
          <w:tab w:val="left" w:pos="3545"/>
          <w:tab w:val="left" w:pos="4254"/>
          <w:tab w:val="left" w:pos="4963"/>
          <w:tab w:val="left" w:pos="5672"/>
          <w:tab w:val="left" w:pos="6381"/>
        </w:tabs>
        <w:ind w:firstLine="708"/>
        <w:jc w:val="both"/>
      </w:pPr>
      <w:r>
        <w:t xml:space="preserve">respingerea acţiunii formulată de reclamant </w:t>
      </w:r>
      <w:r w:rsidR="00B92C37">
        <w:t xml:space="preserve">1 </w:t>
      </w:r>
      <w:r>
        <w:t xml:space="preserve"> SRL </w:t>
      </w:r>
      <w:r w:rsidR="00B92C37">
        <w:t xml:space="preserve">............ </w:t>
      </w:r>
      <w:r>
        <w:t xml:space="preserve">, în contradictoriu cu pârât Municipiul </w:t>
      </w:r>
      <w:r w:rsidR="00B92C37">
        <w:t xml:space="preserve">2 </w:t>
      </w:r>
      <w:r>
        <w:t xml:space="preserve"> prin Primar, ca nefondată;</w:t>
      </w:r>
    </w:p>
    <w:p w14:paraId="707D6370" w14:textId="77777777" w:rsidR="007A5092" w:rsidRDefault="005B7675">
      <w:pPr>
        <w:pStyle w:val="Listparagraf1"/>
        <w:numPr>
          <w:ilvl w:val="0"/>
          <w:numId w:val="4"/>
        </w:numPr>
        <w:tabs>
          <w:tab w:val="left" w:pos="709"/>
          <w:tab w:val="left" w:pos="1418"/>
          <w:tab w:val="left" w:pos="2127"/>
          <w:tab w:val="left" w:pos="2836"/>
          <w:tab w:val="left" w:pos="3545"/>
          <w:tab w:val="left" w:pos="4254"/>
          <w:tab w:val="left" w:pos="4963"/>
          <w:tab w:val="left" w:pos="5672"/>
          <w:tab w:val="left" w:pos="6381"/>
        </w:tabs>
        <w:ind w:firstLine="708"/>
        <w:jc w:val="both"/>
      </w:pPr>
      <w:r>
        <w:lastRenderedPageBreak/>
        <w:t>respingerea cererii reconvenţionale formulată de pârât ca fiind rămasă fără obiect;</w:t>
      </w:r>
    </w:p>
    <w:p w14:paraId="155CBFF8" w14:textId="77777777" w:rsidR="007A5092" w:rsidRDefault="005B7675">
      <w:pPr>
        <w:pStyle w:val="Listparagraf1"/>
        <w:numPr>
          <w:ilvl w:val="0"/>
          <w:numId w:val="4"/>
        </w:numPr>
        <w:tabs>
          <w:tab w:val="left" w:pos="709"/>
          <w:tab w:val="left" w:pos="1418"/>
          <w:tab w:val="left" w:pos="2127"/>
          <w:tab w:val="left" w:pos="2836"/>
          <w:tab w:val="left" w:pos="3545"/>
          <w:tab w:val="left" w:pos="4254"/>
          <w:tab w:val="left" w:pos="4963"/>
          <w:tab w:val="left" w:pos="5672"/>
          <w:tab w:val="left" w:pos="6381"/>
        </w:tabs>
        <w:ind w:firstLine="708"/>
        <w:jc w:val="both"/>
      </w:pPr>
      <w:r>
        <w:t>admiterea în parte cererea privind cheltuielile de judecată formulată de pârât;</w:t>
      </w:r>
    </w:p>
    <w:p w14:paraId="223D3F5F" w14:textId="77777777" w:rsidR="007A5092" w:rsidRDefault="005B7675">
      <w:pPr>
        <w:pStyle w:val="Listparagraf1"/>
        <w:numPr>
          <w:ilvl w:val="0"/>
          <w:numId w:val="4"/>
        </w:numPr>
        <w:tabs>
          <w:tab w:val="left" w:pos="709"/>
          <w:tab w:val="left" w:pos="1418"/>
          <w:tab w:val="left" w:pos="2127"/>
          <w:tab w:val="left" w:pos="2836"/>
          <w:tab w:val="left" w:pos="3545"/>
          <w:tab w:val="left" w:pos="4254"/>
          <w:tab w:val="left" w:pos="4963"/>
          <w:tab w:val="left" w:pos="5672"/>
          <w:tab w:val="left" w:pos="6381"/>
        </w:tabs>
        <w:ind w:firstLine="708"/>
        <w:jc w:val="both"/>
      </w:pPr>
      <w:r>
        <w:t>obligarea reclamantului la plata cheltuielilor de judecată către pârât în sumă de 1000 lei reprezentând onorariu de avocat şi respinge cererea de plată onorariu de expert, ca nefondată.</w:t>
      </w:r>
    </w:p>
    <w:p w14:paraId="22B4F4C8" w14:textId="77777777" w:rsidR="007A5092" w:rsidRDefault="007A5092">
      <w:pPr>
        <w:pStyle w:val="Listparagraf1"/>
        <w:tabs>
          <w:tab w:val="left" w:pos="709"/>
          <w:tab w:val="left" w:pos="1418"/>
          <w:tab w:val="left" w:pos="2127"/>
          <w:tab w:val="left" w:pos="2836"/>
          <w:tab w:val="left" w:pos="3545"/>
          <w:tab w:val="left" w:pos="4254"/>
          <w:tab w:val="left" w:pos="4963"/>
          <w:tab w:val="left" w:pos="5672"/>
          <w:tab w:val="left" w:pos="6381"/>
        </w:tabs>
        <w:ind w:left="1776"/>
        <w:jc w:val="both"/>
      </w:pPr>
    </w:p>
    <w:p w14:paraId="131F6B42" w14:textId="77777777" w:rsidR="007A5092" w:rsidRDefault="005B7675">
      <w:pPr>
        <w:pStyle w:val="Listparagraf1"/>
        <w:numPr>
          <w:ilvl w:val="0"/>
          <w:numId w:val="3"/>
        </w:numPr>
        <w:ind w:right="-709"/>
        <w:jc w:val="both"/>
        <w:rPr>
          <w:rStyle w:val="Fontdeparagrafimplicit1"/>
          <w:b/>
        </w:rPr>
      </w:pPr>
      <w:r>
        <w:rPr>
          <w:rStyle w:val="Fontdeparagrafimplicit1"/>
          <w:b/>
        </w:rPr>
        <w:t>Calea de atac formulată</w:t>
      </w:r>
    </w:p>
    <w:p w14:paraId="37628B35" w14:textId="2A998111" w:rsidR="007A5092" w:rsidRDefault="005B7675">
      <w:pPr>
        <w:ind w:right="-11" w:firstLine="708"/>
        <w:jc w:val="both"/>
      </w:pPr>
      <w:r>
        <w:t xml:space="preserve">1 S.R.L., în calitate de reclamant, a formulat recurs împotriva sentinţei civile nr. </w:t>
      </w:r>
      <w:r w:rsidR="005E267C">
        <w:t>............</w:t>
      </w:r>
      <w:r>
        <w:t xml:space="preserve"> pronunţata la data de .</w:t>
      </w:r>
      <w:r w:rsidR="005E267C">
        <w:t>.........</w:t>
      </w:r>
      <w:r>
        <w:t>, în temeiul dispoziţiilor art.486 C.proc.civ.</w:t>
      </w:r>
    </w:p>
    <w:p w14:paraId="5A834DFD" w14:textId="76F10BD4" w:rsidR="007A5092" w:rsidRDefault="005B7675">
      <w:pPr>
        <w:ind w:right="-11" w:firstLine="708"/>
        <w:jc w:val="both"/>
      </w:pPr>
      <w:r>
        <w:t xml:space="preserve">După motivare sentinţei atacate, aceasta a depus motivele de recurs, prin care a solicitat admiterea recursului, casarea sentinţei recurate si reţinerea spre rejudecare a cauzei spre competenta soluţionare Curţii de Apel </w:t>
      </w:r>
      <w:r w:rsidR="00B92C37">
        <w:t xml:space="preserve">............ </w:t>
      </w:r>
      <w:r>
        <w:t xml:space="preserve"> raportat la cererea precizatoare din data 29.10.2015, prin care a solicitat mărirea cuantumului la suma de 10.650.782,43 Euro(valoare rezultata din raportul de expertiza întocmit de expertul numit de instanţa </w:t>
      </w:r>
      <w:r w:rsidR="00B92C37">
        <w:t>5</w:t>
      </w:r>
      <w:r>
        <w:t>).</w:t>
      </w:r>
    </w:p>
    <w:p w14:paraId="7A53C5AA" w14:textId="164FF2FF" w:rsidR="007A5092" w:rsidRDefault="005B7675">
      <w:pPr>
        <w:ind w:right="-11" w:firstLine="708"/>
        <w:jc w:val="both"/>
      </w:pPr>
      <w:r>
        <w:t xml:space="preserve">In fapt, la data de 22.06.2010, între </w:t>
      </w:r>
      <w:r w:rsidR="00B92C37">
        <w:t xml:space="preserve">1 </w:t>
      </w:r>
      <w:r>
        <w:t xml:space="preserve">S.R.L., in calitate de concesionar si Primăria Municipiului </w:t>
      </w:r>
      <w:r w:rsidR="00B92C37">
        <w:t xml:space="preserve">2 </w:t>
      </w:r>
      <w:r>
        <w:t>, in calitate de concedent a fost încheiat Contractul de concesiune de lucrări nr.</w:t>
      </w:r>
      <w:r w:rsidR="00B92C37">
        <w:t>4/22.06.2010</w:t>
      </w:r>
      <w:r>
        <w:t xml:space="preserve">, având ca obiect concesionarea pieţei </w:t>
      </w:r>
      <w:r w:rsidR="00AE608B">
        <w:t xml:space="preserve">          </w:t>
      </w:r>
      <w:r>
        <w:t xml:space="preserve"> in suprafaţa de 1.855 mp si a pieţei </w:t>
      </w:r>
      <w:r w:rsidR="00AE608B">
        <w:t xml:space="preserve">            </w:t>
      </w:r>
      <w:r>
        <w:t xml:space="preserve"> din Piaţa Centrala a Municipiului </w:t>
      </w:r>
      <w:r w:rsidR="00B92C37">
        <w:t xml:space="preserve">2 </w:t>
      </w:r>
      <w:r>
        <w:t>, respectiv 1.587 mp.</w:t>
      </w:r>
    </w:p>
    <w:p w14:paraId="7AD2F407" w14:textId="753691C8" w:rsidR="007A5092" w:rsidRDefault="005B7675">
      <w:pPr>
        <w:ind w:right="-11" w:firstLine="708"/>
        <w:jc w:val="both"/>
      </w:pPr>
      <w:r>
        <w:t xml:space="preserve">Acest contract de concesiune a fost încheiat cu pârâta-reclamantă ca urmare a licitaţiei publice prin care societatea a achitat taxa de participare cumpărând caietul de sarcini si îndeplinind obligaţiile impuse de Primăria Municipiului </w:t>
      </w:r>
      <w:r w:rsidR="00B92C37">
        <w:t xml:space="preserve">2 </w:t>
      </w:r>
      <w:r>
        <w:t xml:space="preserve"> pentru a participa la licitaţie.</w:t>
      </w:r>
    </w:p>
    <w:p w14:paraId="09E8B8B1" w14:textId="4F94D82F" w:rsidR="007A5092" w:rsidRDefault="005B7675">
      <w:pPr>
        <w:ind w:right="-11" w:firstLine="708"/>
        <w:jc w:val="both"/>
      </w:pPr>
      <w:r>
        <w:t xml:space="preserve">Așa cum prevede in Caietul de sarcini/Anexa nr.2 la H.C.L. nr. </w:t>
      </w:r>
      <w:r w:rsidR="00B92C37">
        <w:t>6</w:t>
      </w:r>
      <w:r>
        <w:t>/26.02.2010 la punctul 1 intitulat: „Obiectul concesiunii”:</w:t>
      </w:r>
    </w:p>
    <w:p w14:paraId="4002136D" w14:textId="6135884F" w:rsidR="007A5092" w:rsidRDefault="005B7675">
      <w:pPr>
        <w:ind w:right="-11" w:firstLine="708"/>
        <w:jc w:val="both"/>
      </w:pPr>
      <w:r>
        <w:t>•</w:t>
      </w:r>
      <w:r>
        <w:tab/>
        <w:t xml:space="preserve">la punctul 1.1 piaţa </w:t>
      </w:r>
      <w:r w:rsidR="00AE608B">
        <w:t xml:space="preserve">            .</w:t>
      </w:r>
      <w:r>
        <w:t xml:space="preserve"> situata in str. </w:t>
      </w:r>
      <w:r w:rsidR="00B92C37">
        <w:t xml:space="preserve">............ </w:t>
      </w:r>
      <w:r>
        <w:t>cu suprafaţa de 1855 mp.</w:t>
      </w:r>
    </w:p>
    <w:p w14:paraId="2AB00E1F" w14:textId="272AC6A3" w:rsidR="007A5092" w:rsidRDefault="005B7675">
      <w:pPr>
        <w:ind w:right="-11" w:firstLine="708"/>
        <w:jc w:val="both"/>
      </w:pPr>
      <w:r>
        <w:t>•</w:t>
      </w:r>
      <w:r>
        <w:tab/>
        <w:t xml:space="preserve">la punctul 1.2 piaţa </w:t>
      </w:r>
      <w:r w:rsidR="00AE608B">
        <w:t xml:space="preserve">            </w:t>
      </w:r>
      <w:r>
        <w:t xml:space="preserve"> situate in str. </w:t>
      </w:r>
      <w:r w:rsidR="00B92C37">
        <w:t xml:space="preserve">............ </w:t>
      </w:r>
      <w:r>
        <w:t>cu suprafaţa de 1587 mp.</w:t>
      </w:r>
    </w:p>
    <w:p w14:paraId="3F1A86B7" w14:textId="09D3E637" w:rsidR="007A5092" w:rsidRDefault="005B7675">
      <w:pPr>
        <w:ind w:right="-11" w:firstLine="708"/>
        <w:jc w:val="both"/>
      </w:pPr>
      <w:r>
        <w:t>•</w:t>
      </w:r>
      <w:r>
        <w:tab/>
        <w:t xml:space="preserve">la punctul 1.6 "Concesionarul are obligaţia ca pe terenul concesionat sa realizeze construcţii moderne cu destinaţie de piaţa </w:t>
      </w:r>
      <w:r w:rsidR="00AE608B">
        <w:t xml:space="preserve">            .</w:t>
      </w:r>
      <w:r>
        <w:t>, spatii de afacere a produselor nealimentare si birouri".</w:t>
      </w:r>
    </w:p>
    <w:p w14:paraId="77AEF0F2" w14:textId="104B91A1" w:rsidR="007A5092" w:rsidRDefault="005B7675">
      <w:pPr>
        <w:ind w:right="-11" w:firstLine="708"/>
        <w:jc w:val="both"/>
      </w:pPr>
      <w:r>
        <w:t xml:space="preserve">"La punctul 2 din caietul de sarcini concedentul descrie situaţia la momentul concesionarii a celor doua terenuri care fac obiectul concesiunii, iar in locul construcţiilor existente, concesionarul (Societatea </w:t>
      </w:r>
      <w:r w:rsidR="00B92C37">
        <w:t xml:space="preserve">1 </w:t>
      </w:r>
      <w:r>
        <w:t xml:space="preserve">S.R.L. - declarat câştigător) are obligaţia sa execute construcţii, cu destinaţia de piaţa </w:t>
      </w:r>
      <w:r w:rsidR="00AE608B">
        <w:t xml:space="preserve">            .</w:t>
      </w:r>
      <w:r>
        <w:t xml:space="preserve"> si spatii comerciale, in corelare cu studiul de fezabilitate, in varianta cu structura metalica aprobat prin H.C.L. nr. ...</w:t>
      </w:r>
      <w:r>
        <w:t>/30.10.2007.</w:t>
      </w:r>
    </w:p>
    <w:p w14:paraId="0D5E6549" w14:textId="56103941" w:rsidR="007A5092" w:rsidRDefault="005B7675">
      <w:pPr>
        <w:ind w:right="-11" w:firstLine="708"/>
        <w:jc w:val="both"/>
      </w:pPr>
      <w:r>
        <w:t xml:space="preserve">Pentru construirea - Halei nr. l, regimul de înălțime va fi de P+l, cu o suprafaţa construita la sol de 845 mp unde, la parter va funcţiona piaţa </w:t>
      </w:r>
      <w:r w:rsidR="00AE608B">
        <w:t xml:space="preserve">            .</w:t>
      </w:r>
      <w:r>
        <w:t>, iar la etaj spaţiile comerciale, iar termenul de realizare este de 8 luni de la data adjudecării concesiunii conform punctului 3.4. din caietul de sarcini.</w:t>
      </w:r>
    </w:p>
    <w:p w14:paraId="79604E40" w14:textId="77777777" w:rsidR="007A5092" w:rsidRDefault="005B7675">
      <w:pPr>
        <w:ind w:right="-11" w:firstLine="708"/>
        <w:jc w:val="both"/>
      </w:pPr>
      <w:r>
        <w:t>Pentru Hala nr. 2, regimul de înălțime este de P+2, cu suprafaţa construita la sol de 551 mp, in care parterul si etajul 1 vor fi ocupate de spatii comerciale, iar etajul 2 va destinaţie de birouri, iar termenul pentru realizare este de 16 luni de la data adjudecării concesiunii inclusiv pentru spatiile comerciale conform pct. 3.5. din caietul de sarcini.</w:t>
      </w:r>
    </w:p>
    <w:p w14:paraId="7EA6D7F2" w14:textId="77777777" w:rsidR="007A5092" w:rsidRDefault="005B7675">
      <w:pPr>
        <w:ind w:right="-11" w:firstLine="708"/>
        <w:jc w:val="both"/>
      </w:pPr>
      <w:r>
        <w:t>Prezenta cale de atac de circumscrie motivelor de recurs prevăzute de art. 304 pct. 2 si pct. 9 CPC (1865). - pct 2. « Când hotărârea s-a dat de alţi judecători decât cei care au luat parte la dezbaterea în fond a pricinii»; pct 9 « Hotărârea pronunţată este lipsită de temei legal ori a fost dată cu încălcarea sau aplicarea greşită a legii».</w:t>
      </w:r>
    </w:p>
    <w:p w14:paraId="61B751ED" w14:textId="663F962C" w:rsidR="007A5092" w:rsidRDefault="005B7675">
      <w:pPr>
        <w:ind w:right="-11" w:firstLine="708"/>
        <w:jc w:val="both"/>
      </w:pPr>
      <w:r>
        <w:t>La fila 6 din considerentele sentinţei civile atacate instanţa enumera termenele de judecata începând cu primul din data de 28.05.</w:t>
      </w:r>
      <w:r w:rsidR="005E267C">
        <w:t>.....</w:t>
      </w:r>
      <w:r>
        <w:t xml:space="preserve"> si pana la termenul din data de 26.05.</w:t>
      </w:r>
      <w:r w:rsidR="005E267C">
        <w:t>........</w:t>
      </w:r>
      <w:r>
        <w:t xml:space="preserve">, </w:t>
      </w:r>
      <w:r>
        <w:lastRenderedPageBreak/>
        <w:t xml:space="preserve">perioada in care preşedintele completului desemnat a fost doamna judecător </w:t>
      </w:r>
      <w:r w:rsidR="00B92C37">
        <w:t>A</w:t>
      </w:r>
      <w:r>
        <w:t>, fără a enumera si celelalte termene de judecata din 07.06.</w:t>
      </w:r>
      <w:r w:rsidR="005E267C">
        <w:t>.........</w:t>
      </w:r>
      <w:r>
        <w:t>,21.06.</w:t>
      </w:r>
      <w:r w:rsidR="005E267C">
        <w:t>...........</w:t>
      </w:r>
      <w:r>
        <w:t>, 20.09.</w:t>
      </w:r>
      <w:r w:rsidR="005E267C">
        <w:t>..........</w:t>
      </w:r>
      <w:r>
        <w:t xml:space="preserve"> si </w:t>
      </w:r>
      <w:r w:rsidR="006451D1">
        <w:t xml:space="preserve">............. </w:t>
      </w:r>
      <w:r>
        <w:t>.</w:t>
      </w:r>
    </w:p>
    <w:p w14:paraId="50CEEA68" w14:textId="1899FB80" w:rsidR="007A5092" w:rsidRDefault="005B7675">
      <w:pPr>
        <w:ind w:right="-11" w:firstLine="708"/>
        <w:jc w:val="both"/>
      </w:pPr>
      <w:r>
        <w:t xml:space="preserve">În ceea ce priveşte termenul din data de 26 mai </w:t>
      </w:r>
      <w:r w:rsidR="005E267C">
        <w:t>........</w:t>
      </w:r>
      <w:r>
        <w:t>, data este consemnata in mod eronat.</w:t>
      </w:r>
    </w:p>
    <w:p w14:paraId="2D03748B" w14:textId="4BD5681A" w:rsidR="007A5092" w:rsidRDefault="005B7675">
      <w:pPr>
        <w:ind w:right="-11" w:firstLine="708"/>
        <w:jc w:val="both"/>
      </w:pPr>
      <w:r>
        <w:t xml:space="preserve">Prin disjungerea dosarului de la Curtea de Apel </w:t>
      </w:r>
      <w:r w:rsidR="00B92C37">
        <w:t xml:space="preserve">............ </w:t>
      </w:r>
      <w:r>
        <w:t xml:space="preserve"> către Tribunalul </w:t>
      </w:r>
      <w:r w:rsidR="00B92C37">
        <w:t xml:space="preserve">............. </w:t>
      </w:r>
      <w:r>
        <w:t xml:space="preserve">a fost repartizat Completului </w:t>
      </w:r>
      <w:r w:rsidR="00B92C37">
        <w:t xml:space="preserve">............... </w:t>
      </w:r>
      <w:r>
        <w:t>NCPC pana la termenul din data de 21.06.</w:t>
      </w:r>
      <w:r w:rsidR="005E267C">
        <w:t>........</w:t>
      </w:r>
      <w:r>
        <w:t xml:space="preserve"> când instanţa dispune: "In temeiul dispoziţiilor art.400 Cod procedura civila, repune cauza pe rol, pentru ca in raport de conţinutul înscrisurilor existente, la dosarul cauzei, pârâtul reclamant- MUNICIPIUL </w:t>
      </w:r>
      <w:r w:rsidR="00B92C37">
        <w:t xml:space="preserve">2 </w:t>
      </w:r>
      <w:r>
        <w:t xml:space="preserve"> sa-si precizeze poziţia cu privire la cererea reconvenționala. Fixează termen de judecata la 20 septembrie </w:t>
      </w:r>
      <w:r w:rsidR="007A38B4">
        <w:t>...........</w:t>
      </w:r>
      <w:r>
        <w:t>, pentru când se vor cita părţile."</w:t>
      </w:r>
    </w:p>
    <w:p w14:paraId="789ACD63" w14:textId="638931E9" w:rsidR="007A5092" w:rsidRDefault="005B7675">
      <w:pPr>
        <w:ind w:right="-11" w:firstLine="708"/>
        <w:jc w:val="both"/>
      </w:pPr>
      <w:r>
        <w:t xml:space="preserve">La termenul din data de 20 septembrie </w:t>
      </w:r>
      <w:r w:rsidR="007A38B4">
        <w:t>.........</w:t>
      </w:r>
      <w:r>
        <w:t xml:space="preserve"> la şedinţa de judecata a participat doamna judecător </w:t>
      </w:r>
      <w:r w:rsidR="00B92C37">
        <w:t xml:space="preserve">B </w:t>
      </w:r>
      <w:r>
        <w:t xml:space="preserve">in componenta Completului </w:t>
      </w:r>
      <w:r w:rsidR="00B92C37">
        <w:t xml:space="preserve">............... </w:t>
      </w:r>
      <w:r>
        <w:t xml:space="preserve">NCPC: " pentru dezbateri si pentru ca autoritatea contractantă să depună la dosar graficul de execuţie, a fost acordat termen la data de </w:t>
      </w:r>
      <w:r w:rsidR="00B92C37">
        <w:t xml:space="preserve">............ </w:t>
      </w:r>
      <w:r>
        <w:t xml:space="preserve">". </w:t>
      </w:r>
    </w:p>
    <w:p w14:paraId="65C64773" w14:textId="69D0E2A2" w:rsidR="007A5092" w:rsidRDefault="005B7675">
      <w:pPr>
        <w:ind w:right="-11" w:firstLine="708"/>
        <w:jc w:val="both"/>
      </w:pPr>
      <w:r>
        <w:t xml:space="preserve">La termenul din data de </w:t>
      </w:r>
      <w:r w:rsidR="00B92C37">
        <w:t xml:space="preserve">............ </w:t>
      </w:r>
      <w:r>
        <w:t xml:space="preserve">la şedinţa de judecata a participat doamna judecător </w:t>
      </w:r>
      <w:r w:rsidR="00B92C37">
        <w:t xml:space="preserve">C </w:t>
      </w:r>
      <w:r>
        <w:t xml:space="preserve">componenta Completului </w:t>
      </w:r>
      <w:r w:rsidR="00B92C37">
        <w:t xml:space="preserve">............ </w:t>
      </w:r>
      <w:r>
        <w:t xml:space="preserve">NCPC care a dat pârtilor cuvântul in dezbateri, ulterior, reţinând cauza in pronunţare atât pe excepţiile invocate de paratul-reclamant mun. </w:t>
      </w:r>
      <w:r w:rsidR="00B92C37">
        <w:t>2</w:t>
      </w:r>
      <w:r>
        <w:t xml:space="preserve">, cat si pe fond. Ulterior, având nevoie de timp pentru a delibera, instant a dispus amânarea pronunţării la data de </w:t>
      </w:r>
      <w:r w:rsidR="00B92C37">
        <w:t xml:space="preserve">............. </w:t>
      </w:r>
      <w:r>
        <w:t>.</w:t>
      </w:r>
    </w:p>
    <w:p w14:paraId="02AFE39E" w14:textId="77777777" w:rsidR="007A5092" w:rsidRDefault="005B7675">
      <w:pPr>
        <w:ind w:right="-11" w:firstLine="708"/>
        <w:jc w:val="both"/>
      </w:pPr>
      <w:r>
        <w:t>Principiul continuităţii presupune că aceiaşi judecători vor face parte din completul de judecată (stabilit de regulă aleatoriu) la toate termenele de judecată într-o anumită fază procesuală (primă instanţă, apel, căi extraordinare de atac), până la dezînvestirea prin pronunţarea soluţiei în cauză.</w:t>
      </w:r>
    </w:p>
    <w:p w14:paraId="30BBD9E6" w14:textId="77777777" w:rsidR="007A5092" w:rsidRDefault="005B7675">
      <w:pPr>
        <w:ind w:right="-11" w:firstLine="708"/>
        <w:jc w:val="both"/>
      </w:pPr>
      <w:r>
        <w:t>Excepţiile de la acest principiu trebuie să fie expres prevăzute de lege, iar aplicarea lor trebuie să se facă cu interpretarea strictă a normelor juridice (strictissima interpretationis). Astfel, schimbarea compunerii completului de judecată poate fi urmarea unor incidente procedurale (incompatibilitatea judecătorilor), a unor măsuri pentru buna desfăşurare a justiţiei (conexarea dosarelor), dar şi a unor cauze administrative (concediu, excludere din magistratură).</w:t>
      </w:r>
    </w:p>
    <w:p w14:paraId="31A31A8F" w14:textId="77777777" w:rsidR="007A5092" w:rsidRDefault="005B7675">
      <w:pPr>
        <w:ind w:right="-11" w:firstLine="708"/>
        <w:jc w:val="both"/>
      </w:pPr>
      <w:r>
        <w:t>Fiind reglementate prin norme de organizare judiciară, de ordine publică, neregularităţile procedurale constând în încălcarea acestor principii sunt sancţionate cu nulitatea absolută şi pot fi invocate oricând în cursul judecăţii.</w:t>
      </w:r>
    </w:p>
    <w:p w14:paraId="593EADCC" w14:textId="77777777" w:rsidR="007A5092" w:rsidRDefault="005B7675">
      <w:pPr>
        <w:ind w:right="-11" w:firstLine="708"/>
        <w:jc w:val="both"/>
      </w:pPr>
      <w:r>
        <w:t>Deşi instanţa in considerentele sentinţei a preluat situaţia de fapt parcursa pe timpul derulării contractului de concesiune, respectiv a Halei nr.2 unde parata-reclamanta isi recunoaşte culpa pentru neîndeplinirea obligaţiilor asumate in contractual de concesiune, respectiv de a preda terenul aferent edificării Halei nr.2, ascunzând situaţia juridica in sensul ca pe acest teren ce face obiectul concesiunii existau alte concesiuni încheiate cu diferiţi agenţi economici încă din anul 2003.</w:t>
      </w:r>
    </w:p>
    <w:p w14:paraId="549E60BF" w14:textId="63939DD1" w:rsidR="007A5092" w:rsidRDefault="005B7675">
      <w:pPr>
        <w:ind w:right="-11" w:firstLine="708"/>
        <w:jc w:val="both"/>
      </w:pPr>
      <w:r>
        <w:t xml:space="preserve">În documentaţia de atribuire/licitație in caietul de sarcini nu a fost menţionata situaţia juridica a terenului aferent Halei nr.l, cat si a Halei nr.2. După adjudecarea licitaţiei si invitarea recurentei la încheierea contractului de concesiune, acesta a luat la cunoştinţa numai despre documentele aferente Halei nr.l care după analizarea acestora - documentaţia tehnica (proiecte, respectiv avizele), a constatat ca datau din anii 2003-2007 si a înștiințat autoritatea publica locala, respectiv Primăria mun. </w:t>
      </w:r>
      <w:r w:rsidR="00B92C37">
        <w:t>2</w:t>
      </w:r>
      <w:r>
        <w:t xml:space="preserve"> despre faptul ca aceste documente încălcau legislaţia in materie. Cu acesta ocazie, a solicitat refacerea proiectului tehnic al clădirii Hala nr.2, ceea generat costuri suplimentare suportate de către subscrisa Societate </w:t>
      </w:r>
      <w:r w:rsidR="00B92C37">
        <w:t xml:space="preserve">1 </w:t>
      </w:r>
      <w:r>
        <w:t>S.R.L.</w:t>
      </w:r>
    </w:p>
    <w:p w14:paraId="5AF25FF8" w14:textId="77777777" w:rsidR="007A5092" w:rsidRDefault="005B7675">
      <w:pPr>
        <w:ind w:right="-11" w:firstLine="708"/>
        <w:jc w:val="both"/>
      </w:pPr>
      <w:r>
        <w:t xml:space="preserve">Paratul a indus in eroare instanţa de judecata motivând ca pentru lămurirea situaţiei juridice a terenului pe care se poate construi Hala nr.2 depinde exclusiv de voinţa paratului, ci si de soluţiile care vor fi pronunţate de instanţele judecătoreşti si de evoluţia procedurilor de executare silita desfăşurate de executorul judecătoresc si de atitudinea viitoare a foştilor </w:t>
      </w:r>
      <w:r>
        <w:lastRenderedPageBreak/>
        <w:t>concesionari. Acest aspect nu corespunde realității, parata avea obligaţia de a reglementa situaţia juridica a imobilelor ce urmau a fi concesionate.</w:t>
      </w:r>
    </w:p>
    <w:p w14:paraId="1F588C1B" w14:textId="77777777" w:rsidR="007A5092" w:rsidRDefault="005B7675">
      <w:pPr>
        <w:ind w:right="-11" w:firstLine="708"/>
        <w:jc w:val="both"/>
      </w:pPr>
      <w:r>
        <w:t>In ceea ce priveşte cea de a doua construcţie instanţa a reținut in mod eronat "culpa ambelor părți la încheierea contractului de concesiune din anul 2010 cu Avizul CEZ din 2007 expirat deşi, obligaţia de actualizare revine utilizatorului reţelei, concesionarul asumându-si astfel riscul intervenirii unor situaţii neprevăzute cu certificat de urbanism din 2007 valabil pana in 2010, concesionarul asumându-si astfel riscul in întârzierea edificării construcţiei”.</w:t>
      </w:r>
    </w:p>
    <w:p w14:paraId="2303A793" w14:textId="77777777" w:rsidR="007A5092" w:rsidRDefault="005B7675">
      <w:pPr>
        <w:ind w:right="-11" w:firstLine="708"/>
        <w:jc w:val="both"/>
      </w:pPr>
      <w:r>
        <w:t>Instanţa in mod greşit a menţionat perioada de valabilitate a certificatului de urbanism din 2007 valabil pana in 2010 (aferent imobilului-teren pt Hala nr.l), din punct de vedere legal acesta a fost emis pentru o perioada de 12 luni, cu posibilitatea prelungirii o singura data, in condiţiile Legii nr.50/1991 (ceea ce in realitate nu s-a solicitat).</w:t>
      </w:r>
    </w:p>
    <w:p w14:paraId="5E407BFB" w14:textId="1178C646" w:rsidR="007A5092" w:rsidRDefault="005B7675">
      <w:pPr>
        <w:ind w:right="-11" w:firstLine="708"/>
        <w:jc w:val="both"/>
      </w:pPr>
      <w:r>
        <w:t>Așa cum am învederat mai sus concesionarului nu i s-a adus la cunoştinţa actele care au stat la baza concesionarii, având la dispoziţie doar caietul de sarcini, proiectul tehnic si documentaţia de atribuire. In aceste trei documente concedentul cunoscând situaţia juridica, a ascuns in mod intenţionat, ca in realitate existau încă din anul 2003 alte concesiuni, iar documentele la care instanţa face referire in motivarea sentinţei (certificatul de urbanism, avizul CEZ, etc) am luat la cunoştinţa despre existe</w:t>
      </w:r>
      <w:r>
        <w:t>nta acestora in timpul procesului, înainte de a ni se acorda cuvântul pe excepţiile invocate de parata - reclamanta la termenul din data de 07.06.</w:t>
      </w:r>
      <w:r w:rsidR="007A38B4">
        <w:t>.........</w:t>
      </w:r>
      <w:r>
        <w:t>. Proiectul tehnic pentru Hala nr.l nu mai era valabil, motiv pentru care a fost necesara refacerea acestuia pe cheltuiala subscrisei societăţi, precum si obţinerea noilor avize. În ceea ce priveşte Hala nr. 2 concedentul ne-a adus la cunoştinţa ca după edificarea Halei nr.2 va încheia procesul - verbal de predare-primire pentru aceasta construcţie.</w:t>
      </w:r>
    </w:p>
    <w:p w14:paraId="6AE13442" w14:textId="77777777" w:rsidR="007A5092" w:rsidRDefault="005B7675">
      <w:pPr>
        <w:ind w:right="-11" w:firstLine="708"/>
        <w:jc w:val="both"/>
      </w:pPr>
      <w:r>
        <w:t>In ceea ce priveşte susţinerea instanţei cu privire la constatările experţilor constructori si contabili se apreciază ca au un caracter subsidiar si ca nu pot duce Ia soluţionare cauzei pe fond", fără a motiva înlăturarea acestor probe.</w:t>
      </w:r>
    </w:p>
    <w:p w14:paraId="5C9EAD47" w14:textId="77777777" w:rsidR="007A5092" w:rsidRDefault="005B7675">
      <w:pPr>
        <w:ind w:right="-11" w:firstLine="708"/>
        <w:jc w:val="both"/>
      </w:pPr>
      <w:r>
        <w:t>De asemenea, mai arată că instanţa de fond nu s-a pronunţat pe toate capetele de cerere cu care a fost investita (obligarea paratei la restituirea sumei de 3.972.000 lei, daune interese in cuantum de 5.400.000 EURO).</w:t>
      </w:r>
    </w:p>
    <w:p w14:paraId="4E6A6CCF" w14:textId="77777777" w:rsidR="007A5092" w:rsidRDefault="005B7675">
      <w:pPr>
        <w:ind w:right="-11" w:firstLine="708"/>
        <w:jc w:val="both"/>
      </w:pPr>
      <w:r>
        <w:t>Referitor la daunele interese în cuantum de 5.400.000 EURO, se consideră îndreptățită sa solicit beneficiul nerealizat (lucrum cessans) raportat la durata concesiunii de 40 de ani. Tulburarea dreptului reclamantei o constituie însăși nepredarea terenului nr.2 prevăzut in contract întrucât societatea reclamanta nu poate realiza si administra construcţia ce urmează a fi edificata, afectând posibilitatea atragerii comercianţilor si dezvoltarea unei zone comerciale astfel cum a fost avut in vedere la momentul î</w:t>
      </w:r>
      <w:r>
        <w:t>ncheierii contractului de concesiune. Evident, studiul de fezabilitate si planul de afaceri vizau construirea si concesionarea celor doua pieţe astfel cum au fost prevăzute in contract,m situaţia actuala aducând prejudicii de natura financiara societăţii.</w:t>
      </w:r>
    </w:p>
    <w:p w14:paraId="63DD303E" w14:textId="77777777" w:rsidR="007A5092" w:rsidRDefault="005B7675">
      <w:pPr>
        <w:ind w:right="-11" w:firstLine="708"/>
        <w:jc w:val="both"/>
      </w:pPr>
      <w:r>
        <w:t>Consideră că sunt întrunite cumulativ condiţiile necesare antrenării răspunderii contractuale a paratei-reclamante, respectiv: fapta ilicita care consta in neexecutarea obligaţiilor contractuale asumate de acesta in calitate de debitor, a obligaţiei de a-i preda terenul in suprafaţa 1587 mp, existenta unui prejudiciu in patrimoniul creditorului, cuantificat in petitul cererii de chemare in judecata, existenta unui raport de cauzalitate intre fapta ilicita a debitorului si prejudiciul creat reclamantei si vi</w:t>
      </w:r>
      <w:r>
        <w:t>novăţia debitorului.</w:t>
      </w:r>
    </w:p>
    <w:p w14:paraId="37909BB5" w14:textId="77777777" w:rsidR="007A5092" w:rsidRDefault="005B7675">
      <w:pPr>
        <w:ind w:right="-11" w:firstLine="708"/>
        <w:jc w:val="both"/>
      </w:pPr>
      <w:r>
        <w:t>Or, potrivit practicii si doctrinei judiciare, in considerentele hotărârii instanţa trebuie sa arate obligatoriu fiecare capăt de cerere si apărările pârtilor, probele care au fost administrate, motivându-se pentru ce unele dintre ele au fost reţinute, iar altele înlăturate, excepţiile invocate si modul in care au fost soluţionate, normele juridice pe care le-a aplicat la situaţia de fapt stabilita.</w:t>
      </w:r>
    </w:p>
    <w:p w14:paraId="41B238C9" w14:textId="77777777" w:rsidR="007A5092" w:rsidRDefault="005B7675">
      <w:pPr>
        <w:ind w:right="-11" w:firstLine="708"/>
        <w:jc w:val="both"/>
      </w:pPr>
      <w:r>
        <w:t xml:space="preserve">Motivarea este de esenţa hotărârilor, reprezentând o garanţie pentru părți ca cererile lor au fost analizate cu atenţie. Practica instanţei supreme este orientata în acest sens, afirmând </w:t>
      </w:r>
      <w:r>
        <w:lastRenderedPageBreak/>
        <w:t>constant ca inexistenta motivării atrage casarea hotărârii, la fel si o motivare necorespunzătoare. Cu alte cuvinte, o motivare excesiv de succinta sau necorespunzătoare în raport cu complexitatea cauzei echivalează, practic, cu inexistenta motivării.</w:t>
      </w:r>
    </w:p>
    <w:p w14:paraId="6D393C2D" w14:textId="77777777" w:rsidR="007A5092" w:rsidRDefault="005B7675">
      <w:pPr>
        <w:ind w:right="-11" w:firstLine="708"/>
        <w:jc w:val="both"/>
      </w:pPr>
      <w:r>
        <w:t>Fata de aceste aspecte, apreciază ca hotărârea nu este motivata temeinic, instanţa de fond neprezentând raţionamentul logico-juridic pentru care a respins acţiunea subscrisei reclamante-parate.</w:t>
      </w:r>
    </w:p>
    <w:p w14:paraId="47C67D4A" w14:textId="77777777" w:rsidR="007A5092" w:rsidRDefault="005B7675">
      <w:pPr>
        <w:ind w:right="-11" w:firstLine="708"/>
        <w:jc w:val="both"/>
      </w:pPr>
      <w:r>
        <w:t>Fata de toate aceste considerente, a solicitat să se admită recursul.</w:t>
      </w:r>
    </w:p>
    <w:p w14:paraId="24C14BF0" w14:textId="77777777" w:rsidR="007A5092" w:rsidRDefault="005B7675">
      <w:pPr>
        <w:ind w:right="-11" w:firstLine="708"/>
        <w:jc w:val="both"/>
      </w:pPr>
      <w:r>
        <w:t>În probaţiune, a solicitat încuviinţarea probei cu înscrisuri, expertize, precum si orice altă probă ar reieşi din dezbateri.</w:t>
      </w:r>
    </w:p>
    <w:p w14:paraId="268AF7AD" w14:textId="77777777" w:rsidR="007A5092" w:rsidRDefault="005B7675">
      <w:pPr>
        <w:ind w:right="-11" w:firstLine="708"/>
        <w:jc w:val="both"/>
      </w:pPr>
      <w:r>
        <w:t>În drept, a invocat dispoziţiile art.304 din Cod procedura civila din anul 1865,, Legea nr.34/2006, Legea nr.554/2004, OUG nr.54/2006, Legea nr.50/1991, precum si art.6 pct 1 CEDO.</w:t>
      </w:r>
    </w:p>
    <w:p w14:paraId="3C4C783F" w14:textId="77777777" w:rsidR="007A5092" w:rsidRDefault="005B7675">
      <w:pPr>
        <w:pStyle w:val="Listparagraf1"/>
        <w:numPr>
          <w:ilvl w:val="0"/>
          <w:numId w:val="3"/>
        </w:numPr>
        <w:ind w:right="-709"/>
        <w:jc w:val="both"/>
        <w:rPr>
          <w:rStyle w:val="Fontdeparagrafimplicit1"/>
          <w:b/>
        </w:rPr>
      </w:pPr>
      <w:r>
        <w:rPr>
          <w:rStyle w:val="Fontdeparagrafimplicit1"/>
          <w:b/>
        </w:rPr>
        <w:t>Poziţia procesuală a părţii adverse</w:t>
      </w:r>
    </w:p>
    <w:p w14:paraId="5CADDEE7" w14:textId="03245118" w:rsidR="007A5092" w:rsidRDefault="005B7675">
      <w:pPr>
        <w:ind w:right="-11" w:firstLine="708"/>
        <w:jc w:val="both"/>
      </w:pPr>
      <w:r>
        <w:t xml:space="preserve">UAT Municipiul </w:t>
      </w:r>
      <w:r w:rsidR="00B92C37">
        <w:t xml:space="preserve">2 </w:t>
      </w:r>
      <w:r>
        <w:t xml:space="preserve">, în contradictoriu cu societatea </w:t>
      </w:r>
      <w:r w:rsidR="00B92C37">
        <w:t xml:space="preserve">1 </w:t>
      </w:r>
      <w:r>
        <w:t>S.R.L.,  a formulat întâmpinare în temeiul prevederilor art. 490 alin. 2 Cod procedură civilă,</w:t>
      </w:r>
      <w:r w:rsidR="006451D1">
        <w:t xml:space="preserve"> </w:t>
      </w:r>
      <w:r>
        <w:t xml:space="preserve">faţă de recursul declarat împotriva Sentinţei civile nr. </w:t>
      </w:r>
      <w:r w:rsidR="00B92C37">
        <w:t xml:space="preserve">......./........... </w:t>
      </w:r>
      <w:r>
        <w:t xml:space="preserve"> pronunţată de Tribunalul </w:t>
      </w:r>
      <w:r w:rsidR="00B92C37">
        <w:t xml:space="preserve">............. </w:t>
      </w:r>
      <w:r>
        <w:t>solicitând anularea recursului, potrivit prevederilor art. 489 alin. 2 Cod procedură civilă, având în vedere faptul că motivele invocate nu se încadrează în motivele de casare prevăzute de art. 488 Cod procedură civilă;</w:t>
      </w:r>
      <w:r>
        <w:tab/>
        <w:t>respingerea recursului ca nefondat şi menţ</w:t>
      </w:r>
      <w:r>
        <w:t xml:space="preserve">inerea Sentinţei ca fiind legală şi temeinic motivată şi obligarea recurentei la plata cheltuielilor de judecată ocazionate în prezentul litigiu. </w:t>
      </w:r>
    </w:p>
    <w:p w14:paraId="154D31D7" w14:textId="61E980C9" w:rsidR="007A5092" w:rsidRDefault="005B7675">
      <w:pPr>
        <w:ind w:right="-11" w:firstLine="708"/>
        <w:jc w:val="both"/>
      </w:pPr>
      <w:r>
        <w:t xml:space="preserve">1. În primul rând, se impune să se atragă atenţia asupra faptului că recurenta invocă în mod eronat prevederile art. 304 din Codul de procedură civilă 1865, în condiţiile în care, în speţă, sunt incidente dispoziţiile Legii nr. 134/2010 privind Codul de procedură civilă intrat în vigoare la 15.02.2013 (acţiunea fiind introdusă în data de </w:t>
      </w:r>
      <w:r w:rsidR="007A38B4">
        <w:t xml:space="preserve">          </w:t>
      </w:r>
      <w:r>
        <w:t>.2015).</w:t>
      </w:r>
    </w:p>
    <w:p w14:paraId="4D7DCA7D" w14:textId="77777777" w:rsidR="007A5092" w:rsidRDefault="005B7675">
      <w:pPr>
        <w:ind w:right="-11" w:firstLine="708"/>
        <w:jc w:val="both"/>
      </w:pPr>
      <w:r>
        <w:t>Chiar şi în condiţiile în care Instanţa ar putea să reîncadreze recursul în prevederile Noului Cod de procedură civilă, a arătat faptul că se impune anularea lui, dat fiind că nu răspunde cerinţei imperative de motivare, respectiv de invocare a motivelor de nelegalitate reglementate în mod limitativ de art. 488 Cod procedură civilă.</w:t>
      </w:r>
    </w:p>
    <w:p w14:paraId="6DCDFEE4" w14:textId="564F5A2D" w:rsidR="007A5092" w:rsidRDefault="005B7675">
      <w:pPr>
        <w:ind w:right="-11" w:firstLine="708"/>
        <w:jc w:val="both"/>
      </w:pPr>
      <w:r>
        <w:t xml:space="preserve">Astfel fiind, admisibilitatea recursului formulat de către </w:t>
      </w:r>
      <w:r w:rsidR="006451D1">
        <w:t xml:space="preserve">1 </w:t>
      </w:r>
      <w:r>
        <w:t>urmează a fi analizată în raport de prevederile noii legi de procedură aplicabile procesului (art. 488 Cod procedură civilă) - ceea ce conduce la concluzia că această analiză se va raporta la conţinutul actual al motivelor de nelegalitate prevăzute de art. 488 Cod procedură civilă, iar nu la conţinutul motivelor prevăzute de art. 304 din vechiul Cod procedură civilă (dispoziţii indicate de către recurentă).</w:t>
      </w:r>
    </w:p>
    <w:p w14:paraId="12B856BC" w14:textId="77777777" w:rsidR="007A5092" w:rsidRDefault="005B7675">
      <w:pPr>
        <w:ind w:right="-11" w:firstLine="708"/>
        <w:jc w:val="both"/>
      </w:pPr>
      <w:r>
        <w:t>În mod evident, conţinutul motivelor de nelegalitate prevăzute de art. 488 pct. 2 şi 8 Cod procedură civilă este diferit de cel al textelor indicate de către recurentă.</w:t>
      </w:r>
    </w:p>
    <w:p w14:paraId="44E41EF9" w14:textId="71115762" w:rsidR="007A5092" w:rsidRDefault="005B7675">
      <w:pPr>
        <w:ind w:right="-11" w:firstLine="708"/>
        <w:jc w:val="both"/>
      </w:pPr>
      <w:r>
        <w:t xml:space="preserve">Date fiind (i) cerinţa legalităţii căilor de atac (prevăzută de art. 457 Cod procedură civilă), care presupune raportarea căii de atac la condiţiile şi termenele prevăzute de lege, precum şi (ii) necesitatea aplicării condiţiilor şi termenelor prevăzute de legea de procedură civilă actuală, vă rugăm să observaţi faptul că recursul declarat de </w:t>
      </w:r>
      <w:r w:rsidR="006451D1">
        <w:t xml:space="preserve">1 </w:t>
      </w:r>
      <w:r>
        <w:t>nu se încadrează în motivele de nelegalitate prevăzute de art. 488 Cod procedură civilă (şi nici nu ar putea fi încadrat în acestea), astfel încât se impune anularea lui, potrivit prevederilor art. 489 alin. 2 Cod procedură civilă.</w:t>
      </w:r>
    </w:p>
    <w:p w14:paraId="7E850487" w14:textId="77777777" w:rsidR="007A5092" w:rsidRDefault="005B7675">
      <w:pPr>
        <w:ind w:right="-11" w:firstLine="708"/>
        <w:jc w:val="both"/>
      </w:pPr>
      <w:r>
        <w:t>În situaţia în care instanţa ar admite posibilitatea încadrării formale a recursului, în prevederile art. 488 pct. 2 şi pct. 8 Cod procedură civilă, este necesar a fi observat faptul că pretinsele motive de nelegalitate aduse în discuţie de către recurentă nu se circumscriu celor prevăzute de art. 488 Cod procedură civilă.</w:t>
      </w:r>
    </w:p>
    <w:p w14:paraId="500BB996" w14:textId="77777777" w:rsidR="007A5092" w:rsidRDefault="005B7675">
      <w:pPr>
        <w:ind w:right="-11" w:firstLine="708"/>
        <w:jc w:val="both"/>
      </w:pPr>
      <w:r>
        <w:t xml:space="preserve">1. Referitor la motivul de nelegalitate prevăzut de art. 488 pct. 2 Cod procedură civilă, recurenta face referire la o serie de aspecte care nu se încadrează în motivul de nelegalitate </w:t>
      </w:r>
      <w:r>
        <w:lastRenderedPageBreak/>
        <w:t>prevăzut de art. 488 pct. 2 Cod procedură civilă, având în vedere prevederile art. 392 Cod procedură civilă, art. 394 alin. 1 Cod procedură civilă.</w:t>
      </w:r>
    </w:p>
    <w:p w14:paraId="6CDB83C9" w14:textId="385B88FE" w:rsidR="007A5092" w:rsidRDefault="005B7675">
      <w:pPr>
        <w:ind w:right="-11" w:firstLine="708"/>
        <w:jc w:val="both"/>
      </w:pPr>
      <w:r>
        <w:t xml:space="preserve">Dezbaterile în fond au fost deschise în data de </w:t>
      </w:r>
      <w:r w:rsidR="006451D1">
        <w:t xml:space="preserve">............. </w:t>
      </w:r>
      <w:r>
        <w:t xml:space="preserve">, fiind închise la acelaşi termen de judecată, completul fiind prezidat de către dna judecător </w:t>
      </w:r>
      <w:r w:rsidR="006451D1">
        <w:t>A</w:t>
      </w:r>
      <w:r>
        <w:t xml:space="preserve">, hotărârea a fost pronunţată de completul prezidat de către dna judecător </w:t>
      </w:r>
      <w:r w:rsidR="006451D1">
        <w:t>A</w:t>
      </w:r>
      <w:r>
        <w:t xml:space="preserve"> - aşadar, acelaşi judecător care a luat parte la dezbaterea în fond a procesului. Textul art. 488 pct. 2 Cod procedură civilă nu face nicio referire la pronunţarea hotărârii de către alt judecător decât acela care „a participat la cercetarea judecătorească” (cum susţine </w:t>
      </w:r>
      <w:r w:rsidR="006451D1">
        <w:t xml:space="preserve">1 </w:t>
      </w:r>
      <w:r>
        <w:t>), recurenta adăugând la textul legii. În speţă, com</w:t>
      </w:r>
      <w:r>
        <w:t xml:space="preserve">ponenţa completului de judecată a fost schimbată în mod legal, urmare a pensionării dnei judecător </w:t>
      </w:r>
      <w:r w:rsidR="00217AB5">
        <w:t>A</w:t>
      </w:r>
      <w:r w:rsidR="006451D1">
        <w:t xml:space="preserve"> </w:t>
      </w:r>
      <w:r>
        <w:t xml:space="preserve">, eliberarea sa din funcţie fiind obiectul Decretului nr. </w:t>
      </w:r>
      <w:r w:rsidR="00CE38EE">
        <w:t xml:space="preserve"> </w:t>
      </w:r>
      <w:r>
        <w:t>/2017.</w:t>
      </w:r>
    </w:p>
    <w:p w14:paraId="3C5B9D1F" w14:textId="0B29A850" w:rsidR="007A5092" w:rsidRDefault="005B7675">
      <w:pPr>
        <w:ind w:right="-11" w:firstLine="708"/>
        <w:jc w:val="both"/>
      </w:pPr>
      <w:r>
        <w:t xml:space="preserve">2. Referitor la motivul de nelegalitate prevăzut de art. 488 pct. 8 Cod procedură civilă, recurenta nu menţionează prevederile legale pretins a fi fost încălcate sau aplicate greşit de către prima instanţă. Dimpotrivă, </w:t>
      </w:r>
      <w:r w:rsidR="006451D1">
        <w:t xml:space="preserve">1 </w:t>
      </w:r>
      <w:r>
        <w:t xml:space="preserve">reia expunerea situaţiei de fapt sau contrazice în mod generic aspectele reţinute de către Tribunalul </w:t>
      </w:r>
      <w:r w:rsidR="00B92C37">
        <w:t xml:space="preserve">............. </w:t>
      </w:r>
      <w:r>
        <w:t>- sub cuvânt că „instanţa în mod greşit a menţionat [...]” -, elemente care nu se circumscriu motivului de nelegalitate prevăzut de art. 304 pct. 9 vechiul Cod de procedură civilă.</w:t>
      </w:r>
    </w:p>
    <w:p w14:paraId="21A785B5" w14:textId="77777777" w:rsidR="007A5092" w:rsidRDefault="005B7675">
      <w:pPr>
        <w:ind w:right="-11" w:firstLine="708"/>
        <w:jc w:val="both"/>
      </w:pPr>
      <w:r>
        <w:t>Mai mult decât atât, pretinsele critici aduse Sentinţei nu se încadrează în dispoziţiile art. 488 pct. 8 Cod procedură civilă, referitoare la situaţia în care „hotărârea a fost dată cu încălcarea sau aplicarea greşită a normelor de drept material” (subl.ns.).</w:t>
      </w:r>
    </w:p>
    <w:p w14:paraId="32C12342" w14:textId="77777777" w:rsidR="007A5092" w:rsidRDefault="005B7675">
      <w:pPr>
        <w:ind w:right="-11" w:firstLine="708"/>
        <w:jc w:val="both"/>
      </w:pPr>
      <w:r>
        <w:t>Nu există nicio expunere a unei norme de drept material care să fi fost încălcată de prima instanţă.</w:t>
      </w:r>
    </w:p>
    <w:p w14:paraId="36725ECA" w14:textId="77777777" w:rsidR="007A5092" w:rsidRDefault="005B7675">
      <w:pPr>
        <w:ind w:right="-11" w:firstLine="708"/>
        <w:jc w:val="both"/>
      </w:pPr>
      <w:r>
        <w:t xml:space="preserve">De altfel, caracterul confuz al argumentaţiei recursului reiese şi din faptul că, deşi recurenta se referă la prevederile art. 304 pct. 9 vechiul Cod de procedură civilă, criticile sale sunt dezvoltate numai din perspectiva pretinsei încălcări a principiului continuităţii, fără a fi dezvoltată în vreun mod teza încălcării sau aplicării greşite a legii. </w:t>
      </w:r>
    </w:p>
    <w:p w14:paraId="5CAB2D9E" w14:textId="26245CF6" w:rsidR="007A5092" w:rsidRDefault="005B7675">
      <w:pPr>
        <w:ind w:right="-11" w:firstLine="708"/>
        <w:jc w:val="both"/>
      </w:pPr>
      <w:r>
        <w:t xml:space="preserve">Nu în ultimul rând, recurenta inserează o serie de aprecieri, potrivit cărora instanţa nu s-ar fi pronunţat pe toate capetele de cerere sau ar fi înlăturat probe în mod nemotivat - aspecte care nu au nicio legătură cu motivul de nelegalitate indicat de către </w:t>
      </w:r>
      <w:r w:rsidR="006451D1">
        <w:t xml:space="preserve">1 </w:t>
      </w:r>
      <w:r>
        <w:t>, referitor la încălcarea sau aplicarea greşită a legii.</w:t>
      </w:r>
    </w:p>
    <w:p w14:paraId="2E01F61E" w14:textId="77777777" w:rsidR="007A5092" w:rsidRDefault="005B7675">
      <w:pPr>
        <w:ind w:right="-11" w:firstLine="708"/>
        <w:jc w:val="both"/>
      </w:pPr>
      <w:r>
        <w:t>Date fiind viciile care afectează recursul, se impune anularea acestuia, devenind aplicabile dispoziţiile art. 489 alin. 2 Cod procedură civilă</w:t>
      </w:r>
    </w:p>
    <w:p w14:paraId="1C4BB012" w14:textId="77777777" w:rsidR="007A5092" w:rsidRDefault="005B7675">
      <w:pPr>
        <w:ind w:right="-11" w:firstLine="708"/>
        <w:jc w:val="both"/>
      </w:pPr>
      <w:r>
        <w:t>3. Recursul este nefondat, sentinţa fiind legală şi temeinic motivată.</w:t>
      </w:r>
    </w:p>
    <w:p w14:paraId="1EAE6DD8" w14:textId="61F3C854" w:rsidR="007A5092" w:rsidRDefault="005B7675">
      <w:pPr>
        <w:ind w:right="-11" w:firstLine="708"/>
        <w:jc w:val="both"/>
      </w:pPr>
      <w:r>
        <w:t xml:space="preserve">Sentinţa este legală şi temeinic motivată, aceasta raportându-se atât la dispoziţiile Contractului de concesiune de lucrări nr. </w:t>
      </w:r>
      <w:r w:rsidR="00B92C37">
        <w:t>4/22.06.2010</w:t>
      </w:r>
      <w:r>
        <w:t xml:space="preserve"> („Contractul de concesiune „Contractul), cât şi la dispoziţiile Codului civil referitoare la răspunderea contractuală.</w:t>
      </w:r>
    </w:p>
    <w:p w14:paraId="24B8C000" w14:textId="77777777" w:rsidR="007A5092" w:rsidRDefault="005B7675">
      <w:pPr>
        <w:ind w:right="-11" w:firstLine="708"/>
        <w:jc w:val="both"/>
      </w:pPr>
      <w:r>
        <w:t>Potrivit Contractului de concesiune:</w:t>
      </w:r>
    </w:p>
    <w:p w14:paraId="5EAA933E" w14:textId="77777777" w:rsidR="007A5092" w:rsidRDefault="005B7675">
      <w:pPr>
        <w:ind w:right="-11" w:firstLine="708"/>
        <w:jc w:val="both"/>
      </w:pPr>
      <w:r>
        <w:t>&gt;</w:t>
      </w:r>
      <w:r>
        <w:tab/>
      </w:r>
      <w:r>
        <w:t>Art. 1 alin. (1) lit. b): „Zona boxelor din fosta piaţă de păsări, unde acum se desfăşoară activităţi comerciale, cu următoarele delimitări</w:t>
      </w:r>
    </w:p>
    <w:p w14:paraId="50DFAA28" w14:textId="77777777" w:rsidR="007A5092" w:rsidRDefault="005B7675">
      <w:pPr>
        <w:ind w:right="-11" w:firstLine="708"/>
        <w:jc w:val="both"/>
      </w:pPr>
      <w:r>
        <w:t>&gt;</w:t>
      </w:r>
      <w:r>
        <w:tab/>
        <w:t>Art. 1 alin. (1) paragraf ultim: „concesionarul, pe cheltuiala sa, are obligaţia de a deţine toate acordurile şi avizele impuse de legislaţia în construcţii</w:t>
      </w:r>
    </w:p>
    <w:p w14:paraId="2F8FAB4E" w14:textId="77777777" w:rsidR="007A5092" w:rsidRDefault="005B7675">
      <w:pPr>
        <w:ind w:right="-11" w:firstLine="708"/>
        <w:jc w:val="both"/>
      </w:pPr>
      <w:r>
        <w:t>&gt;</w:t>
      </w:r>
      <w:r>
        <w:tab/>
        <w:t>Art. 3.6: „până la punerea în funcţiune a Halei nr. 2, redevenţa lunară pentru Piaţa Agroalimentară (Hala nr. 1) reprezintă 55% din valoarea redevenţei lunare adjudecate</w:t>
      </w:r>
    </w:p>
    <w:p w14:paraId="35ABA2F5" w14:textId="77777777" w:rsidR="007A5092" w:rsidRDefault="005B7675">
      <w:pPr>
        <w:ind w:right="-11" w:firstLine="708"/>
        <w:jc w:val="both"/>
      </w:pPr>
      <w:r>
        <w:t>&gt;</w:t>
      </w:r>
      <w:r>
        <w:tab/>
        <w:t>Art. 7 alin. (14) paragraf 3: „concesionarul îşi asumă riscul de disponibilitate, constând în nerespectarea parametrilor de performanţă şi calitate ai construcţiei, pe întreaga durată de viaţă a proiectului, asumat prin ofertă</w:t>
      </w:r>
    </w:p>
    <w:p w14:paraId="14975FC2" w14:textId="77777777" w:rsidR="007A5092" w:rsidRDefault="005B7675">
      <w:pPr>
        <w:ind w:right="-11" w:firstLine="708"/>
        <w:jc w:val="both"/>
      </w:pPr>
      <w:r>
        <w:t>&gt;</w:t>
      </w:r>
      <w:r>
        <w:tab/>
        <w:t>Art. 7 alin. (14) paragraf 5: „concesionarul îşi asumă alte riscuri legate de proiectare, construire şi exploatarea construcţiilor care se vor ivi pe parcursul derulării contractului.</w:t>
      </w:r>
    </w:p>
    <w:p w14:paraId="0E414549" w14:textId="77777777" w:rsidR="007A5092" w:rsidRDefault="005B7675">
      <w:pPr>
        <w:ind w:right="-11" w:firstLine="708"/>
        <w:jc w:val="both"/>
      </w:pPr>
      <w:r>
        <w:t xml:space="preserve">Din clauzele contractuale citate mai sus rezultă faptul că recurenta a cunoscut, la momentul încheierii Contractului de concesiune, situaţia terenului în suprafaţă de 1587 mp, </w:t>
      </w:r>
      <w:r>
        <w:lastRenderedPageBreak/>
        <w:t>Contractul menţionând în cuprinsul Art. 1 alin. (1) lit. b) faptul că în zona boxelor din fosta piaţă de păsări se desfăşurau la acel moment activităţi comerciale.</w:t>
      </w:r>
    </w:p>
    <w:p w14:paraId="790BB0A5" w14:textId="77777777" w:rsidR="007A5092" w:rsidRDefault="005B7675">
      <w:pPr>
        <w:ind w:right="-11" w:firstLine="708"/>
        <w:jc w:val="both"/>
      </w:pPr>
      <w:r>
        <w:t>In considerarea situaţiei acestei suprafeţe de teren, părţile contractante au agreat aplicarea unui cuantum redus al redevenţei lunare până la punerea în funcţiune a Halei nr. 2.</w:t>
      </w:r>
    </w:p>
    <w:p w14:paraId="5084B3CF" w14:textId="427675E8" w:rsidR="007A5092" w:rsidRDefault="005B7675">
      <w:pPr>
        <w:ind w:right="-11" w:firstLine="708"/>
        <w:jc w:val="both"/>
      </w:pPr>
      <w:r>
        <w:t xml:space="preserve">Aceste aspecte nu au fost contestate de către </w:t>
      </w:r>
      <w:r w:rsidR="006451D1">
        <w:t xml:space="preserve">1 </w:t>
      </w:r>
      <w:r>
        <w:t>, aceasta înţelegând să denatureze raţionamentul instanţei de fond - cum este cazul argumentului potrivit căruia „instanţa în mod greşit a menţionat perioada de valabilitate a certificatului de urbanism din 2007 valabil până în 2010</w:t>
      </w:r>
      <w:r w:rsidR="006451D1">
        <w:t xml:space="preserve"> </w:t>
      </w:r>
      <w:r>
        <w:t>în contextul în care prima instanţă a reţinut tocmai faptul că acest certificat de urbanism nu mai era valabil la data încheierii Contractului de concesiune.</w:t>
      </w:r>
    </w:p>
    <w:p w14:paraId="0DF2EE6F" w14:textId="6CD2E75C" w:rsidR="007A5092" w:rsidRDefault="005B7675">
      <w:pPr>
        <w:ind w:right="-11" w:firstLine="708"/>
        <w:jc w:val="both"/>
      </w:pPr>
      <w:r>
        <w:t xml:space="preserve">Urmare a adresei </w:t>
      </w:r>
      <w:r w:rsidR="006451D1">
        <w:t xml:space="preserve">1 </w:t>
      </w:r>
      <w:r>
        <w:t xml:space="preserve">nr. </w:t>
      </w:r>
      <w:r w:rsidR="006451D1">
        <w:t>8</w:t>
      </w:r>
      <w:r>
        <w:t xml:space="preserve">/10.07.2014, a emis adresa nr. </w:t>
      </w:r>
      <w:r w:rsidR="006451D1">
        <w:t>9</w:t>
      </w:r>
      <w:r>
        <w:t>/14.08.2014, în cuprinsul căreia:</w:t>
      </w:r>
    </w:p>
    <w:p w14:paraId="3BB1D0D2" w14:textId="0E6559F0" w:rsidR="007A5092" w:rsidRDefault="005B7675">
      <w:pPr>
        <w:ind w:right="-11" w:firstLine="708"/>
        <w:jc w:val="both"/>
      </w:pPr>
      <w:r>
        <w:t>&gt;</w:t>
      </w:r>
      <w:r>
        <w:tab/>
        <w:t xml:space="preserve">se răspunde faţă de sesizarea problemelor întâmpinate de către </w:t>
      </w:r>
      <w:r w:rsidR="006451D1">
        <w:t xml:space="preserve">1 </w:t>
      </w:r>
      <w:r>
        <w:t>la obţinerea avizului CEZ Distribuţie SA pentru construirea Halei nr. 2;</w:t>
      </w:r>
    </w:p>
    <w:p w14:paraId="2FA4E07B" w14:textId="27E39C1F" w:rsidR="007A5092" w:rsidRDefault="005B7675">
      <w:pPr>
        <w:ind w:right="-11" w:firstLine="708"/>
        <w:jc w:val="both"/>
      </w:pPr>
      <w:r>
        <w:t>&gt;</w:t>
      </w:r>
      <w:r>
        <w:tab/>
        <w:t xml:space="preserve">este menţionat faptul că la baza adoptării Hotărârii Consiliului Local nr. </w:t>
      </w:r>
      <w:r w:rsidR="00B92C37">
        <w:t>7</w:t>
      </w:r>
      <w:r>
        <w:t xml:space="preserve">/2007 de aprobare a studiului de fezabilitate „a stat şi Avizul nr. </w:t>
      </w:r>
      <w:r w:rsidR="006451D1">
        <w:t>10</w:t>
      </w:r>
      <w:r>
        <w:t xml:space="preserve">/21.08.2007 emis de </w:t>
      </w:r>
      <w:r w:rsidR="00CE38EE">
        <w:t xml:space="preserve"> </w:t>
      </w:r>
      <w:r>
        <w:t xml:space="preserve"> Electrica </w:t>
      </w:r>
      <w:r w:rsidR="007A38B4">
        <w:t xml:space="preserve">            </w:t>
      </w:r>
      <w:r>
        <w:t xml:space="preserve"> S.A.”;</w:t>
      </w:r>
    </w:p>
    <w:p w14:paraId="6344A081" w14:textId="4805032E" w:rsidR="007A5092" w:rsidRDefault="005B7675">
      <w:pPr>
        <w:ind w:right="-11" w:firstLine="708"/>
        <w:jc w:val="both"/>
      </w:pPr>
      <w:r>
        <w:t>&gt;</w:t>
      </w:r>
      <w:r>
        <w:tab/>
        <w:t xml:space="preserve">este specificat faptul că este anexată o copie a Avizului nr. </w:t>
      </w:r>
      <w:r w:rsidR="006451D1">
        <w:t>10</w:t>
      </w:r>
      <w:r>
        <w:t xml:space="preserve">/21.08.2007 emis de </w:t>
      </w:r>
      <w:r w:rsidR="00CE38EE">
        <w:t xml:space="preserve"> </w:t>
      </w:r>
      <w:r>
        <w:t xml:space="preserve"> Electrica </w:t>
      </w:r>
      <w:r w:rsidR="007A38B4">
        <w:t xml:space="preserve">            </w:t>
      </w:r>
      <w:r>
        <w:t xml:space="preserve"> S.A.</w:t>
      </w:r>
    </w:p>
    <w:p w14:paraId="5ACE5C30" w14:textId="6F036CCD" w:rsidR="007A5092" w:rsidRDefault="005B7675">
      <w:pPr>
        <w:ind w:right="-11" w:firstLine="708"/>
        <w:jc w:val="both"/>
      </w:pPr>
      <w:r>
        <w:t xml:space="preserve">Reaua-credinţă a recurentei este evidentă, aceasta urmărind cu orice preţ să deformeze raţionamentul instanţei de fond. Avizul în discuţie a fost pus la dispoziţia </w:t>
      </w:r>
      <w:r w:rsidR="006451D1">
        <w:t xml:space="preserve">1 </w:t>
      </w:r>
      <w:r>
        <w:t>cel târziu la data de 10.07.2014, anterior iniţierii procesului.</w:t>
      </w:r>
    </w:p>
    <w:p w14:paraId="39B389C9" w14:textId="77777777" w:rsidR="007A5092" w:rsidRDefault="005B7675">
      <w:pPr>
        <w:ind w:right="-11" w:firstLine="708"/>
        <w:jc w:val="both"/>
      </w:pPr>
      <w:r>
        <w:t xml:space="preserve">Faptul că recurenta nu invocă, în realitate, motive de nelegalitate a Sentinţei, din perspectiva aplicării şi interpretării de către instanţa de fond a unor norme de drept material, este reflectat chiar de modul în care este formulată argumentaţia aferentă recursului. </w:t>
      </w:r>
    </w:p>
    <w:p w14:paraId="37B9B086" w14:textId="77777777" w:rsidR="007A5092" w:rsidRDefault="005B7675">
      <w:pPr>
        <w:ind w:right="-11" w:firstLine="708"/>
        <w:jc w:val="both"/>
      </w:pPr>
      <w:r>
        <w:t xml:space="preserve"> Or, în speţă, instanţa de fond a reţinut în mod corect existenţa culpei comune a părţilor contractante, element în considerarea căruia a respins cererea de reziliere a Contractului de concesiune.</w:t>
      </w:r>
    </w:p>
    <w:p w14:paraId="69B5C99D" w14:textId="77777777" w:rsidR="007A5092" w:rsidRDefault="005B7675">
      <w:pPr>
        <w:ind w:right="-11" w:firstLine="708"/>
        <w:jc w:val="both"/>
      </w:pPr>
      <w:r>
        <w:t>În caz de rezoluţiune judiciară, instanţa are a verifica existenţa unei fapte ilicite a debitorului (care constă tocmai în neexecutarea sau executarea cu întârziere a obligaţiei), existenţa vinovăţiei acestuia (adică, neexecutarea să îi fie imputabilă) şi îndeplinirea cerinţei privind punerea în întârziere a debitorului obligaţiei neexecutate, instanţa având posibilitatea de a acorda debitorului, după circumstanţe, un termen de graţie pentru aducerea la îndeplinire a obligaţiei” .</w:t>
      </w:r>
    </w:p>
    <w:p w14:paraId="7E046A11" w14:textId="77777777" w:rsidR="007A5092" w:rsidRDefault="005B7675">
      <w:pPr>
        <w:ind w:right="-11" w:firstLine="708"/>
        <w:jc w:val="both"/>
      </w:pPr>
      <w:r>
        <w:t>Această analiză a întrunirii elementelor răspunderii contractuale a fost realizată de către instanţă, aceasta subliniind în mod corect faptul că:</w:t>
      </w:r>
    </w:p>
    <w:p w14:paraId="0A660CCF" w14:textId="0F3B0AE1" w:rsidR="007A5092" w:rsidRDefault="005B7675">
      <w:pPr>
        <w:ind w:right="-11" w:firstLine="708"/>
        <w:jc w:val="both"/>
      </w:pPr>
      <w:r>
        <w:t>&gt; „documentaţia incompletă a procedurii achiziţiei publice întocmită de către concedent, semnarea contractului de concesiune de părţi, concedent şi concesionar, deci acceptarea procedurii achiziţiei publice cu actele astfel întocmite; executarea parţială de către concesionar. prin edificarea uneia din cele două construcţii, deficientele privind activitatea de comerţ intervenite în utilizarea Pieţei Agroalimentare, în exploatarea construcţiei edificată de către concesionar care, se apreciază de către instanţ</w:t>
      </w:r>
      <w:r>
        <w:t xml:space="preserve">ă (pentru motivele mai sus expuse) pot fi remediate prin negocierea părţilor. neexecutarea celei de-a doua construcţii datorată acceptării situaţiei juridice a terenului în suprafaţă de 1587 mp atât de concedent cât si de concesionar. solicitarea concedentului, pârâtul din această cauză de punere la dispoziţie a acestui teren în cursul soluţionării prezentei cauze, prin adresa nr. </w:t>
      </w:r>
      <w:r w:rsidR="006451D1">
        <w:t>11</w:t>
      </w:r>
      <w:r>
        <w:t>/15.02.2017 (fila 10 dosar volumul VI), toate aceste date reprezintă temeiuri de reţinere a culpei ambelor părţi în întârziere</w:t>
      </w:r>
      <w:r>
        <w:t>a executării parţiale a contractului de concesiune, context în care rezilierea contractului de concesiune, care impune nerespectarea obligaţiilor contractuale de către una din părţile contractante. nu poate fi dispusă. Prin urmare, contractul de concesiune, în realizarea obiectivelor fiecărei părţi, se apreciază că poate fi menţinut.</w:t>
      </w:r>
    </w:p>
    <w:p w14:paraId="080613C8" w14:textId="61D879E8" w:rsidR="007A5092" w:rsidRDefault="005B7675">
      <w:pPr>
        <w:ind w:right="-11" w:firstLine="708"/>
        <w:jc w:val="both"/>
      </w:pPr>
      <w:r>
        <w:lastRenderedPageBreak/>
        <w:t xml:space="preserve">Recurenta nu contrazice în niciun mod, din perspectivă legală, considerentul Sentinţei referitor la adresa nr. </w:t>
      </w:r>
      <w:r w:rsidR="006451D1">
        <w:t>11</w:t>
      </w:r>
      <w:r>
        <w:t>/15.02.2017 comunicată de către subscrisa şi efectele acestei adrese.</w:t>
      </w:r>
    </w:p>
    <w:p w14:paraId="6C318412" w14:textId="77777777" w:rsidR="007A5092" w:rsidRDefault="005B7675">
      <w:pPr>
        <w:ind w:right="-11" w:firstLine="708"/>
        <w:jc w:val="both"/>
      </w:pPr>
      <w:r>
        <w:t>În recurs, este menţionat doar faptul că recurenta nu a dat curs solicitării „deoarece pârâta - reclamantă mai avea dosare în curs de soluţionare atât pe fond, cât şi în căile de atac cu agenţii economici […]”</w:t>
      </w:r>
    </w:p>
    <w:p w14:paraId="42A48B05" w14:textId="38912787" w:rsidR="007A5092" w:rsidRDefault="005B7675">
      <w:pPr>
        <w:ind w:right="-11" w:firstLine="708"/>
        <w:jc w:val="both"/>
      </w:pPr>
      <w:r>
        <w:t xml:space="preserve">Acest aspect se regăseşte în vădită contradicţie faţă de susţinerile </w:t>
      </w:r>
      <w:r w:rsidR="006451D1">
        <w:t xml:space="preserve">1 </w:t>
      </w:r>
      <w:r>
        <w:t>potrivit cărora „reclamanta nu poate realiza şi administra construcţia ce urmează a fi edificată, afectând posibilitatea atragerii comercianţilor şi dezvoltarea unei zone comerciale, astfel cum a fost avut în vedere la momentul încheierii contractului de concesiune</w:t>
      </w:r>
    </w:p>
    <w:p w14:paraId="3D76089F" w14:textId="44D607C5" w:rsidR="007A5092" w:rsidRDefault="005B7675">
      <w:pPr>
        <w:ind w:right="-11" w:firstLine="708"/>
        <w:jc w:val="both"/>
      </w:pPr>
      <w:r>
        <w:t xml:space="preserve">În realitate, refuzul </w:t>
      </w:r>
      <w:r w:rsidR="006451D1">
        <w:t xml:space="preserve">1 </w:t>
      </w:r>
      <w:r>
        <w:t xml:space="preserve">de a prelua amplasamentul Halei nr. 2 reflectă faptul că recurenta nu mai este interesată de dezvoltarea acestei construcţii (date fiind rezultatele financiare ale exploatării Halei nr. 1), </w:t>
      </w:r>
      <w:r w:rsidR="006451D1">
        <w:t xml:space="preserve">1 </w:t>
      </w:r>
      <w:r>
        <w:t>urmărind eludarea prevederilor contractuale referitoare la asumarea riscului de piaţă - art. 7 alin. 14 paragraf 4 prevăzând: „concesionarul îşi asumă riscul de piaţă, constând în neîntrebuinţarea de către utilizatorii finali a rezultatului lucrărilor executate puse la dispoziţia acestora</w:t>
      </w:r>
    </w:p>
    <w:p w14:paraId="74359260" w14:textId="0C66E2BB" w:rsidR="007A5092" w:rsidRDefault="005B7675">
      <w:pPr>
        <w:ind w:right="-11" w:firstLine="708"/>
        <w:jc w:val="both"/>
      </w:pPr>
      <w:r>
        <w:t xml:space="preserve">Date fiind prevederile HCL nr. </w:t>
      </w:r>
      <w:r w:rsidR="00B92C37">
        <w:t>6</w:t>
      </w:r>
      <w:r>
        <w:t xml:space="preserve">/26.02.2010 referitoare la aprobarea concesionării spaţiilor aferente Pieţei Centrale a Mun. </w:t>
      </w:r>
      <w:r w:rsidR="00B92C37">
        <w:t xml:space="preserve">2 </w:t>
      </w:r>
      <w:r>
        <w:t xml:space="preserve">, cu modificările ulterioare, spaţiul afectat Halei nr. 2 nu poate fi utilizat de către subscrisa pentru alte proiecte. În prezent, dat fiind refuzul </w:t>
      </w:r>
      <w:r w:rsidR="006451D1">
        <w:t xml:space="preserve">1 </w:t>
      </w:r>
      <w:r>
        <w:t>de a prelua amplasamentul, subscrisa se regăseşte în imposibilitatea de a utiliza acest teren în beneficiul cetăţenilor.</w:t>
      </w:r>
    </w:p>
    <w:p w14:paraId="463D6C2E" w14:textId="77777777" w:rsidR="007A5092" w:rsidRDefault="005B7675">
      <w:pPr>
        <w:ind w:right="-11" w:firstLine="708"/>
        <w:jc w:val="both"/>
      </w:pPr>
      <w:r>
        <w:t>Sunt pe deplin aplicabile prevederile art. 970 Cod civil (1864) potrivit cărora „convenţiile trebuie executate cu bună-credinţă. Ele obligă nu numai la ceea ce este expres într-însele, dar la toate urmările, ce echitatea, obiceiul sau legea dă obligaţiei după natura sa”.</w:t>
      </w:r>
    </w:p>
    <w:p w14:paraId="3D6BEB91" w14:textId="77777777" w:rsidR="007A5092" w:rsidRDefault="005B7675">
      <w:pPr>
        <w:ind w:right="-11" w:firstLine="708"/>
        <w:jc w:val="both"/>
      </w:pPr>
      <w:r>
        <w:t>În cazul de faţă, astfel cum a reţinut şi instanţa de fond, recurenta a avut cunoştinţă despre situaţia terenului în suprafaţă de 1587 mp, în prezent aceasta urmărind obţinerea unor sume semnificative, necuvenite, prin deformarea prevederilor Contractului de concesiune.</w:t>
      </w:r>
    </w:p>
    <w:p w14:paraId="7038DEC2" w14:textId="0184ED7B" w:rsidR="007A5092" w:rsidRDefault="005B7675">
      <w:pPr>
        <w:ind w:right="-11" w:firstLine="708"/>
        <w:jc w:val="both"/>
      </w:pPr>
      <w:r>
        <w:t xml:space="preserve">Nu în ultimul rând, atrage atenţia asupra situaţiei dificile în care subscrisa s-ar regăsi în situaţia în care ar fi admise pretenţiile exorbitante ale recurentei, în condiţiile în care suma de 10,650.782 Euro pretinsă de aceasta ar acoperi bugetul UAT pe o perioadă de cel puţin 3 ani. Or, în situaţia în care asemenea sumă ar fi acordată </w:t>
      </w:r>
      <w:r w:rsidR="006451D1">
        <w:t xml:space="preserve">1 </w:t>
      </w:r>
      <w:r>
        <w:t>, se va regăsi în stare de insolvabilitate.</w:t>
      </w:r>
    </w:p>
    <w:p w14:paraId="50C6A473" w14:textId="77777777" w:rsidR="007A5092" w:rsidRDefault="005B7675">
      <w:pPr>
        <w:ind w:right="-11" w:firstLine="708"/>
        <w:jc w:val="both"/>
      </w:pPr>
      <w:r>
        <w:t>În drept, prezenta întâmpinare este întemeiată pe dispoziţiile art. 490 alin. (2) din Codul de procedură civilă, precum şi pe toate dispoziţiile legale invocate în cuprinsul său.</w:t>
      </w:r>
    </w:p>
    <w:p w14:paraId="6F9F9FE0" w14:textId="77777777" w:rsidR="007A5092" w:rsidRDefault="005B7675">
      <w:pPr>
        <w:ind w:right="-11" w:firstLine="708"/>
        <w:jc w:val="both"/>
      </w:pPr>
      <w:r>
        <w:t>În dovedirea prezentei, solicită administrarea probei cu înscrisuri.</w:t>
      </w:r>
    </w:p>
    <w:p w14:paraId="59C534E2" w14:textId="77777777" w:rsidR="007A5092" w:rsidRDefault="007A5092">
      <w:pPr>
        <w:ind w:right="-11" w:firstLine="708"/>
        <w:jc w:val="both"/>
        <w:rPr>
          <w:rStyle w:val="Fontdeparagrafimplicit1"/>
          <w:b/>
        </w:rPr>
      </w:pPr>
    </w:p>
    <w:p w14:paraId="7D8A9A24" w14:textId="77777777" w:rsidR="007A5092" w:rsidRDefault="005B7675">
      <w:pPr>
        <w:numPr>
          <w:ilvl w:val="0"/>
          <w:numId w:val="3"/>
        </w:numPr>
        <w:ind w:right="-11"/>
        <w:jc w:val="both"/>
        <w:rPr>
          <w:rStyle w:val="Fontdeparagrafimplicit1"/>
          <w:b/>
        </w:rPr>
      </w:pPr>
      <w:r>
        <w:rPr>
          <w:rStyle w:val="Fontdeparagrafimplicit1"/>
          <w:b/>
        </w:rPr>
        <w:t>Alte aspecte procesuale</w:t>
      </w:r>
    </w:p>
    <w:p w14:paraId="49484154" w14:textId="77777777" w:rsidR="007A5092" w:rsidRDefault="005B7675">
      <w:pPr>
        <w:ind w:right="-11" w:firstLine="708"/>
        <w:jc w:val="both"/>
      </w:pPr>
      <w:r>
        <w:t>În soluţionarea căii de atac în privinţa căreia a fost legal învestită, Curtea nu a administrat probe noi.</w:t>
      </w:r>
    </w:p>
    <w:p w14:paraId="73FEFCDE" w14:textId="77777777" w:rsidR="007A5092" w:rsidRDefault="005B7675">
      <w:pPr>
        <w:pStyle w:val="Listparagraf1"/>
        <w:numPr>
          <w:ilvl w:val="0"/>
          <w:numId w:val="3"/>
        </w:numPr>
        <w:ind w:right="-709"/>
        <w:jc w:val="both"/>
        <w:rPr>
          <w:rStyle w:val="Fontdeparagrafimplicit1"/>
          <w:b/>
        </w:rPr>
      </w:pPr>
      <w:r>
        <w:rPr>
          <w:rStyle w:val="Fontdeparagrafimplicit1"/>
          <w:b/>
        </w:rPr>
        <w:t>Analiza instanţei de recurs</w:t>
      </w:r>
    </w:p>
    <w:p w14:paraId="1837CA2F" w14:textId="77777777" w:rsidR="007A5092" w:rsidRDefault="005B7675">
      <w:pPr>
        <w:ind w:firstLine="708"/>
        <w:jc w:val="both"/>
      </w:pPr>
      <w:r>
        <w:t xml:space="preserve">Curtea constată că motivele de recurs astfel cum au fost încadrate de însuşi recurenta, se circumscriu cazurilor prevăzute la art. 488 alin. (1) pct. 2 şi 8 din Codul de procedură civilă. În plus, deşi nu a indicat în mod formal motivul de casare prevăzut la art. 488 alin. (1) pct. 6 din Codul de procedură civilă, recurenta a făcut referire la caracterul necontradictoriu al motivării sentinţei atacate. </w:t>
      </w:r>
    </w:p>
    <w:p w14:paraId="2F543887" w14:textId="77777777" w:rsidR="007A5092" w:rsidRDefault="005B7675">
      <w:pPr>
        <w:ind w:firstLine="708"/>
        <w:jc w:val="both"/>
        <w:rPr>
          <w:rStyle w:val="Fontdeparagrafimplicit1"/>
          <w:i/>
          <w:u w:val="single"/>
        </w:rPr>
      </w:pPr>
      <w:r>
        <w:rPr>
          <w:rStyle w:val="Fontdeparagrafimplicit1"/>
          <w:i/>
          <w:u w:val="single"/>
        </w:rPr>
        <w:t xml:space="preserve">5.1. Pretinsa încălcare a principiului continuităţii completului de judecată </w:t>
      </w:r>
    </w:p>
    <w:p w14:paraId="4D096982" w14:textId="77777777" w:rsidR="007A5092" w:rsidRDefault="005B7675">
      <w:pPr>
        <w:ind w:firstLine="708"/>
        <w:jc w:val="both"/>
      </w:pPr>
      <w:r>
        <w:t>În susţinerea primului caz de casare, recurenta arată că judecătorul care a pronunţat soluţia în cauza dedusă judecăţii nu a participat şi la cercetarea judecătorească.</w:t>
      </w:r>
    </w:p>
    <w:p w14:paraId="7D219197" w14:textId="77777777" w:rsidR="007A5092" w:rsidRDefault="005B7675">
      <w:pPr>
        <w:ind w:firstLine="708"/>
        <w:jc w:val="both"/>
      </w:pPr>
      <w:r>
        <w:t xml:space="preserve">Curtea arată că principiul continuităţii completului de judecată nu are caracter absolut, legea permite, în anumite cazuri, să se schimbe însuşi completul de judecată căruia i s-a repartizat cauza spre soluţionare sau componenţa acestuia. Pentru a nu atrage casarea </w:t>
      </w:r>
      <w:r>
        <w:lastRenderedPageBreak/>
        <w:t>hotărârii, este necesar ca schimbarea să nu se fi produs după dezbaterea pe fond a procesului şi să fie prevăzută de lege.</w:t>
      </w:r>
    </w:p>
    <w:p w14:paraId="0BDB473E" w14:textId="77777777" w:rsidR="007A5092" w:rsidRDefault="005B7675">
      <w:pPr>
        <w:ind w:firstLine="708"/>
        <w:jc w:val="both"/>
      </w:pPr>
      <w:r>
        <w:t>În acest sens, art. 19 din Codul de procedură civilă prevede că „[j]udecătorul învestit cu soluţionarea cauzei nu poate fi înlocuit pe durata procesului decât pentru motive temeinice, în condiţiile legii”.</w:t>
      </w:r>
    </w:p>
    <w:p w14:paraId="7648D2E3" w14:textId="77777777" w:rsidR="007A5092" w:rsidRDefault="005B7675">
      <w:pPr>
        <w:ind w:firstLine="708"/>
        <w:jc w:val="both"/>
      </w:pPr>
      <w:r>
        <w:t>Conform art. 214 din Codul de procedură civilă:</w:t>
      </w:r>
    </w:p>
    <w:p w14:paraId="62CF4599" w14:textId="77777777" w:rsidR="007A5092" w:rsidRDefault="005B7675">
      <w:pPr>
        <w:ind w:firstLine="708"/>
        <w:jc w:val="both"/>
      </w:pPr>
      <w:r>
        <w:t>„(1) Membrii completului care judecă procesul trebuie să rămână aceiaşi în tot cursul judecăţii.</w:t>
      </w:r>
    </w:p>
    <w:p w14:paraId="44ADF797" w14:textId="77777777" w:rsidR="007A5092" w:rsidRDefault="005B7675">
      <w:pPr>
        <w:ind w:firstLine="708"/>
        <w:jc w:val="both"/>
      </w:pPr>
      <w:r>
        <w:t>(2) În cazurile în care, pentru motive temeinice, un judecător este împiedicat să participe la soluţionarea cauzei, acesta va fi înlocuit în condiţiile legii.</w:t>
      </w:r>
    </w:p>
    <w:p w14:paraId="6100431B" w14:textId="77777777" w:rsidR="007A5092" w:rsidRDefault="005B7675">
      <w:pPr>
        <w:ind w:firstLine="708"/>
        <w:jc w:val="both"/>
      </w:pPr>
      <w:r>
        <w:t>(3) Dacă înlocuirea prevăzută la alin. (2) a avut loc după ce s-a dat cuvântul în fond părţilor, cauza se repune pe rol”.</w:t>
      </w:r>
    </w:p>
    <w:p w14:paraId="621B482F" w14:textId="77777777" w:rsidR="007A5092" w:rsidRDefault="005B7675">
      <w:pPr>
        <w:ind w:firstLine="708"/>
        <w:jc w:val="both"/>
      </w:pPr>
      <w:r>
        <w:t>Art. 11 din Legea nr. 304/2004 privind organizarea judiciară prevede că „[a]ctivitatea de judecată se desfăşoară cu respectarea principiilor distribuirii aleatorii a dosarelor şi continuităţii, cu excepţia situaţiilor în care judecătorul nu poate participa la judecată din motive obiective”.</w:t>
      </w:r>
    </w:p>
    <w:p w14:paraId="4BAD2A0F" w14:textId="77777777" w:rsidR="007A5092" w:rsidRDefault="005B7675">
      <w:pPr>
        <w:ind w:firstLine="708"/>
        <w:jc w:val="both"/>
      </w:pPr>
      <w:r>
        <w:t>În conformitate cu art. 52 alin. (1) din această lege, „[c]olegiile de conducere stabilesc compunerea completelor de judecată la începutul anului, urmărind asigurarea continuităţii completului. Schimbarea membrilor completelor se face în mod excepţional, pe baza criteriilor obiective stabilite de Regulamentul de ordine interioară a instanţelor judecătoreşti”.</w:t>
      </w:r>
    </w:p>
    <w:p w14:paraId="4D336C5F" w14:textId="77777777" w:rsidR="007A5092" w:rsidRDefault="005B7675">
      <w:pPr>
        <w:ind w:firstLine="708"/>
        <w:jc w:val="both"/>
      </w:pPr>
      <w:r>
        <w:t>Din textele legale anterior menţionate, se poate desprinde concluzia că respectarea principiului continuităţii dezbaterilor în condiţiile unei modificări a componenţei completului de judecată implică, în prezent, două cerinţe prevăzute sub sancţiunea nulităţii: hotărârea să fie pronunţată de judecătorul sau judecătorii care au participat la dezbaterea cauzei pe fond, iar eventuala schimbare să fie prevăzută de lege.</w:t>
      </w:r>
    </w:p>
    <w:p w14:paraId="48D15A11" w14:textId="398E3AF1" w:rsidR="007A5092" w:rsidRDefault="005B7675">
      <w:pPr>
        <w:ind w:firstLine="708"/>
        <w:jc w:val="both"/>
      </w:pPr>
      <w:r>
        <w:t xml:space="preserve">În speţă, la termenul de judecată din </w:t>
      </w:r>
      <w:r w:rsidR="006451D1">
        <w:t xml:space="preserve">............. </w:t>
      </w:r>
      <w:r>
        <w:t xml:space="preserve">, preşedintele completului de judecată, doamna judecător </w:t>
      </w:r>
      <w:r w:rsidR="006451D1">
        <w:t>A</w:t>
      </w:r>
      <w:r>
        <w:t>, a acordat cuvântul părţilor cu privire la fondul cererii, potrivit dispoziţiilor art. 392 şi, considerându-se lămurită asupra cauzei, a închis dezbaterile în conformitate cu dispoziţiile art. 394 alin. (1) din Codul de procedură civilă.</w:t>
      </w:r>
    </w:p>
    <w:p w14:paraId="22792B0C" w14:textId="157BD394" w:rsidR="007A5092" w:rsidRDefault="005B7675">
      <w:pPr>
        <w:ind w:firstLine="708"/>
        <w:jc w:val="both"/>
      </w:pPr>
      <w:r>
        <w:t xml:space="preserve">De asemenea, trebuie să se menţioneze că doamna judecător </w:t>
      </w:r>
      <w:r w:rsidR="006451D1">
        <w:t>A</w:t>
      </w:r>
      <w:r>
        <w:t xml:space="preserve"> a fost învestită cu soluţionarea cauzei după ce judecătorul care a efectuat cercetarea judecătorească, doamna </w:t>
      </w:r>
      <w:r w:rsidR="006451D1">
        <w:t xml:space="preserve">B </w:t>
      </w:r>
      <w:r>
        <w:t xml:space="preserve">, a fost eliberată din funcţie prin pensionare, conform Decretului Preşedintelui României nr. </w:t>
      </w:r>
      <w:r w:rsidR="007A38B4">
        <w:t xml:space="preserve">               .............</w:t>
      </w:r>
      <w:r>
        <w:t>/2017.</w:t>
      </w:r>
    </w:p>
    <w:p w14:paraId="1D754247" w14:textId="77777777" w:rsidR="007A5092" w:rsidRDefault="005B7675">
      <w:pPr>
        <w:ind w:firstLine="708"/>
        <w:jc w:val="both"/>
      </w:pPr>
      <w:r>
        <w:t>În consecinţă, judecătorul care a pronunţat soluţia atacată în cauză a fost cel în faţa căruia s-a dezbătut pricina pe fond, iar acestuia i-a fost repartizată cauza în mod legal, ca urmare a unor motive obiective privind schimbarea completului de judecată.</w:t>
      </w:r>
    </w:p>
    <w:p w14:paraId="367C6C3E" w14:textId="77777777" w:rsidR="007A5092" w:rsidRDefault="005B7675">
      <w:pPr>
        <w:ind w:firstLine="708"/>
        <w:jc w:val="both"/>
      </w:pPr>
      <w:r>
        <w:t xml:space="preserve">În atare condiţii, faptul că a participat un judecător la administrarea probelor şi un alt judecător la dezbaterea şi soluţionarea cauzei pe fond nu este de natură să constituie un motiv de nelegalitate a hotărârii pronunţate. </w:t>
      </w:r>
    </w:p>
    <w:p w14:paraId="5E51672E" w14:textId="77777777" w:rsidR="007A5092" w:rsidRDefault="005B7675">
      <w:pPr>
        <w:ind w:firstLine="708"/>
        <w:jc w:val="both"/>
      </w:pPr>
      <w:r>
        <w:t>În lumina celor menţionate anterior, criticile avansate de recurentă, încadrate cazului de casare prevăzut la art. 488 alin. (1) pct. 2 din Codul de procedură civilă, sunt neîntemeiate.</w:t>
      </w:r>
    </w:p>
    <w:p w14:paraId="73F035AF" w14:textId="77777777" w:rsidR="007A5092" w:rsidRDefault="005B7675">
      <w:pPr>
        <w:ind w:firstLine="708"/>
        <w:jc w:val="both"/>
        <w:rPr>
          <w:rStyle w:val="Fontdeparagrafimplicit1"/>
          <w:i/>
          <w:u w:val="single"/>
        </w:rPr>
      </w:pPr>
      <w:r>
        <w:rPr>
          <w:rStyle w:val="Fontdeparagrafimplicit1"/>
          <w:i/>
          <w:u w:val="single"/>
        </w:rPr>
        <w:t>5.2. Pretinsa motivare necorespunzătoare a sentinţei atacate</w:t>
      </w:r>
    </w:p>
    <w:p w14:paraId="614882F1" w14:textId="77777777" w:rsidR="007A5092" w:rsidRDefault="005B7675">
      <w:pPr>
        <w:ind w:firstLine="708"/>
        <w:jc w:val="both"/>
      </w:pPr>
      <w:r>
        <w:t>Curtea aminteşte că principiile generale privind motivarea hotărârilor judecătoreşti se pot desprinde din dispoziţiile art. 425 alin. (1) lit. b) din Codul de procedură civilă, conform cărora considerentele sentinţei trebuie să arate „obiectul cererii şi susţinerile pe scurt ale părţilor, expunerea situaţiei de fapt reţinută de instanţă pe baza probelor administrate, motivele de fapt şi de drept pe care se întemeiază soluţia, arătându-se atât motivele pentru care s-au admis, cât şi cele pentru care s-au înl</w:t>
      </w:r>
      <w:r>
        <w:t>ăturat cererile părţilor”.</w:t>
      </w:r>
    </w:p>
    <w:p w14:paraId="35D447DF" w14:textId="77777777" w:rsidR="007A5092" w:rsidRDefault="005B7675">
      <w:pPr>
        <w:ind w:firstLine="708"/>
        <w:jc w:val="both"/>
      </w:pPr>
      <w:r>
        <w:t xml:space="preserve">Curtea arată că hotărârea judecătorească trebuie să constituie în favoarea părţilor o garanţie în faţa unui potenţial arbitrariu al instanței, dar şi un instrument util instanţei de </w:t>
      </w:r>
      <w:r>
        <w:lastRenderedPageBreak/>
        <w:t>control judiciar pentru a efectua verificarea silogismului judiciar pe care se întemeiază soluţia adoptată în cauză, circumscriindu-se astfel noţiunii de proces echitabil, în condiţiile prevăzute de art. 6 din Convenția pentru apărarea Drepturilor Omului şi a Libertăților Fundamentale.</w:t>
      </w:r>
    </w:p>
    <w:p w14:paraId="2BD5F434" w14:textId="77777777" w:rsidR="007A5092" w:rsidRDefault="005B7675">
      <w:pPr>
        <w:ind w:firstLine="708"/>
        <w:jc w:val="both"/>
      </w:pPr>
      <w:r>
        <w:t xml:space="preserve">Cu toate acestea, respectarea principiilor anterior menţionate cu presupune per se  obligaţia corelativă a instanţelor de răspunde fiecărui argument invocat părţi. Potrivit unei jurisprudenţe constante a Curţii Europene a Drepturilor Omului, e.g. </w:t>
      </w:r>
      <w:r>
        <w:rPr>
          <w:rStyle w:val="Fontdeparagrafimplicit1"/>
          <w:i/>
        </w:rPr>
        <w:t>Hotărârile Boldea împotriva României</w:t>
      </w:r>
      <w:r>
        <w:t xml:space="preserve"> din 15 februarie 2007, paragraful 29 şi </w:t>
      </w:r>
      <w:r>
        <w:rPr>
          <w:rStyle w:val="Fontdeparagrafimplicit1"/>
          <w:i/>
        </w:rPr>
        <w:t>Van den Hurk împotriva Olandei</w:t>
      </w:r>
      <w:r>
        <w:t xml:space="preserve"> din 19 aprilie 1994, paragraful 61, „întinderea motivării depinde de diversitatea mijloacelor pe care o parte le poate ridica în instanţă, precum şi de prevederile legale, de obiceiuri, de principiile doctrinale şi de practicile diferite privind prezentarea şi redactarea sentinţelor şi hotărârilor în diferite state”. Pentru a răspunde cerinţelor procesului echitabil, motivarea ar trebui să evidenţieze</w:t>
      </w:r>
      <w:r>
        <w:t xml:space="preserve"> că judecătorul a examinat cu adevărat chestiunile esenţiale ce i-au fost prezentate, astfel cum a hotărât Curtea de la Strasbourg în cauza </w:t>
      </w:r>
      <w:r>
        <w:rPr>
          <w:rStyle w:val="Fontdeparagrafimplicit1"/>
          <w:i/>
        </w:rPr>
        <w:t>Ruiz Torija impotriva Spaniei</w:t>
      </w:r>
      <w:r>
        <w:t>, Hotărârea din 9 decembrie 1994, seria A nr. 303-A, p. 12, paragraful 29.</w:t>
      </w:r>
    </w:p>
    <w:p w14:paraId="4A063F97" w14:textId="77777777" w:rsidR="007A5092" w:rsidRDefault="005B7675">
      <w:pPr>
        <w:ind w:firstLine="708"/>
        <w:jc w:val="both"/>
      </w:pPr>
      <w:r>
        <w:t>Aplicând aceste principii la împrejurările concrete ale cauzei, din lecturarea considerentelor sentinţei de fond, se observă că instanţa a analizat incidenţa răspunderii civile contractuale, a analizat clauzele contractuale şi modalitatea de executare a contractului, precum şi atitudinea subiectivă a pârâtei faţă de neexecutarea obligaţiei invocate de reclamantă. Silogismul judiciar pe care se întemeiază soluţia instanţei de fond este prezentat într-o manieră logică, argumentată, fără nu cuprinde contradicţ</w:t>
      </w:r>
      <w:r>
        <w:t>ii în expunerea logică a situaţiei de fapt şi încadrarea juridică a acesteia.</w:t>
      </w:r>
    </w:p>
    <w:p w14:paraId="6CC24F61" w14:textId="77777777" w:rsidR="007A5092" w:rsidRDefault="005B7675">
      <w:pPr>
        <w:ind w:firstLine="708"/>
        <w:jc w:val="both"/>
      </w:pPr>
      <w:r>
        <w:t>Din moment ce, în cuprinsul sentinţei, a fost antamată problema de drept expusă în cererea introductivă, recurentului nu îi revine decât să conteste raţionamentul instanţei, din perspectiva cazului de recurs prevăzut la art. 488 alin. (1) pct. 8 Codul de procedură civilă. Esenţial este să fi fost dezbătut şi analizat argumentul părţii, întinderea expunerii raţionamentului nu prezintă relevanţă în acest sens.</w:t>
      </w:r>
    </w:p>
    <w:p w14:paraId="756C4009" w14:textId="77777777" w:rsidR="007A5092" w:rsidRDefault="005B7675">
      <w:pPr>
        <w:ind w:firstLine="708"/>
        <w:jc w:val="both"/>
        <w:rPr>
          <w:rStyle w:val="Fontdeparagrafimplicit1"/>
          <w:i/>
          <w:u w:val="single"/>
        </w:rPr>
      </w:pPr>
      <w:r>
        <w:rPr>
          <w:rStyle w:val="Fontdeparagrafimplicit1"/>
          <w:i/>
          <w:u w:val="single"/>
        </w:rPr>
        <w:t>5.3. Pretinsa interpretare şi aplicare greşită a normelor de drept material</w:t>
      </w:r>
    </w:p>
    <w:p w14:paraId="54E18697" w14:textId="77777777" w:rsidR="007A5092" w:rsidRDefault="005B7675">
      <w:pPr>
        <w:ind w:firstLine="708"/>
        <w:jc w:val="both"/>
      </w:pPr>
      <w:r>
        <w:t>Cu privire la cel de al doilea motiv de recurs, întemeiat pe dispoziţiile art. 488 alin. (1) pct. 8 din Codul de procedură civilă, recurenta susţine, în esenţă, că instanţa de fond ar fi reţinut în mod eronat culpa concurentă a sa în ceea ce priveşte neexecutarea lucrărilor la Hala nr. 2.</w:t>
      </w:r>
    </w:p>
    <w:p w14:paraId="6AF5294B" w14:textId="77777777" w:rsidR="007A5092" w:rsidRDefault="005B7675">
      <w:pPr>
        <w:ind w:firstLine="708"/>
        <w:jc w:val="both"/>
      </w:pPr>
      <w:r>
        <w:t>Conform art. 57 alin. (1) din OUG nr. 54/2006 privind regimul contractelor de concesiune de bunuri proprietate publică, „[î]ncetarea contractului de concesiune poate avea loc în următoarele situaţii:</w:t>
      </w:r>
    </w:p>
    <w:p w14:paraId="5A3E054D" w14:textId="77777777" w:rsidR="007A5092" w:rsidRDefault="005B7675">
      <w:pPr>
        <w:ind w:firstLine="708"/>
        <w:jc w:val="both"/>
      </w:pPr>
      <w:r>
        <w:t xml:space="preserve">    […]</w:t>
      </w:r>
    </w:p>
    <w:p w14:paraId="185E39E9" w14:textId="77777777" w:rsidR="007A5092" w:rsidRDefault="005B7675">
      <w:pPr>
        <w:ind w:firstLine="708"/>
        <w:jc w:val="both"/>
      </w:pPr>
      <w:r>
        <w:t xml:space="preserve">    c) în cazul nerespectării obligaţiilor contractuale de către concesionar, prin reziliere de către concedent, cu plata unei despăgubiri în sarcina concesionarului;</w:t>
      </w:r>
    </w:p>
    <w:p w14:paraId="71E05870" w14:textId="77777777" w:rsidR="007A5092" w:rsidRDefault="005B7675">
      <w:pPr>
        <w:ind w:firstLine="708"/>
        <w:jc w:val="both"/>
      </w:pPr>
      <w:r>
        <w:t xml:space="preserve">    d) în cazul nerespectării obligaţiilor contractuale de către concedent, prin reziliere de către concesionar, cu plata unei despăgubiri în sarcina concedentului;[…]”.</w:t>
      </w:r>
    </w:p>
    <w:p w14:paraId="46ADB4C0" w14:textId="77777777" w:rsidR="007A5092" w:rsidRDefault="005B7675">
      <w:pPr>
        <w:ind w:firstLine="708"/>
        <w:jc w:val="both"/>
      </w:pPr>
      <w:r>
        <w:t>Curtea arată că posibilitatea rezilierii contractului în condiţiile prevăzute de dispoziţiile art. 57 alin. (1) lit. d) din OUG nr. 54/2006, anterior menţionate, este condiţionată de stabilirea unei culpe exclusive a concedentului în respectarea obligaţiilor contractuale.</w:t>
      </w:r>
    </w:p>
    <w:p w14:paraId="10FC1187" w14:textId="44FCB62F" w:rsidR="007A5092" w:rsidRDefault="005B7675">
      <w:pPr>
        <w:ind w:firstLine="708"/>
        <w:jc w:val="both"/>
      </w:pPr>
      <w:r>
        <w:t>Obligaţia contractuală a cărei neexecutare o invocă recurenta este reprezentată de predarea imobilului de 1.587 m</w:t>
      </w:r>
      <w:r>
        <w:rPr>
          <w:rStyle w:val="Fontdeparagrafimplicit1"/>
          <w:vertAlign w:val="superscript"/>
        </w:rPr>
        <w:t>2</w:t>
      </w:r>
      <w:r>
        <w:t xml:space="preserve"> aflat în incinta fostei Pieţe </w:t>
      </w:r>
      <w:r w:rsidR="007A38B4">
        <w:t xml:space="preserve">         </w:t>
      </w:r>
      <w:r>
        <w:t xml:space="preserve"> – Piaţa cu boxe, denumită în contractul de concesiune nr. </w:t>
      </w:r>
      <w:r w:rsidR="00B92C37">
        <w:t>4/22.06.2010</w:t>
      </w:r>
      <w:r>
        <w:t>, în discuţie în prezenta cauză, „Hala nr. 2”.</w:t>
      </w:r>
    </w:p>
    <w:p w14:paraId="31393179" w14:textId="77777777" w:rsidR="007A5092" w:rsidRDefault="005B7675">
      <w:pPr>
        <w:ind w:firstLine="708"/>
        <w:jc w:val="both"/>
      </w:pPr>
      <w:r>
        <w:t xml:space="preserve">Instanţa de fond a reţinut în mod judicios, însă, faptul că, la data încheierii contractului de concesiune, ambele părţi au acceptat întârzierea în executarea celei de a doua construcţii, întrucât nu s-a stabilit un grafic de îndeplinire a contractului, la data încheierii contractului neexistând un certificat de urbanism şi aviz pentru alimentare cu energie electrică valabile. </w:t>
      </w:r>
    </w:p>
    <w:p w14:paraId="7A2BC918" w14:textId="48B96872" w:rsidR="007A5092" w:rsidRDefault="005B7675">
      <w:pPr>
        <w:ind w:firstLine="708"/>
        <w:jc w:val="both"/>
      </w:pPr>
      <w:r>
        <w:lastRenderedPageBreak/>
        <w:t xml:space="preserve">De asemenea, acceptarea de către concesionar a unei situaţii juridice nefaste realizării scopului concesiunii rezultă, pe de o parte, din inserarea în contract a prevederilor art. 1 alin. (1) lit. b), conform cărora „în zona boxelor din fosta piaţă de păsări […] se desfăşoară activităţi comerciale […]”, iar pe de altă parte, din faptul că societatea concesionară a acceptat o plată redusă a redevenţei pentru Piaţa </w:t>
      </w:r>
      <w:r w:rsidR="007A38B4">
        <w:t xml:space="preserve">           </w:t>
      </w:r>
      <w:r>
        <w:t>, „Hala nr. 1”, la 55 % din valoarea redevenţei adjudecate, până la punerea în funcţiune a Halei nr. 2.</w:t>
      </w:r>
    </w:p>
    <w:p w14:paraId="7CCE8B43" w14:textId="77777777" w:rsidR="007A5092" w:rsidRDefault="005B7675">
      <w:pPr>
        <w:ind w:firstLine="708"/>
        <w:jc w:val="both"/>
      </w:pPr>
      <w:r>
        <w:t>Nedepunerea unor diligenţele suficiente de către concesionar la încheierea contractului, constând în solicitarea completării documentaţiei de achiziţie, care să reflecte situaţia juridică reală a imobilului, este de natură să atragă şi culpa sa în imposibilitatea executării contractului sau executarea sa cu întârziere. Totodată, demersurile pe care unitatea administrativ-teritorială le-a depus pentru predarea şi evacuarea spaţiilor comerciale aflate pe amplasamentul Halei nr. 2 relevă intenţia acestei părţi</w:t>
      </w:r>
      <w:r>
        <w:t xml:space="preserve"> de a executa contractul, astfel cum a fost negociat şi încheiat. </w:t>
      </w:r>
    </w:p>
    <w:p w14:paraId="1AC178C3" w14:textId="77777777" w:rsidR="007A5092" w:rsidRDefault="005B7675">
      <w:pPr>
        <w:ind w:firstLine="708"/>
        <w:jc w:val="both"/>
      </w:pPr>
      <w:r>
        <w:t>În ceea ce priveşte cererea de restituire a valorii de intrare a Halei nr. 1 şi de acordare a daunelor-interese, în mod corect a fost respinsă de instanţă, din moment ce aceste pretenţii reprezentau un petit accesoriu celui privind rezilierea contractului de concesiune.</w:t>
      </w:r>
    </w:p>
    <w:p w14:paraId="0B428837" w14:textId="77777777" w:rsidR="007A5092" w:rsidRDefault="005B7675">
      <w:pPr>
        <w:ind w:firstLine="708"/>
        <w:jc w:val="both"/>
      </w:pPr>
      <w:r>
        <w:t>Curtea conchide, astfel, că prima instanţă a pronunţat o hotărâre legală, apreciind că nu sunt întrunite condiţiile răspunderii civile delictuale faţă de intimata-pârâtă.</w:t>
      </w:r>
    </w:p>
    <w:p w14:paraId="12706260" w14:textId="77777777" w:rsidR="007A5092" w:rsidRDefault="005B7675">
      <w:pPr>
        <w:ind w:firstLine="708"/>
        <w:jc w:val="both"/>
      </w:pPr>
      <w:r>
        <w:t>În temeiul art. 496 alin. (1) din Codul de procedură civilă, raportat la dispoziţiile art. 20 din Legea nr. 554/2004, faţă de motivele de recurs invocate şi în limitele învestirii, se va respinge ca nefondat recursul formulat.</w:t>
      </w:r>
    </w:p>
    <w:p w14:paraId="7C7ABFC8" w14:textId="77777777" w:rsidR="007A5092" w:rsidRDefault="007A5092">
      <w:pPr>
        <w:ind w:firstLine="709"/>
        <w:jc w:val="both"/>
        <w:rPr>
          <w:rStyle w:val="Fontdeparagrafimplicit1"/>
          <w:b/>
        </w:rPr>
      </w:pPr>
    </w:p>
    <w:p w14:paraId="0C1C63BB" w14:textId="77777777" w:rsidR="007A5092" w:rsidRDefault="005B7675">
      <w:pPr>
        <w:ind w:firstLine="709"/>
        <w:jc w:val="center"/>
        <w:rPr>
          <w:rStyle w:val="Fontdeparagrafimplicit1"/>
          <w:b/>
        </w:rPr>
      </w:pPr>
      <w:r>
        <w:rPr>
          <w:rStyle w:val="Fontdeparagrafimplicit1"/>
          <w:b/>
        </w:rPr>
        <w:t xml:space="preserve">PENTRU ACESTE MOTIVE </w:t>
      </w:r>
    </w:p>
    <w:p w14:paraId="382AAB04" w14:textId="77777777" w:rsidR="007A5092" w:rsidRDefault="005B7675">
      <w:pPr>
        <w:ind w:firstLine="709"/>
        <w:jc w:val="center"/>
        <w:rPr>
          <w:rStyle w:val="Fontdeparagrafimplicit1"/>
          <w:b/>
        </w:rPr>
      </w:pPr>
      <w:r>
        <w:rPr>
          <w:rStyle w:val="Fontdeparagrafimplicit1"/>
          <w:b/>
        </w:rPr>
        <w:t>ÎN NUMELE LEGII</w:t>
      </w:r>
    </w:p>
    <w:p w14:paraId="57EF8720" w14:textId="77777777" w:rsidR="007A5092" w:rsidRDefault="005B7675">
      <w:pPr>
        <w:ind w:firstLine="709"/>
        <w:jc w:val="center"/>
        <w:rPr>
          <w:rStyle w:val="Fontdeparagrafimplicit1"/>
          <w:b/>
        </w:rPr>
      </w:pPr>
      <w:r>
        <w:rPr>
          <w:rStyle w:val="Fontdeparagrafimplicit1"/>
          <w:b/>
        </w:rPr>
        <w:t>DECIDE:</w:t>
      </w:r>
    </w:p>
    <w:p w14:paraId="1B1FCC31" w14:textId="77777777" w:rsidR="007A5092" w:rsidRDefault="007A5092">
      <w:pPr>
        <w:jc w:val="both"/>
        <w:rPr>
          <w:rStyle w:val="Fontdeparagrafimplicit1"/>
        </w:rPr>
      </w:pPr>
    </w:p>
    <w:p w14:paraId="2DE9270E" w14:textId="77777777" w:rsidR="007A5092" w:rsidRDefault="007A5092">
      <w:pPr>
        <w:ind w:firstLine="708"/>
        <w:rPr>
          <w:rStyle w:val="Fontdeparagrafimplicit1"/>
        </w:rPr>
      </w:pPr>
    </w:p>
    <w:p w14:paraId="648C00DA" w14:textId="0B2D8A30" w:rsidR="007A5092" w:rsidRDefault="005B7675">
      <w:pPr>
        <w:ind w:firstLine="708"/>
        <w:jc w:val="both"/>
      </w:pPr>
      <w:r>
        <w:t xml:space="preserve">Respinge recursul recurenta – reclamantă </w:t>
      </w:r>
      <w:r w:rsidR="00B92C37">
        <w:rPr>
          <w:rStyle w:val="Fontdeparagrafimplicit1"/>
          <w:b/>
        </w:rPr>
        <w:t xml:space="preserve">1 </w:t>
      </w:r>
      <w:r>
        <w:rPr>
          <w:rStyle w:val="Fontdeparagrafimplicit1"/>
          <w:b/>
        </w:rPr>
        <w:t xml:space="preserve"> SRL</w:t>
      </w:r>
      <w:r>
        <w:t xml:space="preserve"> </w:t>
      </w:r>
      <w:r w:rsidR="00B92C37">
        <w:t xml:space="preserve">............ </w:t>
      </w:r>
      <w:r>
        <w:t xml:space="preserve">, cu sediul în </w:t>
      </w:r>
      <w:r w:rsidR="006451D1">
        <w:t>..........</w:t>
      </w:r>
      <w:r>
        <w:t xml:space="preserve">, </w:t>
      </w:r>
      <w:r w:rsidR="00B92C37">
        <w:t xml:space="preserve">............ </w:t>
      </w:r>
      <w:r>
        <w:t xml:space="preserve">, str. </w:t>
      </w:r>
      <w:r w:rsidR="006451D1">
        <w:t>...........</w:t>
      </w:r>
      <w:r>
        <w:t xml:space="preserve">, nr. </w:t>
      </w:r>
      <w:r w:rsidR="006451D1">
        <w:t>.........</w:t>
      </w:r>
      <w:r>
        <w:t>, împotriva sentinţei civile nr.</w:t>
      </w:r>
      <w:r w:rsidR="00B92C37">
        <w:t xml:space="preserve">......./........... </w:t>
      </w:r>
      <w:r>
        <w:t xml:space="preserve">, pronunţată de Tribunalul </w:t>
      </w:r>
      <w:r w:rsidR="00B92C37">
        <w:t xml:space="preserve">............. </w:t>
      </w:r>
      <w:r>
        <w:t xml:space="preserve">– Secţia </w:t>
      </w:r>
      <w:r w:rsidR="00B92C37">
        <w:t xml:space="preserve">............. </w:t>
      </w:r>
      <w:r>
        <w:t>în dosarul nr.</w:t>
      </w:r>
      <w:r w:rsidR="00B92C37">
        <w:t>1</w:t>
      </w:r>
      <w:r>
        <w:t xml:space="preserve">, în contradictoriu cu intimatul - pârât </w:t>
      </w:r>
      <w:r>
        <w:rPr>
          <w:rStyle w:val="Fontdeparagrafimplicit1"/>
          <w:b/>
        </w:rPr>
        <w:t xml:space="preserve">MUNICIPIUL </w:t>
      </w:r>
      <w:r w:rsidR="00B92C37">
        <w:rPr>
          <w:rStyle w:val="Fontdeparagrafimplicit1"/>
          <w:b/>
        </w:rPr>
        <w:t xml:space="preserve">2 </w:t>
      </w:r>
      <w:r>
        <w:rPr>
          <w:rStyle w:val="Fontdeparagrafimplicit1"/>
          <w:b/>
        </w:rPr>
        <w:t xml:space="preserve"> PRIN PRIMAR</w:t>
      </w:r>
      <w:r>
        <w:t xml:space="preserve">, cu sediul ales la </w:t>
      </w:r>
      <w:r w:rsidR="006451D1">
        <w:t>..........</w:t>
      </w:r>
      <w:r>
        <w:t xml:space="preserve"> din </w:t>
      </w:r>
      <w:r w:rsidR="00B92C37">
        <w:t xml:space="preserve">............ </w:t>
      </w:r>
      <w:r>
        <w:t xml:space="preserve">, </w:t>
      </w:r>
      <w:r w:rsidR="006451D1">
        <w:t>..........,</w:t>
      </w:r>
      <w:r>
        <w:t xml:space="preserve"> nr</w:t>
      </w:r>
      <w:r w:rsidR="006451D1">
        <w:t>.......</w:t>
      </w:r>
      <w:r>
        <w:t xml:space="preserve"> , </w:t>
      </w:r>
      <w:r w:rsidR="006451D1">
        <w:t>.........</w:t>
      </w:r>
      <w:r>
        <w:t>, având ca obiect: „despăgubire”, ca nefondat.</w:t>
      </w:r>
    </w:p>
    <w:p w14:paraId="6A0990F2" w14:textId="77777777" w:rsidR="007A5092" w:rsidRDefault="005B7675">
      <w:pPr>
        <w:ind w:firstLine="708"/>
        <w:jc w:val="both"/>
      </w:pPr>
      <w:r>
        <w:t>Obligă recurenta la plata cheltuielilor de judecată în cuantum de 10.533,55 lei, în favoarea intimatei, constând în onorariu avocaţial.</w:t>
      </w:r>
    </w:p>
    <w:p w14:paraId="0C0A8762" w14:textId="77777777" w:rsidR="007A5092" w:rsidRDefault="005B7675">
      <w:pPr>
        <w:ind w:firstLine="708"/>
      </w:pPr>
      <w:r>
        <w:t>Definitivă.</w:t>
      </w:r>
    </w:p>
    <w:p w14:paraId="0AF86A8F" w14:textId="0F5B99FF" w:rsidR="007A5092" w:rsidRDefault="005B7675">
      <w:pPr>
        <w:ind w:firstLine="708"/>
        <w:jc w:val="both"/>
      </w:pPr>
      <w:r>
        <w:t xml:space="preserve">Pronunţată astăzi, </w:t>
      </w:r>
      <w:r w:rsidR="00B92C37">
        <w:t xml:space="preserve">.......... </w:t>
      </w:r>
      <w:r>
        <w:t>, prin punerea soluţiei la dispoziţia părţilor prin mijlocirea grefei.</w:t>
      </w:r>
    </w:p>
    <w:p w14:paraId="771CAD03" w14:textId="77777777" w:rsidR="007A5092" w:rsidRDefault="007A5092">
      <w:pPr>
        <w:ind w:firstLine="1134"/>
      </w:pPr>
    </w:p>
    <w:p w14:paraId="22264DB8" w14:textId="77777777" w:rsidR="007A5092" w:rsidRDefault="007A5092">
      <w:pPr>
        <w:ind w:firstLine="708"/>
      </w:pPr>
    </w:p>
    <w:p w14:paraId="7E6E6E6C" w14:textId="77777777" w:rsidR="007A5092" w:rsidRDefault="007A5092">
      <w:pPr>
        <w:ind w:left="2124" w:right="-11" w:firstLine="708"/>
        <w:jc w:val="center"/>
      </w:pPr>
    </w:p>
    <w:p w14:paraId="6D8F18B2" w14:textId="77777777" w:rsidR="007A5092" w:rsidRDefault="005B7675">
      <w:pPr>
        <w:ind w:firstLine="708"/>
      </w:pPr>
      <w:r>
        <w:t xml:space="preserve">Preşedinte,                                    Judecător,                                   Judecător, </w:t>
      </w:r>
    </w:p>
    <w:p w14:paraId="25B3616C" w14:textId="56E8CABD" w:rsidR="007A5092" w:rsidRDefault="005B7675" w:rsidP="006451D1">
      <w:pPr>
        <w:ind w:firstLine="708"/>
      </w:pPr>
      <w:r>
        <w:t xml:space="preserve">................               </w:t>
      </w:r>
      <w:r w:rsidR="006451D1">
        <w:tab/>
      </w:r>
      <w:r w:rsidR="006451D1">
        <w:tab/>
      </w:r>
      <w:r w:rsidR="001D77E4">
        <w:t xml:space="preserve">          </w:t>
      </w:r>
      <w:r>
        <w:t xml:space="preserve">A0008                </w:t>
      </w:r>
      <w:r w:rsidR="006451D1">
        <w:tab/>
      </w:r>
      <w:r w:rsidR="001D77E4">
        <w:t xml:space="preserve">     </w:t>
      </w:r>
      <w:r w:rsidR="006451D1">
        <w:t>.........................</w:t>
      </w:r>
    </w:p>
    <w:p w14:paraId="6DAD3057" w14:textId="77777777" w:rsidR="007A5092" w:rsidRDefault="007A5092">
      <w:pPr>
        <w:ind w:right="-11"/>
        <w:jc w:val="both"/>
      </w:pPr>
    </w:p>
    <w:p w14:paraId="28247E15" w14:textId="77777777" w:rsidR="007A5092" w:rsidRDefault="007A5092">
      <w:pPr>
        <w:ind w:right="-11"/>
        <w:jc w:val="both"/>
      </w:pPr>
    </w:p>
    <w:p w14:paraId="1B05A481" w14:textId="77777777" w:rsidR="007A5092" w:rsidRDefault="005B7675">
      <w:pPr>
        <w:ind w:left="2124" w:right="-11" w:firstLine="708"/>
        <w:jc w:val="center"/>
      </w:pPr>
      <w:r>
        <w:t>Grefier,</w:t>
      </w:r>
    </w:p>
    <w:p w14:paraId="4284972B" w14:textId="5F84D00B" w:rsidR="007A5092" w:rsidRDefault="005B7675">
      <w:pPr>
        <w:ind w:left="2124" w:right="-11" w:firstLine="708"/>
        <w:jc w:val="center"/>
      </w:pPr>
      <w:r>
        <w:t xml:space="preserve">............... </w:t>
      </w:r>
    </w:p>
    <w:p w14:paraId="73A83033" w14:textId="77777777" w:rsidR="007A5092" w:rsidRDefault="007A5092">
      <w:pPr>
        <w:ind w:left="2124" w:right="-11" w:firstLine="708"/>
        <w:jc w:val="center"/>
      </w:pPr>
    </w:p>
    <w:p w14:paraId="164DFDBB" w14:textId="77777777" w:rsidR="007A5092" w:rsidRDefault="007A5092">
      <w:pPr>
        <w:ind w:left="2124" w:right="-11" w:firstLine="708"/>
        <w:jc w:val="center"/>
      </w:pPr>
    </w:p>
    <w:p w14:paraId="490BA34F" w14:textId="77777777" w:rsidR="007A5092" w:rsidRDefault="007A5092">
      <w:pPr>
        <w:ind w:left="2124" w:right="-11" w:firstLine="708"/>
        <w:jc w:val="center"/>
      </w:pPr>
    </w:p>
    <w:p w14:paraId="5E84E643" w14:textId="77777777" w:rsidR="007A5092" w:rsidRDefault="007A5092">
      <w:pPr>
        <w:ind w:left="2124" w:right="-11" w:firstLine="708"/>
        <w:jc w:val="center"/>
      </w:pPr>
    </w:p>
    <w:p w14:paraId="2B828D01" w14:textId="77777777" w:rsidR="007A5092" w:rsidRDefault="007A5092"/>
    <w:p w14:paraId="4A683215" w14:textId="77777777" w:rsidR="007A5092" w:rsidRDefault="007A5092"/>
    <w:p w14:paraId="1A563DDA" w14:textId="58AF323B" w:rsidR="007A5092" w:rsidRDefault="005B7675">
      <w:pPr>
        <w:rPr>
          <w:rStyle w:val="Fontdeparagrafimplicit1"/>
          <w:i/>
          <w:sz w:val="16"/>
        </w:rPr>
      </w:pPr>
      <w:r>
        <w:rPr>
          <w:rStyle w:val="Fontdeparagrafimplicit1"/>
          <w:i/>
          <w:sz w:val="16"/>
        </w:rPr>
        <w:t>Red.jud.</w:t>
      </w:r>
      <w:r w:rsidR="006451D1">
        <w:rPr>
          <w:rStyle w:val="Fontdeparagrafimplicit1"/>
          <w:i/>
          <w:sz w:val="16"/>
        </w:rPr>
        <w:t>A0008</w:t>
      </w:r>
      <w:r>
        <w:rPr>
          <w:rStyle w:val="Fontdeparagrafimplicit1"/>
          <w:i/>
          <w:sz w:val="16"/>
        </w:rPr>
        <w:t>./ 4 ex./</w:t>
      </w:r>
      <w:r w:rsidR="00B92C37">
        <w:rPr>
          <w:rStyle w:val="Fontdeparagrafimplicit1"/>
          <w:i/>
          <w:sz w:val="16"/>
        </w:rPr>
        <w:t xml:space="preserve">........... </w:t>
      </w:r>
      <w:r>
        <w:rPr>
          <w:rStyle w:val="Fontdeparagrafimplicit1"/>
          <w:i/>
          <w:sz w:val="16"/>
        </w:rPr>
        <w:t xml:space="preserve">  </w:t>
      </w:r>
    </w:p>
    <w:p w14:paraId="798F8F16" w14:textId="37294E1C" w:rsidR="007A5092" w:rsidRDefault="005B7675">
      <w:pPr>
        <w:rPr>
          <w:rStyle w:val="Fontdeparagrafimplicit1"/>
          <w:i/>
          <w:sz w:val="16"/>
        </w:rPr>
      </w:pPr>
      <w:r>
        <w:rPr>
          <w:rStyle w:val="Fontdeparagrafimplicit1"/>
          <w:i/>
          <w:sz w:val="16"/>
        </w:rPr>
        <w:t xml:space="preserve">Jud. fond – </w:t>
      </w:r>
      <w:r w:rsidR="006451D1">
        <w:rPr>
          <w:rStyle w:val="Fontdeparagrafimplicit1"/>
          <w:i/>
          <w:sz w:val="16"/>
        </w:rPr>
        <w:t>.............</w:t>
      </w:r>
    </w:p>
    <w:p w14:paraId="1371365B" w14:textId="22EB14C6" w:rsidR="007A5092" w:rsidRDefault="005B7675">
      <w:pPr>
        <w:rPr>
          <w:rStyle w:val="Fontdeparagrafimplicit1"/>
          <w:i/>
          <w:sz w:val="16"/>
        </w:rPr>
      </w:pPr>
      <w:r>
        <w:rPr>
          <w:rStyle w:val="Fontdeparagrafimplicit1"/>
          <w:i/>
          <w:sz w:val="16"/>
        </w:rPr>
        <w:t xml:space="preserve">Tribunalul </w:t>
      </w:r>
      <w:r w:rsidR="00B92C37">
        <w:rPr>
          <w:rStyle w:val="Fontdeparagrafimplicit1"/>
          <w:i/>
          <w:sz w:val="16"/>
        </w:rPr>
        <w:t xml:space="preserve">............. </w:t>
      </w:r>
      <w:r>
        <w:rPr>
          <w:rStyle w:val="Fontdeparagrafimplicit1"/>
          <w:i/>
          <w:sz w:val="16"/>
        </w:rPr>
        <w:t xml:space="preserve">– Secţia </w:t>
      </w:r>
      <w:r w:rsidR="00B92C37">
        <w:rPr>
          <w:rStyle w:val="Fontdeparagrafimplicit1"/>
          <w:i/>
          <w:sz w:val="16"/>
        </w:rPr>
        <w:t xml:space="preserve">............. </w:t>
      </w:r>
    </w:p>
    <w:p w14:paraId="793F022B" w14:textId="77777777" w:rsidR="007A5092" w:rsidRDefault="005B7675">
      <w:pPr>
        <w:rPr>
          <w:rStyle w:val="Fontdeparagrafimplicit1"/>
          <w:i/>
          <w:sz w:val="16"/>
        </w:rPr>
      </w:pPr>
      <w:r>
        <w:rPr>
          <w:rStyle w:val="Fontdeparagrafimplicit1"/>
          <w:i/>
          <w:sz w:val="16"/>
        </w:rPr>
        <w:t>Lucrat 2 comunicări la data de _____________</w:t>
      </w:r>
    </w:p>
    <w:p w14:paraId="014325E9" w14:textId="77777777" w:rsidR="007A5092" w:rsidRDefault="007A5092">
      <w:pPr>
        <w:rPr>
          <w:rStyle w:val="Fontdeparagrafimplicit1"/>
          <w:sz w:val="16"/>
        </w:rPr>
      </w:pPr>
    </w:p>
    <w:p w14:paraId="0811F98B" w14:textId="77777777" w:rsidR="007A5092" w:rsidRDefault="007A5092">
      <w:pPr>
        <w:rPr>
          <w:rStyle w:val="Fontdeparagrafimplicit1"/>
          <w:sz w:val="16"/>
        </w:rPr>
      </w:pPr>
    </w:p>
    <w:p w14:paraId="349F0F2E" w14:textId="77777777" w:rsidR="007A5092" w:rsidRDefault="007A5092">
      <w:pPr>
        <w:jc w:val="both"/>
        <w:rPr>
          <w:rStyle w:val="Fontdeparagrafimplicit1"/>
        </w:rPr>
      </w:pPr>
    </w:p>
    <w:p w14:paraId="55163A34" w14:textId="77777777" w:rsidR="007A5092" w:rsidRDefault="007A5092">
      <w:pPr>
        <w:jc w:val="both"/>
        <w:rPr>
          <w:rStyle w:val="Fontdeparagrafimplicit1"/>
        </w:rPr>
      </w:pPr>
    </w:p>
    <w:p w14:paraId="50C3C0F5" w14:textId="77777777" w:rsidR="007A5092" w:rsidRDefault="007A5092">
      <w:pPr>
        <w:rPr>
          <w:rStyle w:val="Fontdeparagrafimplicit1"/>
        </w:rPr>
      </w:pPr>
    </w:p>
    <w:p w14:paraId="00CE53EB" w14:textId="77777777" w:rsidR="007A5092" w:rsidRDefault="007A5092">
      <w:pPr>
        <w:rPr>
          <w:rStyle w:val="Fontdeparagrafimplicit1"/>
        </w:rPr>
      </w:pPr>
    </w:p>
    <w:sectPr w:rsidR="007A5092">
      <w:pgSz w:w="11906" w:h="16838"/>
      <w:pgMar w:top="1417" w:right="1417" w:bottom="1417"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23FA3"/>
    <w:multiLevelType w:val="hybridMultilevel"/>
    <w:tmpl w:val="3C4C7CBC"/>
    <w:lvl w:ilvl="0" w:tplc="AF389016">
      <w:start w:val="3"/>
      <w:numFmt w:val="bullet"/>
      <w:lvlText w:val="-"/>
      <w:lvlJc w:val="left"/>
      <w:pPr>
        <w:ind w:left="1068" w:hanging="360"/>
      </w:pPr>
      <w:rPr>
        <w:rFonts w:ascii="Times New Roman" w:hAnsi="Times New Roman"/>
      </w:rPr>
    </w:lvl>
    <w:lvl w:ilvl="1" w:tplc="19900C8A">
      <w:start w:val="1"/>
      <w:numFmt w:val="bullet"/>
      <w:lvlText w:val="o"/>
      <w:lvlJc w:val="left"/>
      <w:pPr>
        <w:ind w:left="1788" w:hanging="360"/>
      </w:pPr>
      <w:rPr>
        <w:rFonts w:ascii="Courier New" w:hAnsi="Courier New"/>
      </w:rPr>
    </w:lvl>
    <w:lvl w:ilvl="2" w:tplc="7EF4BAFE">
      <w:start w:val="1"/>
      <w:numFmt w:val="bullet"/>
      <w:lvlText w:val=""/>
      <w:lvlJc w:val="left"/>
      <w:pPr>
        <w:ind w:left="2508" w:hanging="360"/>
      </w:pPr>
      <w:rPr>
        <w:rFonts w:ascii="Wingdings" w:hAnsi="Wingdings"/>
      </w:rPr>
    </w:lvl>
    <w:lvl w:ilvl="3" w:tplc="577ECE90">
      <w:start w:val="1"/>
      <w:numFmt w:val="bullet"/>
      <w:lvlText w:val=""/>
      <w:lvlJc w:val="left"/>
      <w:pPr>
        <w:ind w:left="3228" w:hanging="360"/>
      </w:pPr>
      <w:rPr>
        <w:rFonts w:ascii="Symbol" w:hAnsi="Symbol"/>
      </w:rPr>
    </w:lvl>
    <w:lvl w:ilvl="4" w:tplc="0F48951E">
      <w:start w:val="1"/>
      <w:numFmt w:val="bullet"/>
      <w:lvlText w:val="o"/>
      <w:lvlJc w:val="left"/>
      <w:pPr>
        <w:ind w:left="3948" w:hanging="360"/>
      </w:pPr>
      <w:rPr>
        <w:rFonts w:ascii="Courier New" w:hAnsi="Courier New"/>
      </w:rPr>
    </w:lvl>
    <w:lvl w:ilvl="5" w:tplc="2C6EBDC6">
      <w:start w:val="1"/>
      <w:numFmt w:val="bullet"/>
      <w:lvlText w:val=""/>
      <w:lvlJc w:val="left"/>
      <w:pPr>
        <w:ind w:left="4668" w:hanging="360"/>
      </w:pPr>
      <w:rPr>
        <w:rFonts w:ascii="Wingdings" w:hAnsi="Wingdings"/>
      </w:rPr>
    </w:lvl>
    <w:lvl w:ilvl="6" w:tplc="E6F26D2A">
      <w:start w:val="1"/>
      <w:numFmt w:val="bullet"/>
      <w:lvlText w:val=""/>
      <w:lvlJc w:val="left"/>
      <w:pPr>
        <w:ind w:left="5388" w:hanging="360"/>
      </w:pPr>
      <w:rPr>
        <w:rFonts w:ascii="Symbol" w:hAnsi="Symbol"/>
      </w:rPr>
    </w:lvl>
    <w:lvl w:ilvl="7" w:tplc="8408BEC8">
      <w:start w:val="1"/>
      <w:numFmt w:val="bullet"/>
      <w:lvlText w:val="o"/>
      <w:lvlJc w:val="left"/>
      <w:pPr>
        <w:ind w:left="6108" w:hanging="360"/>
      </w:pPr>
      <w:rPr>
        <w:rFonts w:ascii="Courier New" w:hAnsi="Courier New"/>
      </w:rPr>
    </w:lvl>
    <w:lvl w:ilvl="8" w:tplc="AF8C4218">
      <w:start w:val="1"/>
      <w:numFmt w:val="bullet"/>
      <w:lvlText w:val=""/>
      <w:lvlJc w:val="left"/>
      <w:pPr>
        <w:ind w:left="6828" w:hanging="360"/>
      </w:pPr>
      <w:rPr>
        <w:rFonts w:ascii="Wingdings" w:hAnsi="Wingdings"/>
      </w:rPr>
    </w:lvl>
  </w:abstractNum>
  <w:abstractNum w:abstractNumId="1" w15:restartNumberingAfterBreak="0">
    <w:nsid w:val="69A65FFC"/>
    <w:multiLevelType w:val="multilevel"/>
    <w:tmpl w:val="921E1AF4"/>
    <w:lvl w:ilvl="0">
      <w:start w:val="1"/>
      <w:numFmt w:val="decimal"/>
      <w:lvlText w:val="%1."/>
      <w:lvlJc w:val="left"/>
      <w:pPr>
        <w:ind w:left="786" w:hanging="360"/>
      </w:pPr>
    </w:lvl>
    <w:lvl w:ilvl="1">
      <w:start w:val="1"/>
      <w:numFmt w:val="decimal"/>
      <w:isLgl/>
      <w:lvlText w:val="%1.%2."/>
      <w:lvlJc w:val="left"/>
      <w:pPr>
        <w:ind w:left="1146" w:hanging="360"/>
      </w:pPr>
    </w:lvl>
    <w:lvl w:ilvl="2">
      <w:start w:val="1"/>
      <w:numFmt w:val="decimal"/>
      <w:isLgl/>
      <w:lvlText w:val="%1.%2.%3."/>
      <w:lvlJc w:val="left"/>
      <w:pPr>
        <w:ind w:left="1866" w:hanging="720"/>
      </w:pPr>
    </w:lvl>
    <w:lvl w:ilvl="3">
      <w:start w:val="1"/>
      <w:numFmt w:val="decimal"/>
      <w:isLgl/>
      <w:lvlText w:val="%1.%2.%3.%4."/>
      <w:lvlJc w:val="left"/>
      <w:pPr>
        <w:ind w:left="2226" w:hanging="720"/>
      </w:pPr>
    </w:lvl>
    <w:lvl w:ilvl="4">
      <w:start w:val="1"/>
      <w:numFmt w:val="decimal"/>
      <w:isLgl/>
      <w:lvlText w:val="%1.%2.%3.%4.%5."/>
      <w:lvlJc w:val="left"/>
      <w:pPr>
        <w:ind w:left="2946" w:hanging="1080"/>
      </w:pPr>
    </w:lvl>
    <w:lvl w:ilvl="5">
      <w:start w:val="1"/>
      <w:numFmt w:val="decimal"/>
      <w:isLgl/>
      <w:lvlText w:val="%1.%2.%3.%4.%5.%6."/>
      <w:lvlJc w:val="left"/>
      <w:pPr>
        <w:ind w:left="3306" w:hanging="1080"/>
      </w:pPr>
    </w:lvl>
    <w:lvl w:ilvl="6">
      <w:start w:val="1"/>
      <w:numFmt w:val="decimal"/>
      <w:isLgl/>
      <w:lvlText w:val="%1.%2.%3.%4.%5.%6.%7."/>
      <w:lvlJc w:val="left"/>
      <w:pPr>
        <w:ind w:left="4026" w:hanging="1440"/>
      </w:pPr>
    </w:lvl>
    <w:lvl w:ilvl="7">
      <w:start w:val="1"/>
      <w:numFmt w:val="decimal"/>
      <w:isLgl/>
      <w:lvlText w:val="%1.%2.%3.%4.%5.%6.%7.%8."/>
      <w:lvlJc w:val="left"/>
      <w:pPr>
        <w:ind w:left="4386" w:hanging="1440"/>
      </w:pPr>
    </w:lvl>
    <w:lvl w:ilvl="8">
      <w:start w:val="1"/>
      <w:numFmt w:val="decimal"/>
      <w:isLgl/>
      <w:lvlText w:val="%1.%2.%3.%4.%5.%6.%7.%8.%9."/>
      <w:lvlJc w:val="left"/>
      <w:pPr>
        <w:ind w:left="5106" w:hanging="1800"/>
      </w:pPr>
    </w:lvl>
  </w:abstractNum>
  <w:num w:numId="1" w16cid:durableId="1218856353">
    <w:abstractNumId w:val="1"/>
  </w:num>
  <w:num w:numId="2" w16cid:durableId="1621716384">
    <w:abstractNumId w:val="0"/>
  </w:num>
  <w:num w:numId="3" w16cid:durableId="1377653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302637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425"/>
  <w:characterSpacingControl w:val="doNotCompress"/>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url" w:val="http://10.1.48.53:80/ecris_cdms/document_upload.aspx?id_document=200000002933380&amp;id_departament=5&amp;id_sesiune=2523199&amp;id_user=1022&amp;id_institutie=2&amp;actiune=modifica"/>
  </w:docVars>
  <w:rsids>
    <w:rsidRoot w:val="007A5092"/>
    <w:rsid w:val="001D77E4"/>
    <w:rsid w:val="00217AB5"/>
    <w:rsid w:val="0024055A"/>
    <w:rsid w:val="002A6B62"/>
    <w:rsid w:val="003311DF"/>
    <w:rsid w:val="005B7675"/>
    <w:rsid w:val="005E267C"/>
    <w:rsid w:val="006451D1"/>
    <w:rsid w:val="007954B9"/>
    <w:rsid w:val="007A38B4"/>
    <w:rsid w:val="007A5092"/>
    <w:rsid w:val="00AE608B"/>
    <w:rsid w:val="00B92C37"/>
    <w:rsid w:val="00C85096"/>
    <w:rsid w:val="00CE38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C6C36D"/>
  <w15:docId w15:val="{CBA3073F-FAD2-456C-9798-0C42FCB44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Titlu11">
    <w:name w:val="Titlu 1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Listparagraf1">
    <w:name w:val="Listă paragraf1"/>
    <w:basedOn w:val="Normal"/>
    <w:qFormat/>
    <w:pPr>
      <w:ind w:left="720"/>
      <w:contextualSpacing/>
    </w:p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Fontdeparagrafimplicit1">
    <w:name w:val="Font de paragraf implicit1"/>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12</Pages>
  <Words>6130</Words>
  <Characters>35557</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Numar dosar ﷡﷡﷡﷡﷡</vt:lpstr>
    </vt:vector>
  </TitlesOfParts>
  <Manager/>
  <Company/>
  <LinksUpToDate>false</LinksUpToDate>
  <CharactersWithSpaces>41604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1</cp:revision>
  <dcterms:created xsi:type="dcterms:W3CDTF">2026-09-04T08:26:00Z</dcterms:created>
  <dcterms:modified xsi:type="dcterms:W3CDTF">2026-09-04T08:27:00Z</dcterms:modified>
  <cp:category/>
  <dc:identifier/>
  <cp:contentStatus/>
  <dc:language/>
  <cp:version/>
</cp:coreProperties>
</file>