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E00B68" w14:paraId="5181333C" w14:textId="17D214EA">
      <w:pPr>
        <w:jc w:val="both"/>
      </w:pPr>
      <w:r>
        <w:t xml:space="preserve"> </w:t>
      </w:r>
    </w:p>
    <w:p w:rsidR="00E00B68" w14:paraId="649754BE" w14:textId="77777777">
      <w:pPr>
        <w:ind w:right="-142"/>
        <w:jc w:val="both"/>
      </w:pPr>
    </w:p>
    <w:p w:rsidR="00E00B68" w14:paraId="1C9AF5F6" w14:textId="77777777">
      <w:pPr>
        <w:ind w:right="-1"/>
        <w:jc w:val="center"/>
        <w:rPr>
          <w:rStyle w:val="Fontdeparagrafimplicit"/>
          <w:b/>
          <w:i/>
        </w:rPr>
      </w:pPr>
      <w:r>
        <w:rPr>
          <w:rStyle w:val="Fontdeparagrafimplicit"/>
          <w:b/>
          <w:i/>
        </w:rPr>
        <w:t>ROMÂNIA</w:t>
      </w:r>
    </w:p>
    <w:p w:rsidR="00E00B68" w14:paraId="7FDA9848" w14:textId="3524F4C5">
      <w:pPr>
        <w:ind w:right="-1"/>
        <w:jc w:val="center"/>
        <w:rPr>
          <w:rStyle w:val="Fontdeparagrafimplicit"/>
          <w:b/>
          <w:i/>
        </w:rPr>
      </w:pPr>
      <w:r>
        <w:t xml:space="preserve">CURTEA DE APEL </w:t>
      </w:r>
      <w:r w:rsidR="00E64DC7">
        <w:t xml:space="preserve">                  </w:t>
      </w:r>
      <w:r>
        <w:t xml:space="preserve"> -  SECŢIA </w:t>
      </w:r>
      <w:r w:rsidR="00E64DC7">
        <w:t xml:space="preserve"> </w:t>
      </w:r>
    </w:p>
    <w:p w:rsidR="00E00B68" w14:paraId="00111206" w14:textId="77777777">
      <w:pPr>
        <w:ind w:right="-1"/>
        <w:jc w:val="center"/>
        <w:rPr>
          <w:rStyle w:val="Fontdeparagrafimplicit"/>
        </w:rPr>
      </w:pPr>
    </w:p>
    <w:p w:rsidR="00E00B68" w:rsidP="00F51749" w14:paraId="29ED1A11" w14:textId="0A5054BD">
      <w:pPr>
        <w:ind w:right="-1"/>
      </w:pPr>
      <w:r>
        <w:t xml:space="preserve">Dosar nr. </w:t>
      </w:r>
      <w:r w:rsidR="00E64DC7">
        <w:t xml:space="preserve">1/2016     </w:t>
      </w:r>
      <w:r>
        <w:t xml:space="preserve"> </w:t>
      </w:r>
    </w:p>
    <w:p w:rsidR="00E00B68" w14:paraId="080DC643" w14:textId="77777777">
      <w:pPr>
        <w:ind w:right="-1"/>
        <w:jc w:val="center"/>
      </w:pPr>
    </w:p>
    <w:p w:rsidR="00E00B68" w14:paraId="137BAF6A" w14:textId="68409844">
      <w:pPr>
        <w:ind w:right="-1"/>
        <w:jc w:val="center"/>
        <w:rPr>
          <w:rStyle w:val="Fontdeparagrafimplicit"/>
          <w:b/>
          <w:u w:val="single"/>
        </w:rPr>
      </w:pPr>
      <w:r>
        <w:rPr>
          <w:rStyle w:val="Fontdeparagrafimplicit"/>
          <w:b/>
          <w:u w:val="single"/>
        </w:rPr>
        <w:t xml:space="preserve">DECIZIA PENALĂ NR. </w:t>
      </w:r>
      <w:r w:rsidR="00E64DC7">
        <w:rPr>
          <w:rStyle w:val="Fontdeparagrafimplicit"/>
          <w:b/>
          <w:u w:val="single"/>
        </w:rPr>
        <w:t>10</w:t>
      </w:r>
    </w:p>
    <w:p w:rsidR="00E00B68" w14:paraId="0B053C65" w14:textId="77777777">
      <w:pPr>
        <w:ind w:right="-1"/>
        <w:jc w:val="center"/>
        <w:rPr>
          <w:rStyle w:val="Fontdeparagrafimplicit"/>
          <w:b/>
          <w:u w:val="single"/>
        </w:rPr>
      </w:pPr>
    </w:p>
    <w:p w:rsidR="00E00B68" w14:paraId="62EA9BB9" w14:textId="528F4D49">
      <w:pPr>
        <w:ind w:right="-1"/>
        <w:jc w:val="center"/>
      </w:pPr>
      <w:r>
        <w:t xml:space="preserve">Şedinţa publică din data de </w:t>
      </w:r>
      <w:r w:rsidR="00E64DC7">
        <w:t xml:space="preserve"> </w:t>
      </w:r>
    </w:p>
    <w:p w:rsidR="00E00B68" w14:paraId="5D64E86A" w14:textId="77777777">
      <w:pPr>
        <w:ind w:right="-1"/>
        <w:jc w:val="center"/>
        <w:rPr>
          <w:rStyle w:val="Fontdeparagrafimplicit"/>
          <w:i/>
        </w:rPr>
      </w:pPr>
      <w:r>
        <w:rPr>
          <w:rStyle w:val="Fontdeparagrafimplicit"/>
          <w:i/>
        </w:rPr>
        <w:t>Curtea constituită din:</w:t>
      </w:r>
    </w:p>
    <w:p w:rsidR="00E00B68" w14:paraId="03350D0B" w14:textId="6F652694">
      <w:pPr>
        <w:ind w:right="-1"/>
        <w:jc w:val="center"/>
        <w:rPr>
          <w:rStyle w:val="Fontdeparagrafimplicit"/>
          <w:b/>
        </w:rPr>
      </w:pPr>
      <w:r>
        <w:rPr>
          <w:rStyle w:val="Fontdeparagrafimplicit"/>
          <w:b/>
        </w:rPr>
        <w:t xml:space="preserve">PREŞEDINTE: </w:t>
      </w:r>
      <w:r w:rsidR="00E64DC7">
        <w:rPr>
          <w:rStyle w:val="Fontdeparagrafimplicit"/>
          <w:b/>
        </w:rPr>
        <w:t>A0002</w:t>
      </w:r>
    </w:p>
    <w:p w:rsidR="00E00B68" w14:paraId="25420D01" w14:textId="2C00B7C6">
      <w:pPr>
        <w:ind w:right="-1"/>
        <w:jc w:val="center"/>
        <w:rPr>
          <w:rStyle w:val="Fontdeparagrafimplicit"/>
          <w:b/>
        </w:rPr>
      </w:pPr>
      <w:r>
        <w:rPr>
          <w:rStyle w:val="Fontdeparagrafimplicit"/>
          <w:b/>
        </w:rPr>
        <w:t xml:space="preserve">JUDECĂTOR: </w:t>
      </w:r>
      <w:r w:rsidR="00E64DC7">
        <w:rPr>
          <w:rStyle w:val="Fontdeparagrafimplicit"/>
          <w:b/>
        </w:rPr>
        <w:t xml:space="preserve"> </w:t>
      </w:r>
    </w:p>
    <w:p w:rsidR="00E00B68" w14:paraId="71F9A712" w14:textId="6583FD0E">
      <w:pPr>
        <w:ind w:right="-1"/>
        <w:jc w:val="center"/>
        <w:rPr>
          <w:rStyle w:val="Fontdeparagrafimplicit"/>
          <w:b/>
        </w:rPr>
      </w:pPr>
      <w:r>
        <w:rPr>
          <w:rStyle w:val="Fontdeparagrafimplicit"/>
          <w:b/>
        </w:rPr>
        <w:t xml:space="preserve">GREFIER:  </w:t>
      </w:r>
      <w:r w:rsidR="00E64DC7">
        <w:rPr>
          <w:rStyle w:val="Fontdeparagrafimplicit"/>
          <w:b/>
        </w:rPr>
        <w:t xml:space="preserve"> </w:t>
      </w:r>
    </w:p>
    <w:p w:rsidR="00E00B68" w14:paraId="118B47DE" w14:textId="77777777">
      <w:pPr>
        <w:ind w:right="-142" w:firstLine="576"/>
        <w:jc w:val="both"/>
        <w:rPr>
          <w:rStyle w:val="Fontdeparagrafimplicit"/>
        </w:rPr>
      </w:pPr>
    </w:p>
    <w:p w:rsidR="00E00B68" w14:paraId="2750B989" w14:textId="15AF0E54">
      <w:pPr>
        <w:ind w:right="-1" w:firstLine="851"/>
        <w:jc w:val="both"/>
        <w:rPr>
          <w:rStyle w:val="Fontdeparagrafimplicit"/>
        </w:rPr>
      </w:pPr>
      <w:r>
        <w:t xml:space="preserve">Ministerul Public – Parchetul de pe lângă Curtea de Apel </w:t>
      </w:r>
      <w:r w:rsidR="00E64DC7">
        <w:t xml:space="preserve">                  </w:t>
      </w:r>
      <w:r>
        <w:t xml:space="preserve">  a fost reprezentat prin procuror</w:t>
      </w:r>
      <w:r>
        <w:rPr>
          <w:rStyle w:val="Fontdeparagrafimplicit"/>
          <w:b/>
        </w:rPr>
        <w:t xml:space="preserve"> </w:t>
      </w:r>
      <w:r w:rsidR="00E64DC7">
        <w:rPr>
          <w:rStyle w:val="Fontdeparagrafimplicit"/>
          <w:b/>
        </w:rPr>
        <w:t xml:space="preserve"> </w:t>
      </w:r>
      <w:r>
        <w:rPr>
          <w:rStyle w:val="Fontdeparagrafimplicit"/>
          <w:b/>
        </w:rPr>
        <w:t>.</w:t>
      </w:r>
    </w:p>
    <w:p w:rsidR="00E00B68" w14:paraId="5EEA84D9" w14:textId="2660E887">
      <w:pPr>
        <w:ind w:right="-1" w:firstLine="851"/>
        <w:jc w:val="both"/>
      </w:pPr>
      <w:r>
        <w:t xml:space="preserve">Pe rol: pronunţarea în cauza penală de faţă având ca obiect apelurile formulate de apelanţii – inculpaţi </w:t>
      </w:r>
      <w:r w:rsidR="00E64DC7">
        <w:rPr>
          <w:rStyle w:val="Fontdeparagrafimplicit"/>
          <w:b/>
          <w:i/>
        </w:rPr>
        <w:t xml:space="preserve">2 </w:t>
      </w:r>
      <w:r>
        <w:rPr>
          <w:rStyle w:val="Fontdeparagrafimplicit"/>
          <w:b/>
          <w:i/>
        </w:rPr>
        <w:t xml:space="preserve"> şi </w:t>
      </w:r>
      <w:r w:rsidR="000F63D7">
        <w:rPr>
          <w:rStyle w:val="Fontdeparagrafimplicit"/>
          <w:b/>
          <w:i/>
        </w:rPr>
        <w:t xml:space="preserve">3 </w:t>
      </w:r>
      <w:r>
        <w:t xml:space="preserve"> împotriva sentinţei penale nr. </w:t>
      </w:r>
      <w:r w:rsidR="000F63D7">
        <w:t xml:space="preserve">4/2017 </w:t>
      </w:r>
      <w:r>
        <w:t xml:space="preserve"> pronunţată de Judecătoria </w:t>
      </w:r>
      <w:r w:rsidR="000F63D7">
        <w:t xml:space="preserve">              </w:t>
      </w:r>
      <w:r>
        <w:t xml:space="preserve"> în dosarul nr. </w:t>
      </w:r>
      <w:r w:rsidR="00E64DC7">
        <w:t xml:space="preserve">1/2016     </w:t>
      </w:r>
      <w:r>
        <w:t xml:space="preserve">.   </w:t>
      </w:r>
    </w:p>
    <w:p w:rsidR="00E00B68" w14:paraId="65F76EFE" w14:textId="5A0D4749">
      <w:pPr>
        <w:ind w:right="-1" w:firstLine="851"/>
        <w:jc w:val="both"/>
      </w:pPr>
      <w:r>
        <w:t xml:space="preserve">Dezbaterile cu privire la fondul cauzei sunt cuprinse în încheierea de şedinţă din data de  , care face parte integrantă din prezenta Decizie, când Curtea, în temeiul disp. art. 391 alin. 1 C.p.p. a stabilit pronunţarea la data de  , când a hotărât următoarele: </w:t>
      </w:r>
    </w:p>
    <w:p w:rsidR="00E00B68" w14:paraId="6069F145" w14:textId="77777777">
      <w:pPr>
        <w:ind w:right="-1" w:firstLine="851"/>
        <w:jc w:val="both"/>
      </w:pPr>
    </w:p>
    <w:p w:rsidR="00E00B68" w14:paraId="5B59CC97" w14:textId="77777777">
      <w:pPr>
        <w:ind w:right="-1"/>
        <w:jc w:val="center"/>
        <w:rPr>
          <w:rStyle w:val="Fontdeparagrafimplicit"/>
          <w:b/>
        </w:rPr>
      </w:pPr>
      <w:r>
        <w:rPr>
          <w:rStyle w:val="Fontdeparagrafimplicit"/>
          <w:b/>
        </w:rPr>
        <w:t>CURTEA,</w:t>
      </w:r>
    </w:p>
    <w:p w:rsidR="00E00B68" w14:paraId="1F0AA59C" w14:textId="77777777">
      <w:pPr>
        <w:jc w:val="both"/>
        <w:rPr>
          <w:rStyle w:val="Fontdeparagrafimplicit"/>
        </w:rPr>
      </w:pPr>
    </w:p>
    <w:p w:rsidR="00E00B68" w14:paraId="76800299" w14:textId="77777777">
      <w:pPr>
        <w:tabs>
          <w:tab w:val="left" w:pos="142"/>
        </w:tabs>
        <w:ind w:firstLine="851"/>
        <w:jc w:val="both"/>
      </w:pPr>
      <w:r>
        <w:t>Deliberând asupra apelului penal de faţă, din actele şi lucrările dosarului, constată şi reţine următoarele:</w:t>
      </w:r>
    </w:p>
    <w:p w:rsidR="00E00B68" w14:paraId="27F098E0" w14:textId="5F6E4202">
      <w:pPr>
        <w:ind w:firstLine="851"/>
        <w:jc w:val="both"/>
      </w:pPr>
      <w:r>
        <w:rPr>
          <w:rStyle w:val="Fontdeparagrafimplicit"/>
          <w:b/>
        </w:rPr>
        <w:t>Prin sentinţa penală</w:t>
      </w:r>
      <w:r>
        <w:t xml:space="preserve"> </w:t>
      </w:r>
      <w:r>
        <w:rPr>
          <w:rStyle w:val="Fontdeparagrafimplicit"/>
          <w:b/>
        </w:rPr>
        <w:t xml:space="preserve">nr. 4/2017 </w:t>
      </w:r>
      <w:r>
        <w:t xml:space="preserve">, pronunţată de Judecătoria </w:t>
      </w:r>
      <w:r w:rsidR="000F63D7">
        <w:t xml:space="preserve">              </w:t>
      </w:r>
      <w:r>
        <w:t xml:space="preserve">, s-au hotărât următoarele: </w:t>
      </w:r>
    </w:p>
    <w:p w:rsidR="00E00B68" w14:paraId="5425956D" w14:textId="5A9822DB">
      <w:pPr>
        <w:ind w:firstLine="851"/>
        <w:jc w:val="both"/>
      </w:pPr>
      <w:r>
        <w:t xml:space="preserve">I. În temeiul art.193 alin.2 Cod penal, cu aplicarea art. 396 alin. 1, 2, 10 Cod proc.pen., a fost condamnat inculpatul </w:t>
      </w:r>
      <w:r w:rsidR="00E64DC7">
        <w:rPr>
          <w:rStyle w:val="Fontdeparagrafimplicit"/>
          <w:b/>
        </w:rPr>
        <w:t xml:space="preserve">2 </w:t>
      </w:r>
      <w:r>
        <w:t xml:space="preserve"> [fiul lui   şi  , născut la data de   în municipiul </w:t>
      </w:r>
      <w:r w:rsidR="00E64DC7">
        <w:t xml:space="preserve">                  </w:t>
      </w:r>
      <w:r>
        <w:t xml:space="preserve">,               , domiciliat în oraş  , Şoseaua  , nr.  , ap.  , judeţ               , posesor CI seria   nr.  , CNP  , căsătorit, angajat în domeniul construcţiilor, fără antecedente penale] la o pedeapsă de </w:t>
      </w:r>
      <w:r>
        <w:rPr>
          <w:rStyle w:val="Fontdeparagrafimplicit"/>
          <w:b/>
        </w:rPr>
        <w:t>6 luni închisoare</w:t>
      </w:r>
      <w:r>
        <w:t xml:space="preserve"> pentru săvârşirea infracţiunii de lovire sau alte violenţe.</w:t>
      </w:r>
    </w:p>
    <w:p w:rsidR="00E00B68" w14:paraId="40E25E73" w14:textId="77777777">
      <w:pPr>
        <w:ind w:firstLine="851"/>
        <w:jc w:val="both"/>
      </w:pPr>
      <w:r>
        <w:t>În baza art. 67 Cod penal, s-a aplicat inculpatului pedeapsa complementară a interzicerii exercitării drepturilor prevăzute de art.66 lit. a, lit.b, Cod penal, respectiv dreptul de a fi ales în autorităţile publice sau în funcţiile elective publice, dreptul de a ocupa o funcţie implicând exerciţiul autorităţii de stat, pe o durată de 2 ani, începând cu data rămânerii definitive a hotărârii, potrivit art.68 alin.1 lit. b Cod penal, iar în baza art. 65 Cod penal, a fost interzisă inculpatului exercitarea drepturilor prevăzute de art. 66 lit.a, lit.b, Cod penal ca pedeapsă accesorie, care se va executa dacă pedeapsa principală va deveni executabilă.</w:t>
      </w:r>
    </w:p>
    <w:p w:rsidR="00E00B68" w14:paraId="474E322D" w14:textId="40D2D09D">
      <w:pPr>
        <w:ind w:firstLine="851"/>
        <w:jc w:val="both"/>
      </w:pPr>
      <w:r>
        <w:t xml:space="preserve">În temeiul art.193 alin.1 Cod penal, cu aplicarea art. 396 alin. 1, 2, 10 Cod proc.pen., a fost condamnat inculpatul </w:t>
      </w:r>
      <w:r w:rsidR="00E64DC7">
        <w:rPr>
          <w:rStyle w:val="Fontdeparagrafimplicit"/>
          <w:b/>
        </w:rPr>
        <w:t xml:space="preserve">2 </w:t>
      </w:r>
      <w:r>
        <w:rPr>
          <w:rStyle w:val="Fontdeparagrafimplicit"/>
          <w:b/>
        </w:rPr>
        <w:t xml:space="preserve"> </w:t>
      </w:r>
      <w:r>
        <w:t xml:space="preserve">la o pedeapsă de </w:t>
      </w:r>
      <w:r>
        <w:rPr>
          <w:rStyle w:val="Fontdeparagrafimplicit"/>
          <w:b/>
        </w:rPr>
        <w:t>3 luni închisoare</w:t>
      </w:r>
      <w:r>
        <w:t xml:space="preserve"> pentru săvârşirea infracţiunii de lovire sau alte violenţe.</w:t>
      </w:r>
    </w:p>
    <w:p w:rsidR="00E00B68" w14:paraId="1DE7BE5E" w14:textId="77777777">
      <w:pPr>
        <w:ind w:firstLine="851"/>
        <w:jc w:val="both"/>
      </w:pPr>
      <w:r>
        <w:t>În baza art. 67 Cod penal, s-a aplicat inculpatului pedeapsa complementară a interzicerii exercitării drepturilor prevăzute de art.66 lit. a, lit.b, Cod penal, respectiv dreptul de a fi ales în autorităţile publice sau în funcţiile elective publice, dreptul de a ocupa o funcţie implicând exerciţiul autorităţii de stat, pe o durată de 2 ani, începând cu data rămânerii definitive a hotărârii, potrivit art.68 alin.1 lit. b Cod penal, iar în baza art. 65 Cod penal, a fost interzisă inculpatului exercitarea drepturilor prevăzute de art. 66 lit.a, lit.b, Cod penal ca pedeapsă accesorie, care se va executa dacă pedeapsa principală va deveni executabilă.</w:t>
      </w:r>
    </w:p>
    <w:p w:rsidR="00E00B68" w14:paraId="5E7EE3B4" w14:textId="77777777">
      <w:pPr>
        <w:ind w:firstLine="851"/>
        <w:jc w:val="both"/>
      </w:pPr>
      <w:r>
        <w:t xml:space="preserve">În temeiul art. 39 alin.1 lit. b, rap. la art. 38 alin. 1 Cod penal, s-a aplicat inculpatului pedeapsa cea mai grea, de 6 luni închisoare, la care s-a adăugat sporul de o treime din cealaltă pedeapsă, de o lună, fiind stabilită </w:t>
      </w:r>
      <w:r>
        <w:rPr>
          <w:rStyle w:val="Fontdeparagrafimplicit"/>
          <w:b/>
        </w:rPr>
        <w:t>pedeapsa rezultantă de 7 luni închisoare</w:t>
      </w:r>
      <w:r>
        <w:t>.</w:t>
      </w:r>
    </w:p>
    <w:p w:rsidR="00E00B68" w14:paraId="44F25C23" w14:textId="77777777">
      <w:pPr>
        <w:ind w:firstLine="851"/>
        <w:jc w:val="both"/>
      </w:pPr>
      <w:r>
        <w:t>În baza art. 45 alin. 3 lit. a Cod penal, s-a aplicat inculpatului pedeapsa complementară a interzicerii exercitării drepturilor prevăzute de art.66 lit. a, lit.b, Cod penal, respectiv dreptul de a fi ales în autorităţile publice sau în funcţiile elective publice, dreptul de a ocupa o funcţie implicând exerciţiul autorităţii de stat, pe o durată de 2 ani, începând cu data rămânerii definitive a hotărârii, potrivit art.68 alin.1 lit. b Cod penal, iar în baza art. 45 alin. 5, rap. la art. 45 alin. 3 lit. a Cod penal, a fost interzisă inculpatului exercitarea drepturilor prevăzute de art. 66 lit.a, lit.b, Cod penal ca pedeapsă accesorie, care se va executa dacă pedeapsa principală va deveni executabilă.</w:t>
      </w:r>
    </w:p>
    <w:p w:rsidR="00E00B68" w14:paraId="20C58C33" w14:textId="77777777">
      <w:pPr>
        <w:ind w:firstLine="851"/>
        <w:jc w:val="both"/>
      </w:pPr>
      <w:r>
        <w:t>În baza art.91 Cod penal, s-a dispus suspendarea executării pedepsei sub supraveghere şi s-a stabilit un termen de supraveghere de 2 ani, conform dispoziţiilor art. 92 Cod penal.</w:t>
      </w:r>
    </w:p>
    <w:p w:rsidR="00E00B68" w14:paraId="55A04011" w14:textId="77777777">
      <w:pPr>
        <w:ind w:firstLine="851"/>
        <w:jc w:val="both"/>
      </w:pPr>
      <w:r>
        <w:t>În baza art.93 alin.1 Cod penal, a fost obligat inculpatul ca pe durata termenului de supraveghere să respecte următoarele măsuri de supraveghere:</w:t>
      </w:r>
    </w:p>
    <w:p w:rsidR="00E00B68" w14:paraId="7FC6A736" w14:textId="223338F4">
      <w:pPr>
        <w:ind w:firstLine="851"/>
        <w:jc w:val="both"/>
      </w:pPr>
      <w:r>
        <w:t>a) să se prezinte la Serviciul de Probaţiune               , la datele fixate de acesta;</w:t>
      </w:r>
    </w:p>
    <w:p w:rsidR="00E00B68" w14:paraId="0309B70F" w14:textId="77777777">
      <w:pPr>
        <w:ind w:firstLine="851"/>
        <w:jc w:val="both"/>
      </w:pPr>
      <w:r>
        <w:t>b) să primească vizitele consilierului de probaţiune desemnat cu supravegherea sa;</w:t>
      </w:r>
    </w:p>
    <w:p w:rsidR="00E00B68" w14:paraId="26C0786B" w14:textId="77777777">
      <w:pPr>
        <w:ind w:firstLine="851"/>
        <w:jc w:val="both"/>
      </w:pPr>
      <w:r>
        <w:t>c) să anunţe, în prealabil, schimbarea locuinţei şi orice deplasare care depăşeşte 5 zile;</w:t>
      </w:r>
    </w:p>
    <w:p w:rsidR="00E00B68" w14:paraId="40D85CAB" w14:textId="77777777">
      <w:pPr>
        <w:ind w:firstLine="851"/>
        <w:jc w:val="both"/>
      </w:pPr>
      <w:r>
        <w:t>d) să comunice schimbarea locului de muncă;</w:t>
      </w:r>
    </w:p>
    <w:p w:rsidR="00E00B68" w14:paraId="4767D4A7" w14:textId="77777777">
      <w:pPr>
        <w:ind w:firstLine="851"/>
        <w:jc w:val="both"/>
      </w:pPr>
      <w:r>
        <w:t>e) să comunice informaţii şi documente de natură a permite controlul mijloacelor sale de existenţă.</w:t>
      </w:r>
    </w:p>
    <w:p w:rsidR="00E00B68" w14:paraId="7555DDE9" w14:textId="77777777">
      <w:pPr>
        <w:ind w:firstLine="851"/>
        <w:jc w:val="both"/>
      </w:pPr>
      <w:r>
        <w:t>În baza art.93 alin.2 lit. a) Cod penal, s-a impus condamnatului să urmeze un curs de calificare profesională.</w:t>
      </w:r>
    </w:p>
    <w:p w:rsidR="00E00B68" w14:paraId="7A2F2C47" w14:textId="5BD42395">
      <w:pPr>
        <w:ind w:firstLine="851"/>
        <w:jc w:val="both"/>
      </w:pPr>
      <w:r>
        <w:t xml:space="preserve">În baza art.93 alin.3 Cod penal, pe parcursul termenului de supraveghere, inculpatul a fost obligat să presteze o muncă neremunerată în folosul comunităţii în cadrul uneia dintre următoarele două instituții: DGASPC                </w:t>
      </w:r>
      <w:r w:rsidR="00E64DC7">
        <w:t xml:space="preserve">                  </w:t>
      </w:r>
      <w:r>
        <w:t xml:space="preserve"> sau Fundaţia</w:t>
      </w:r>
      <w:r w:rsidR="00E64DC7">
        <w:t xml:space="preserve">                 </w:t>
      </w:r>
      <w:r>
        <w:t>, ce se va stabili de Serviciul de Probațiune               , pe o perioadă de 100 de zile.</w:t>
      </w:r>
    </w:p>
    <w:p w:rsidR="00E00B68" w14:paraId="7EC28AB6" w14:textId="77777777">
      <w:pPr>
        <w:ind w:firstLine="851"/>
        <w:jc w:val="both"/>
      </w:pPr>
      <w:r>
        <w:t>În baza art. 91 alin.4 Cod penal, s-a atras atenţia inculpatului asupra dispoziţiilor art. 96 C. pen., privind cauzele de revocare a suspendării executării pedepsei sub supraveghere și asupra dispozițiilor art.97 Cod penal privind anularea suspendării executării pedepsei sub supraveghere.</w:t>
      </w:r>
    </w:p>
    <w:p w:rsidR="00E00B68" w14:paraId="0850701E" w14:textId="7DA85BFE">
      <w:pPr>
        <w:ind w:firstLine="851"/>
        <w:jc w:val="both"/>
      </w:pPr>
      <w:r>
        <w:t xml:space="preserve">II. În temeiul art.193 alin.2 Cod penal, cu aplicarea art. 396 alin. 1, 2, 10 Cod proc.pen., a fost condamnat inculpatul </w:t>
      </w:r>
      <w:r w:rsidR="000F63D7">
        <w:rPr>
          <w:rStyle w:val="Fontdeparagrafimplicit"/>
          <w:b/>
        </w:rPr>
        <w:t xml:space="preserve">3 </w:t>
      </w:r>
      <w:r>
        <w:t xml:space="preserve"> [fiul lui   şi  , născut la data de   în municipiul </w:t>
      </w:r>
      <w:r w:rsidR="00E64DC7">
        <w:t xml:space="preserve">                  </w:t>
      </w:r>
      <w:r>
        <w:t xml:space="preserve">,               , domiciliat în Oraş  , Şoseaua  , nr.  , posesor CI seria  , nr.  , CNP  , căsătorit, angajat în domeniul construcţiilor, fără antecedente penale] la o pedeapsă de </w:t>
      </w:r>
      <w:r>
        <w:rPr>
          <w:rStyle w:val="Fontdeparagrafimplicit"/>
          <w:b/>
        </w:rPr>
        <w:t>6 luni închisoare</w:t>
      </w:r>
      <w:r>
        <w:t xml:space="preserve"> pentru săvârşirea infracţiunii de lovire sau alte violenţe.</w:t>
      </w:r>
    </w:p>
    <w:p w:rsidR="00E00B68" w14:paraId="10E9D617" w14:textId="77777777">
      <w:pPr>
        <w:ind w:firstLine="851"/>
        <w:jc w:val="both"/>
      </w:pPr>
      <w:r>
        <w:t>În baza art.91 Cod penal, s-a dispus suspendarea executării pedepsei sub supraveghere, stabilindu-se un termen de supraveghere de 2 ani, conform dispoziţiilor art. 92 Cod penal.</w:t>
      </w:r>
    </w:p>
    <w:p w:rsidR="00E00B68" w14:paraId="75C6E3C1" w14:textId="77777777">
      <w:pPr>
        <w:ind w:firstLine="851"/>
        <w:jc w:val="both"/>
      </w:pPr>
      <w:r>
        <w:t>În baza art.93 alin.1 Cod penal, a fost obligat inculpatul ca pe durata termenului de supraveghere să respecte următoarele măsuri de supraveghere:</w:t>
      </w:r>
    </w:p>
    <w:p w:rsidR="00E00B68" w14:paraId="6A1C542E" w14:textId="6AB5BF80">
      <w:pPr>
        <w:ind w:firstLine="851"/>
        <w:jc w:val="both"/>
      </w:pPr>
      <w:r>
        <w:t>a) să se prezinte la Serviciul de Probaţiune               , la datele fixate de acesta;</w:t>
      </w:r>
    </w:p>
    <w:p w:rsidR="00E00B68" w14:paraId="5BD6464C" w14:textId="77777777">
      <w:pPr>
        <w:ind w:firstLine="851"/>
        <w:jc w:val="both"/>
      </w:pPr>
      <w:r>
        <w:t>b) să primească vizitele consilierului de probaţiune desemnat cu supravegherea sa;</w:t>
      </w:r>
    </w:p>
    <w:p w:rsidR="00E00B68" w14:paraId="4653A66E" w14:textId="77777777">
      <w:pPr>
        <w:ind w:firstLine="851"/>
        <w:jc w:val="both"/>
      </w:pPr>
      <w:r>
        <w:t>c) să anunţe, în prealabil, schimbarea locuinţei şi orice deplasare care depăşeşte 5 zile;</w:t>
      </w:r>
    </w:p>
    <w:p w:rsidR="00E00B68" w14:paraId="1224951E" w14:textId="77777777">
      <w:pPr>
        <w:ind w:firstLine="851"/>
        <w:jc w:val="both"/>
      </w:pPr>
      <w:r>
        <w:t>d) să comunice schimbarea locului de muncă;</w:t>
      </w:r>
    </w:p>
    <w:p w:rsidR="00E00B68" w14:paraId="20795A7F" w14:textId="77777777">
      <w:pPr>
        <w:ind w:firstLine="851"/>
        <w:jc w:val="both"/>
      </w:pPr>
      <w:r>
        <w:t>e) să comunice informaţii şi documente de natură a permite controlul mijloacelor sale de existenţă.</w:t>
      </w:r>
    </w:p>
    <w:p w:rsidR="00E00B68" w14:paraId="6A916F42" w14:textId="77777777">
      <w:pPr>
        <w:ind w:firstLine="851"/>
        <w:jc w:val="both"/>
      </w:pPr>
      <w:r>
        <w:t>În baza art.93 alin.2 lit. a) Cod penal, s-a impus condamnatului să urmeze un curs de calificare profesională.</w:t>
      </w:r>
    </w:p>
    <w:p w:rsidR="00E00B68" w14:paraId="68662EDC" w14:textId="051923BE">
      <w:pPr>
        <w:ind w:firstLine="851"/>
        <w:jc w:val="both"/>
      </w:pPr>
      <w:r>
        <w:t xml:space="preserve">În baza art.93 alin.3 Cod penal, pe parcursul termenului de supraveghere, inculpatul a fost obligat să presteze o muncă neremunerată în folosul comunităţii în cadrul uneia dintre următoarele două instituții: DGASPC                </w:t>
      </w:r>
      <w:r w:rsidR="00E64DC7">
        <w:t xml:space="preserve">                  </w:t>
      </w:r>
      <w:r>
        <w:t xml:space="preserve"> sau Fundaţia </w:t>
      </w:r>
      <w:r w:rsidR="00F51749">
        <w:t xml:space="preserve"> </w:t>
      </w:r>
      <w:r>
        <w:t xml:space="preserve"> </w:t>
      </w:r>
      <w:r w:rsidR="00E64DC7">
        <w:t xml:space="preserve">                  </w:t>
      </w:r>
      <w:r>
        <w:t>, ce se va stabili de Serviciul de Probațiune               , pe o perioadă de 100 de zile.</w:t>
      </w:r>
    </w:p>
    <w:p w:rsidR="00E00B68" w14:paraId="33209FBD" w14:textId="77777777">
      <w:pPr>
        <w:ind w:firstLine="851"/>
        <w:jc w:val="both"/>
      </w:pPr>
      <w:r>
        <w:t>În baza art. 91 alin.4 Cod penal, s-a atras atenţia inculpatului asupra dispoziţiilor art. 96 C. pen., privind cauzele de revocare a suspendării executării pedepsei sub supraveghere și asupra dispozițiilor art.97 Cod penal privind anularea suspendării executării pedepsei sub supraveghere.</w:t>
      </w:r>
    </w:p>
    <w:p w:rsidR="00E00B68" w14:paraId="059CEC22" w14:textId="77777777">
      <w:pPr>
        <w:ind w:firstLine="851"/>
        <w:jc w:val="both"/>
      </w:pPr>
      <w:r>
        <w:t>În baza art. 67 Cod penal, s-a aplicat inculpatului pedeapsa complementară a interzicerii exercitării drepturilor prevăzute de art.66 lit. a, lit.b, Cod penal, respectiv dreptul de a fi ales în autorităţile publice sau în funcţiile elective publice, dreptul de a ocupa o funcţie implicând exerciţiul autorităţii de stat, pe o durată de 2 ani, începând cu data rămânerii definitive a hotărârii, potrivit art.68 alin.1 lit. b Cod penal, iar în baza art. 65 Cod penal, a fost interzisă inculpatului exercitarea drepturilor prevăzute de art. 66 lit.a, lit.b, Cod penal ca pedeapsă accesorie, care se va executa dacă pedeapsa principală va deveni executabilă.</w:t>
      </w:r>
    </w:p>
    <w:p w:rsidR="00E00B68" w14:paraId="701B78FD" w14:textId="118FBCB6">
      <w:pPr>
        <w:ind w:firstLine="851"/>
        <w:jc w:val="both"/>
      </w:pPr>
      <w:r>
        <w:t xml:space="preserve">S-a luat act că Spitalul Clinic de Urgenţă </w:t>
      </w:r>
      <w:r>
        <w:rPr>
          <w:rStyle w:val="Fontdeparagrafimplicit"/>
          <w:lang w:val="en-US"/>
        </w:rPr>
        <w:t>“</w:t>
      </w:r>
      <w:r>
        <w:t>A ” nu s-a constituit parte civilă.</w:t>
      </w:r>
    </w:p>
    <w:p w:rsidR="00E00B68" w14:paraId="68FD7B4B" w14:textId="211607DB">
      <w:pPr>
        <w:ind w:firstLine="851"/>
        <w:jc w:val="both"/>
      </w:pPr>
      <w:r>
        <w:t xml:space="preserve">În baza art. 397 alin. 1 C.p. şi art. 25 alin. 1 C.p., rap. la art. 1357 Cod civil, a fost admisă acţiunea civilă formulată de partea civilă, Spitalul Clinic de Urgenţă „B ”, cu sediul în             </w:t>
      </w:r>
      <w:r w:rsidR="00E64DC7">
        <w:t xml:space="preserve">                  </w:t>
      </w:r>
      <w:r>
        <w:t xml:space="preserve">, şos. </w:t>
      </w:r>
      <w:r w:rsidR="00D34FDE">
        <w:t xml:space="preserve"> </w:t>
      </w:r>
      <w:r>
        <w:t xml:space="preserve"> şi sediu procesual ales în </w:t>
      </w:r>
      <w:r w:rsidR="00E64DC7">
        <w:t xml:space="preserve">                  </w:t>
      </w:r>
      <w:r>
        <w:t xml:space="preserve">, str.  , nr.  ,             şi au fost obligaţi, în solidar, inculpaţii </w:t>
      </w:r>
      <w:r w:rsidR="00E64DC7">
        <w:t xml:space="preserve">2 </w:t>
      </w:r>
      <w:r>
        <w:t xml:space="preserve"> şi </w:t>
      </w:r>
      <w:r w:rsidR="000F63D7">
        <w:t xml:space="preserve">3 </w:t>
      </w:r>
      <w:r>
        <w:t xml:space="preserve"> la plata către partea civilă a sumei de 142 lei, reprezentând daune materiale (cheltuieli ocazionate de îngrijirea părţii civile 5 ).</w:t>
      </w:r>
    </w:p>
    <w:p w:rsidR="00E00B68" w14:paraId="5F6FCFF9" w14:textId="4F0FB63C">
      <w:pPr>
        <w:ind w:firstLine="851"/>
        <w:jc w:val="both"/>
      </w:pPr>
      <w:r>
        <w:t xml:space="preserve">În baza art. 397 alin. 1 C.p. şi art. 25 alin. 1 C.p., rap. la art. 1357 Cod civil, a fost admisă acţiunea civilă formulată de partea civilă, Spitalul Clinic de Chirurgie  ”C ”, cu sediul în </w:t>
      </w:r>
      <w:r w:rsidR="00E64DC7">
        <w:t xml:space="preserve">                  </w:t>
      </w:r>
      <w:r>
        <w:t xml:space="preserve">,   nr.  ,             şi au fost obligaţi, în solidar, inculpaţii </w:t>
      </w:r>
      <w:r w:rsidR="00E64DC7">
        <w:t xml:space="preserve">2 </w:t>
      </w:r>
      <w:r>
        <w:t xml:space="preserve"> şi </w:t>
      </w:r>
      <w:r w:rsidR="000F63D7">
        <w:t xml:space="preserve">3 </w:t>
      </w:r>
      <w:r>
        <w:t xml:space="preserve"> la plata către partea civilă a sumei de 2.220,05 lei, reprezentând daune materiale (cheltuieli ocazionate de îngrijirea părţii civile 5 ).</w:t>
      </w:r>
    </w:p>
    <w:p w:rsidR="00E00B68" w14:paraId="5F8A7A97" w14:textId="67699018">
      <w:pPr>
        <w:ind w:firstLine="851"/>
        <w:jc w:val="both"/>
      </w:pPr>
      <w:r>
        <w:t xml:space="preserve">În baza art. 25 alin. 1 C.p.p., rap. la art. 19 alin. 4 C.p.p. şi art. 1357, art. 1387 alin. 1 şi art. 1391 alin. 1, Cod Civil, a fost admisă, în parte, acţiunea civilă formulată de partea civilă 5  şi au fost obligaţi, în solidar, inculpaţii </w:t>
      </w:r>
      <w:r w:rsidR="00E64DC7">
        <w:t xml:space="preserve">2 </w:t>
      </w:r>
      <w:r>
        <w:t xml:space="preserve"> şi </w:t>
      </w:r>
      <w:r w:rsidR="000F63D7">
        <w:t xml:space="preserve">3 </w:t>
      </w:r>
      <w:r>
        <w:t xml:space="preserve"> la plata către partea civilă a sumei de 5.500 lei, reprezentând daune materiale şi a sumei de 70.000 lei, reprezentând daune morale.</w:t>
      </w:r>
    </w:p>
    <w:p w:rsidR="00E00B68" w14:paraId="5E8DEBB7" w14:textId="0122E8BA">
      <w:pPr>
        <w:ind w:firstLine="851"/>
        <w:jc w:val="both"/>
      </w:pPr>
      <w:r>
        <w:t xml:space="preserve">În baza art. 25 alin. 1 C.p.p., rap. la art. 19 alin. 4 C.p.p. şi art. 1357, art. 1387 alin. 1 şi art. 1391 alin. 1, Cod Civil, a fost admisă, în parte, acţiunea civilă formulată de partea civilă 5.1  şi a fost obligat inculpatul </w:t>
      </w:r>
      <w:r w:rsidR="00E64DC7">
        <w:t xml:space="preserve">2 </w:t>
      </w:r>
      <w:r>
        <w:t xml:space="preserve"> la plata către partea civilă a sumei de 7.500 lei, reprezentând daune morale.</w:t>
      </w:r>
    </w:p>
    <w:p w:rsidR="00E00B68" w14:paraId="0598A4CD" w14:textId="6F0F0A7E">
      <w:pPr>
        <w:ind w:firstLine="851"/>
        <w:jc w:val="both"/>
      </w:pPr>
      <w:r>
        <w:t xml:space="preserve">În baza art. 274 alin. 1 Cod procedură penală, au fost obligaţi inculpaţii la plata sumei de 900 lei cu titlu de cheltuieli judiciare avansate de statul român (urmărire penală şi instanţă), astfel: inculpatul </w:t>
      </w:r>
      <w:r w:rsidR="00E64DC7">
        <w:t xml:space="preserve">2 </w:t>
      </w:r>
      <w:r>
        <w:t xml:space="preserve">-500 lei, inculpatul </w:t>
      </w:r>
      <w:r w:rsidR="000F63D7">
        <w:t xml:space="preserve">3 </w:t>
      </w:r>
      <w:r>
        <w:t xml:space="preserve">-400 lei. </w:t>
      </w:r>
    </w:p>
    <w:p w:rsidR="00E00B68" w14:paraId="4BF6ED5E" w14:textId="77777777">
      <w:pPr>
        <w:ind w:firstLine="851"/>
        <w:jc w:val="both"/>
        <w:rPr>
          <w:rStyle w:val="Fontdeparagrafimplicit"/>
          <w:b/>
        </w:rPr>
      </w:pPr>
      <w:r>
        <w:rPr>
          <w:rStyle w:val="Fontdeparagrafimplicit"/>
          <w:b/>
        </w:rPr>
        <w:t>Pentru a pronunţa această sentinţă, judecătorul fondului - analizând materialul probator administrat în cauză în cursul urmăririi penale şi al cercetării judecătoreşti - a reţinut</w:t>
      </w:r>
      <w:r>
        <w:t xml:space="preserve"> </w:t>
      </w:r>
      <w:r>
        <w:rPr>
          <w:rStyle w:val="Fontdeparagrafimplicit"/>
          <w:b/>
        </w:rPr>
        <w:t>următoarea situaţie de fapt:</w:t>
      </w:r>
    </w:p>
    <w:p w:rsidR="00E00B68" w14:paraId="5AFCFF05" w14:textId="1959B846">
      <w:pPr>
        <w:ind w:firstLine="851"/>
        <w:jc w:val="both"/>
      </w:pPr>
      <w:r>
        <w:t xml:space="preserve">În data de  .2015, în jurul orei 02:00, inculpaţii l-au urmărit pe 5  până în dreptul porţii imobilului de domiciliu al acestuia, iar acolo, </w:t>
      </w:r>
      <w:r w:rsidR="00E64DC7">
        <w:t xml:space="preserve">2 </w:t>
      </w:r>
      <w:r>
        <w:t xml:space="preserve"> l-a lovit cu un obiect contondent în zona feţei. După lovitură, partea civilă a căzut la pământ, fiind în continuare lovită de inculpatul </w:t>
      </w:r>
      <w:r w:rsidR="000F63D7">
        <w:t xml:space="preserve">3 </w:t>
      </w:r>
      <w:r>
        <w:t>, cu pumnii şi picioarele. În urma loviturilor primite, persoana vătămată a suferit leziuni traumatice ce au necesitat pentru vindecare 50-55 zile de îngrijiri medicale.</w:t>
      </w:r>
    </w:p>
    <w:p w:rsidR="00E00B68" w14:paraId="36D054C9" w14:textId="42453667">
      <w:pPr>
        <w:ind w:firstLine="851"/>
        <w:jc w:val="both"/>
      </w:pPr>
      <w:r>
        <w:t xml:space="preserve">Tot în aceste circumstanţe, inculpatul </w:t>
      </w:r>
      <w:r w:rsidR="00E64DC7">
        <w:t xml:space="preserve">2 </w:t>
      </w:r>
      <w:r>
        <w:t xml:space="preserve"> a lovit-o pe numita 5.1  în zona braţului, provocându-i acesteia leziuni traumatice ce nu au necesitat zile de îngrijiri medicale.</w:t>
      </w:r>
    </w:p>
    <w:p w:rsidR="00E00B68" w14:paraId="7151610F" w14:textId="77777777">
      <w:pPr>
        <w:ind w:firstLine="851"/>
        <w:jc w:val="both"/>
      </w:pPr>
      <w:r>
        <w:t xml:space="preserve">Inculpaţii au recunoscut comiterea faptei, cauza fiind soluţionată potrivit procedurii simplificate a recunoaşterii învinuirii, instanţa de fond concluzionând că, </w:t>
      </w:r>
      <w:r>
        <w:rPr>
          <w:rStyle w:val="Fontdeparagrafimplicit"/>
          <w:b/>
        </w:rPr>
        <w:t>în drept</w:t>
      </w:r>
      <w:r>
        <w:t>:</w:t>
      </w:r>
    </w:p>
    <w:p w:rsidR="00E00B68" w14:paraId="5A056593" w14:textId="3820B386">
      <w:pPr>
        <w:ind w:firstLine="851"/>
        <w:jc w:val="both"/>
      </w:pPr>
      <w:r>
        <w:t>- faptele inculpatului 2  întrunesc elementele constitutive ale infracţiunilor de lovire sau alte violenţe, prev. de art. 193 alin. 2 C.p. şi lovire sau alte violenţe prev. de art. 193 alin. 1 C.p.;</w:t>
      </w:r>
    </w:p>
    <w:p w:rsidR="00E00B68" w14:paraId="1C168C40" w14:textId="349672D1">
      <w:pPr>
        <w:ind w:firstLine="851"/>
        <w:jc w:val="both"/>
      </w:pPr>
      <w:r>
        <w:t xml:space="preserve">- fapta inculpatului </w:t>
      </w:r>
      <w:r w:rsidR="000F63D7">
        <w:t xml:space="preserve">3 </w:t>
      </w:r>
      <w:r>
        <w:t xml:space="preserve"> întruneşte elementele constitutive ale infracţiunii de lovire sau alte violenţe, prev. de art. 193 alin. 2 C.p.</w:t>
      </w:r>
    </w:p>
    <w:p w:rsidR="00E00B68" w14:paraId="280F308B" w14:textId="32B60DFB">
      <w:pPr>
        <w:ind w:firstLine="851"/>
        <w:jc w:val="both"/>
      </w:pPr>
      <w:r>
        <w:t xml:space="preserve">La individualizarea judiciară a pedepselor aplicate celor doi inculpaţi, instanţa de fond a apreciat că, în speţă, prin raportare la urmările produse, </w:t>
      </w:r>
      <w:r>
        <w:rPr>
          <w:rStyle w:val="Fontdeparagrafimplicit"/>
          <w:i/>
        </w:rPr>
        <w:t>pericolul social concret al faptei</w:t>
      </w:r>
      <w:r>
        <w:t xml:space="preserve"> este unul destul de ridicat, faţă de împrejurarea că lovirea persoanei vătămate 5  s-a petrecut chiar în apropierea domiciliului acestuia, de faţă fiind şi mama sa. Gravitatea infracţiunilor săvârşite rezultă şi din amploarea urmărilor, respectiv producerea unor leziuni traumatice ce au necesitat 50-55 zile </w:t>
      </w:r>
      <w:r>
        <w:t>de îngrijiri medicale. Mai mult decât atât, inculpatul 2  a procedat inclusiv la lovirea mamei inculpatului, care venise să aplaneze conflictul.</w:t>
      </w:r>
    </w:p>
    <w:p w:rsidR="00E00B68" w14:paraId="69C60E4C" w14:textId="26AA05DD">
      <w:pPr>
        <w:ind w:firstLine="851"/>
        <w:jc w:val="both"/>
      </w:pPr>
      <w:r>
        <w:t xml:space="preserve">În ceea ce priveşte </w:t>
      </w:r>
      <w:r>
        <w:rPr>
          <w:rStyle w:val="Fontdeparagrafimplicit"/>
          <w:i/>
        </w:rPr>
        <w:t xml:space="preserve">situaţia personală </w:t>
      </w:r>
      <w:r>
        <w:t xml:space="preserve">a inculpatului </w:t>
      </w:r>
      <w:r w:rsidR="00E64DC7">
        <w:t xml:space="preserve">2 </w:t>
      </w:r>
      <w:r>
        <w:t>, s-a reţinut că acesta este în vârstă de 30 de ani, este căsătorit şi are un loc de muncă stabil, fiind o persoană integrată în societate.</w:t>
      </w:r>
    </w:p>
    <w:p w:rsidR="00E00B68" w14:paraId="6E1F7696" w14:textId="6EC82114">
      <w:pPr>
        <w:ind w:firstLine="851"/>
        <w:jc w:val="both"/>
      </w:pPr>
      <w:r>
        <w:t xml:space="preserve">Cu privire la inculpatul </w:t>
      </w:r>
      <w:r w:rsidR="000F63D7">
        <w:t xml:space="preserve">3 </w:t>
      </w:r>
      <w:r>
        <w:t>, s-a reţinut că este în vârstă de 32 de ani, este căsătorit şi are un loc de muncă stabil, fiind integrat în societate.</w:t>
      </w:r>
    </w:p>
    <w:p w:rsidR="00E00B68" w14:paraId="481557CC" w14:textId="77777777">
      <w:pPr>
        <w:ind w:firstLine="851"/>
        <w:jc w:val="both"/>
      </w:pPr>
      <w:r>
        <w:t xml:space="preserve">De asemenea, s-a mai reţinut că inculpaţii nu sunt cunoscuţi cu antecedente penale, iar în faţa instanţei de judecată au adoptat o atitudine sinceră, demonstrând ca înţeleg consecinţele faptei şi că le regretă. </w:t>
      </w:r>
    </w:p>
    <w:p w:rsidR="00E00B68" w14:paraId="75D5F7F6" w14:textId="77777777">
      <w:pPr>
        <w:ind w:firstLine="851"/>
        <w:jc w:val="both"/>
      </w:pPr>
      <w:r>
        <w:t>Astfel, luând în considerare toate acest aspecte, instanţa de fond s-a orientat către pedeapsa cu închisoarea, apreciind că aplicarea amenzii nu ar fi suficientă, prin prisma scopului sancţionator şi preventiv al pedepsei.</w:t>
      </w:r>
    </w:p>
    <w:p w:rsidR="00E00B68" w14:paraId="2C9683D1" w14:textId="378344A0">
      <w:pPr>
        <w:ind w:firstLine="851"/>
        <w:jc w:val="both"/>
      </w:pPr>
      <w:r>
        <w:t xml:space="preserve">Procedând la soluţionarea laturii civile a cauzei, judecătorul fondului a luat act că Spitalul Clinic de Urgenţă “A ” nu s-a constituit parte civilă, SPITALUL CLINIC DE URGENŢĂ B  s-a constituit parte civilă cu suma de 142 lei, constând în cheltuielile cu asistenţa şi îngrijirea medicală a persoanei vătămate, 5 , toate acestea reprezentând daune materiale, iar Spitalul Clinic de Chirurgie </w:t>
      </w:r>
      <w:r w:rsidR="00D34FDE">
        <w:t xml:space="preserve"> </w:t>
      </w:r>
      <w:r>
        <w:t>”C ” s-a constituit parte civilă cu suma de 2.220,05 lei, constând în cheltuielile cu asistenţa şi îngrijirea medicală a persoanei vătămate, 5 , toate acestea reprezentând daune materiale.</w:t>
      </w:r>
    </w:p>
    <w:p w:rsidR="00E00B68" w14:paraId="254BAEB0" w14:textId="77777777">
      <w:pPr>
        <w:ind w:firstLine="851"/>
        <w:jc w:val="both"/>
      </w:pPr>
      <w:r>
        <w:t>Instanţa de fond a apreciat că în cauză sunt îndeplinite condiţiile pentru angajarea răspunderii delictuale a unei persoane şi a admis acţiunile civile, astfel cum au fost formulate.</w:t>
      </w:r>
    </w:p>
    <w:p w:rsidR="00E00B68" w14:paraId="63794D88" w14:textId="0F78F26F">
      <w:pPr>
        <w:ind w:firstLine="851"/>
        <w:jc w:val="both"/>
      </w:pPr>
      <w:r>
        <w:t>De asemenea, s-a constatat că persoana vătămată 5  s-a constituit parte civilă cu sumele de 7.000 lei-daune materiale şi 90.000 lei-daune morale, iar 5.1  s-a constituit parte civilă cu suma de 15.000 lei, reprezentând daune morale.</w:t>
      </w:r>
    </w:p>
    <w:p w:rsidR="00E00B68" w14:paraId="3FA05211" w14:textId="77777777">
      <w:pPr>
        <w:ind w:firstLine="851"/>
        <w:jc w:val="both"/>
      </w:pPr>
      <w:r>
        <w:t>Cu privire la cererea de obligare la plata sumei de 7.000 lei cu titlu de daune materiale, instanţa de fond a constatat că partea civilă a dovedit prin înscrisuri existenţa unui prejudiciu în cuantum de 1.679 lei, în rest, instanţa s-a raportat la disp. art. 1387 alin. 1 teza a doua din Codul civil, care prevede că în caz de vătămare a integrităţii corporale, despăgubirile trebuie să cuprindă şi cheltuielile de îngrijire medicală şi cheltuielile determinate de sporirea nevoilor de viaţă şi orice alte prejudicii materiale. Cu privire la sporirea nevoilor de viaţă corelativ cu creşterea cheltuielilor aferente, instanţa de fond a majorat aceste despăgubiri materiale până la suma dovedită (prin martori şi înscrisuri), de 5.500 lei.</w:t>
      </w:r>
    </w:p>
    <w:p w:rsidR="00E00B68" w14:paraId="04793317" w14:textId="77777777">
      <w:pPr>
        <w:ind w:firstLine="851"/>
        <w:jc w:val="both"/>
      </w:pPr>
      <w:r>
        <w:t xml:space="preserve">Cu privire la daunele morale, judecătorul fondului a apreciat că cererile sunt întemeiate în parte, astfel că realizând o evaluare subiectivă a circumstanţelor particulare ale cauzei, neexistând criterii de evaluare prestabilite strict, s-a arătat că acestea trebuie acordate în funcţie de următoarele criterii : gravitatea durerilor şi suferinţei suportate de partea civilă şi durata acestora (instanţa reţine numărul mare de zile de îngrijiri medicale -50-55- şi constată că orice leziune traumatică produce în mod inevitabil consecinţe şi în plan psihologic), valoarea lezată – integritatea fizică fiind una dintre cele mai importante valori ale persoanelor, nu doar prin consecinţele fizice, somatice, dar şi prin cele ce se răsfrâng în plan psihologic. </w:t>
      </w:r>
    </w:p>
    <w:p w:rsidR="00E00B68" w14:paraId="38A9B5D3" w14:textId="77777777">
      <w:pPr>
        <w:ind w:firstLine="851"/>
        <w:jc w:val="both"/>
      </w:pPr>
      <w:r>
        <w:t>Instanţa de fond a apreciat că suma de 70.000 lei asigură un just echilibru între asumarea de către inculpaţi a gravităţii infracţiunii comise şi a consecinţelor faptei şi compensarea pur subiectivă a suferinţelor, cu precădere, psihice resimţite de persoana vătămată nu numai consecutiv accidentului , ci mai ales pe viitor, ca reminiscenţă imperceptibilă pe moment, dar ale cărei resorturi interioare pot oricând, aievea, să reapară în mintea acesteia.</w:t>
      </w:r>
    </w:p>
    <w:p w:rsidR="00E00B68" w14:paraId="61B12988" w14:textId="1AA961CC">
      <w:pPr>
        <w:ind w:firstLine="851"/>
        <w:jc w:val="both"/>
        <w:rPr>
          <w:rStyle w:val="Fontdeparagrafimplicit"/>
          <w:lang w:val="it-IT"/>
        </w:rPr>
      </w:pPr>
      <w:r>
        <w:rPr>
          <w:rStyle w:val="Fontdeparagrafimplicit"/>
          <w:lang w:val="it-IT"/>
        </w:rPr>
        <w:t xml:space="preserve">Cu </w:t>
      </w:r>
      <w:r>
        <w:rPr>
          <w:rStyle w:val="Fontdeparagrafimplicit"/>
          <w:lang w:val="it-IT"/>
        </w:rPr>
        <w:t>privire</w:t>
      </w:r>
      <w:r>
        <w:rPr>
          <w:rStyle w:val="Fontdeparagrafimplicit"/>
          <w:lang w:val="it-IT"/>
        </w:rPr>
        <w:t xml:space="preserve"> la </w:t>
      </w:r>
      <w:r>
        <w:rPr>
          <w:rStyle w:val="Fontdeparagrafimplicit"/>
          <w:lang w:val="it-IT"/>
        </w:rPr>
        <w:t>cererea</w:t>
      </w:r>
      <w:r>
        <w:rPr>
          <w:rStyle w:val="Fontdeparagrafimplicit"/>
          <w:lang w:val="it-IT"/>
        </w:rPr>
        <w:t xml:space="preserve"> </w:t>
      </w:r>
      <w:r>
        <w:rPr>
          <w:rStyle w:val="Fontdeparagrafimplicit"/>
          <w:lang w:val="it-IT"/>
        </w:rPr>
        <w:t>părţii</w:t>
      </w:r>
      <w:r>
        <w:rPr>
          <w:rStyle w:val="Fontdeparagrafimplicit"/>
          <w:lang w:val="it-IT"/>
        </w:rPr>
        <w:t xml:space="preserve"> civile 5.1 , </w:t>
      </w:r>
      <w:r>
        <w:rPr>
          <w:rStyle w:val="Fontdeparagrafimplicit"/>
          <w:lang w:val="it-IT"/>
        </w:rPr>
        <w:t>instanţa</w:t>
      </w:r>
      <w:r>
        <w:rPr>
          <w:rStyle w:val="Fontdeparagrafimplicit"/>
          <w:lang w:val="it-IT"/>
        </w:rPr>
        <w:t xml:space="preserve"> de </w:t>
      </w:r>
      <w:r>
        <w:rPr>
          <w:rStyle w:val="Fontdeparagrafimplicit"/>
          <w:lang w:val="it-IT"/>
        </w:rPr>
        <w:t>fond</w:t>
      </w:r>
      <w:r>
        <w:rPr>
          <w:rStyle w:val="Fontdeparagrafimplicit"/>
          <w:lang w:val="it-IT"/>
        </w:rPr>
        <w:t xml:space="preserve"> a </w:t>
      </w:r>
      <w:r>
        <w:t>reţinut că pentru leziunile traumatice suferite nu au fost necesare zile de îngrijiri medicale, dar constatând că orice leziune traumatică produce în mod inevitabil consecinţe şi în plan psihologic</w:t>
      </w:r>
      <w:r>
        <w:rPr>
          <w:rStyle w:val="Fontdeparagrafimplicit"/>
          <w:lang w:val="it-IT"/>
        </w:rPr>
        <w:t xml:space="preserve">, </w:t>
      </w:r>
      <w:r>
        <w:rPr>
          <w:rStyle w:val="Fontdeparagrafimplicit"/>
          <w:lang w:val="it-IT"/>
        </w:rPr>
        <w:t>valoarea</w:t>
      </w:r>
      <w:r>
        <w:rPr>
          <w:rStyle w:val="Fontdeparagrafimplicit"/>
          <w:lang w:val="it-IT"/>
        </w:rPr>
        <w:t xml:space="preserve"> </w:t>
      </w:r>
      <w:r>
        <w:rPr>
          <w:rStyle w:val="Fontdeparagrafimplicit"/>
          <w:lang w:val="it-IT"/>
        </w:rPr>
        <w:t>lezată</w:t>
      </w:r>
      <w:r>
        <w:rPr>
          <w:rStyle w:val="Fontdeparagrafimplicit"/>
          <w:lang w:val="it-IT"/>
        </w:rPr>
        <w:t xml:space="preserve"> – </w:t>
      </w:r>
      <w:r>
        <w:rPr>
          <w:rStyle w:val="Fontdeparagrafimplicit"/>
          <w:lang w:val="it-IT"/>
        </w:rPr>
        <w:t>integritatea</w:t>
      </w:r>
      <w:r>
        <w:rPr>
          <w:rStyle w:val="Fontdeparagrafimplicit"/>
          <w:lang w:val="it-IT"/>
        </w:rPr>
        <w:t xml:space="preserve"> </w:t>
      </w:r>
      <w:r>
        <w:rPr>
          <w:rStyle w:val="Fontdeparagrafimplicit"/>
          <w:lang w:val="it-IT"/>
        </w:rPr>
        <w:t>fizică</w:t>
      </w:r>
      <w:r>
        <w:rPr>
          <w:rStyle w:val="Fontdeparagrafimplicit"/>
          <w:lang w:val="it-IT"/>
        </w:rPr>
        <w:t xml:space="preserve"> </w:t>
      </w:r>
      <w:r>
        <w:rPr>
          <w:rStyle w:val="Fontdeparagrafimplicit"/>
          <w:lang w:val="it-IT"/>
        </w:rPr>
        <w:t>fiind</w:t>
      </w:r>
      <w:r>
        <w:rPr>
          <w:rStyle w:val="Fontdeparagrafimplicit"/>
          <w:lang w:val="it-IT"/>
        </w:rPr>
        <w:t xml:space="preserve"> una </w:t>
      </w:r>
      <w:r>
        <w:rPr>
          <w:rStyle w:val="Fontdeparagrafimplicit"/>
          <w:lang w:val="it-IT"/>
        </w:rPr>
        <w:t>dintre</w:t>
      </w:r>
      <w:r>
        <w:rPr>
          <w:rStyle w:val="Fontdeparagrafimplicit"/>
          <w:lang w:val="it-IT"/>
        </w:rPr>
        <w:t xml:space="preserve"> </w:t>
      </w:r>
      <w:r>
        <w:rPr>
          <w:rStyle w:val="Fontdeparagrafimplicit"/>
          <w:lang w:val="it-IT"/>
        </w:rPr>
        <w:t>cele</w:t>
      </w:r>
      <w:r>
        <w:rPr>
          <w:rStyle w:val="Fontdeparagrafimplicit"/>
          <w:lang w:val="it-IT"/>
        </w:rPr>
        <w:t xml:space="preserve"> mai importante valori </w:t>
      </w:r>
      <w:r>
        <w:rPr>
          <w:rStyle w:val="Fontdeparagrafimplicit"/>
          <w:lang w:val="it-IT"/>
        </w:rPr>
        <w:t>ale</w:t>
      </w:r>
      <w:r>
        <w:rPr>
          <w:rStyle w:val="Fontdeparagrafimplicit"/>
          <w:lang w:val="it-IT"/>
        </w:rPr>
        <w:t xml:space="preserve"> </w:t>
      </w:r>
      <w:r>
        <w:rPr>
          <w:rStyle w:val="Fontdeparagrafimplicit"/>
          <w:lang w:val="it-IT"/>
        </w:rPr>
        <w:t>persoanelor</w:t>
      </w:r>
      <w:r>
        <w:rPr>
          <w:rStyle w:val="Fontdeparagrafimplicit"/>
          <w:lang w:val="it-IT"/>
        </w:rPr>
        <w:t xml:space="preserve">, nu </w:t>
      </w:r>
      <w:r>
        <w:rPr>
          <w:rStyle w:val="Fontdeparagrafimplicit"/>
          <w:lang w:val="it-IT"/>
        </w:rPr>
        <w:t>doar</w:t>
      </w:r>
      <w:r>
        <w:rPr>
          <w:rStyle w:val="Fontdeparagrafimplicit"/>
          <w:lang w:val="it-IT"/>
        </w:rPr>
        <w:t xml:space="preserve"> </w:t>
      </w:r>
      <w:r>
        <w:rPr>
          <w:rStyle w:val="Fontdeparagrafimplicit"/>
          <w:lang w:val="it-IT"/>
        </w:rPr>
        <w:t>prin</w:t>
      </w:r>
      <w:r>
        <w:rPr>
          <w:rStyle w:val="Fontdeparagrafimplicit"/>
          <w:lang w:val="it-IT"/>
        </w:rPr>
        <w:t xml:space="preserve"> </w:t>
      </w:r>
      <w:r>
        <w:rPr>
          <w:rStyle w:val="Fontdeparagrafimplicit"/>
          <w:lang w:val="it-IT"/>
        </w:rPr>
        <w:t>consecinţele</w:t>
      </w:r>
      <w:r>
        <w:rPr>
          <w:rStyle w:val="Fontdeparagrafimplicit"/>
          <w:lang w:val="it-IT"/>
        </w:rPr>
        <w:t xml:space="preserve"> </w:t>
      </w:r>
      <w:r>
        <w:rPr>
          <w:rStyle w:val="Fontdeparagrafimplicit"/>
          <w:lang w:val="it-IT"/>
        </w:rPr>
        <w:t>fizice</w:t>
      </w:r>
      <w:r>
        <w:rPr>
          <w:rStyle w:val="Fontdeparagrafimplicit"/>
          <w:lang w:val="it-IT"/>
        </w:rPr>
        <w:t xml:space="preserve">, </w:t>
      </w:r>
      <w:r>
        <w:rPr>
          <w:rStyle w:val="Fontdeparagrafimplicit"/>
          <w:lang w:val="it-IT"/>
        </w:rPr>
        <w:t>somatice</w:t>
      </w:r>
      <w:r>
        <w:rPr>
          <w:rStyle w:val="Fontdeparagrafimplicit"/>
          <w:lang w:val="it-IT"/>
        </w:rPr>
        <w:t xml:space="preserve">, dar </w:t>
      </w:r>
      <w:r>
        <w:rPr>
          <w:rStyle w:val="Fontdeparagrafimplicit"/>
          <w:lang w:val="it-IT"/>
        </w:rPr>
        <w:t>şi</w:t>
      </w:r>
      <w:r>
        <w:rPr>
          <w:rStyle w:val="Fontdeparagrafimplicit"/>
          <w:lang w:val="it-IT"/>
        </w:rPr>
        <w:t xml:space="preserve"> </w:t>
      </w:r>
      <w:r>
        <w:rPr>
          <w:rStyle w:val="Fontdeparagrafimplicit"/>
          <w:lang w:val="it-IT"/>
        </w:rPr>
        <w:t>prin</w:t>
      </w:r>
      <w:r>
        <w:rPr>
          <w:rStyle w:val="Fontdeparagrafimplicit"/>
          <w:lang w:val="it-IT"/>
        </w:rPr>
        <w:t xml:space="preserve"> </w:t>
      </w:r>
      <w:r>
        <w:rPr>
          <w:rStyle w:val="Fontdeparagrafimplicit"/>
          <w:lang w:val="it-IT"/>
        </w:rPr>
        <w:t>cele</w:t>
      </w:r>
      <w:r>
        <w:rPr>
          <w:rStyle w:val="Fontdeparagrafimplicit"/>
          <w:lang w:val="it-IT"/>
        </w:rPr>
        <w:t xml:space="preserve"> ce se </w:t>
      </w:r>
      <w:r>
        <w:rPr>
          <w:rStyle w:val="Fontdeparagrafimplicit"/>
          <w:lang w:val="it-IT"/>
        </w:rPr>
        <w:t>răsfrâng</w:t>
      </w:r>
      <w:r>
        <w:rPr>
          <w:rStyle w:val="Fontdeparagrafimplicit"/>
          <w:lang w:val="it-IT"/>
        </w:rPr>
        <w:t xml:space="preserve"> </w:t>
      </w:r>
      <w:r>
        <w:rPr>
          <w:rStyle w:val="Fontdeparagrafimplicit"/>
          <w:lang w:val="it-IT"/>
        </w:rPr>
        <w:t>în</w:t>
      </w:r>
      <w:r>
        <w:rPr>
          <w:rStyle w:val="Fontdeparagrafimplicit"/>
          <w:lang w:val="it-IT"/>
        </w:rPr>
        <w:t xml:space="preserve"> plan </w:t>
      </w:r>
      <w:r>
        <w:rPr>
          <w:rStyle w:val="Fontdeparagrafimplicit"/>
          <w:lang w:val="it-IT"/>
        </w:rPr>
        <w:t>psihologic</w:t>
      </w:r>
      <w:r>
        <w:rPr>
          <w:rStyle w:val="Fontdeparagrafimplicit"/>
          <w:lang w:val="it-IT"/>
        </w:rPr>
        <w:t xml:space="preserve">, s-a </w:t>
      </w:r>
      <w:r>
        <w:rPr>
          <w:rStyle w:val="Fontdeparagrafimplicit"/>
          <w:lang w:val="it-IT"/>
        </w:rPr>
        <w:t>apreciat</w:t>
      </w:r>
      <w:r>
        <w:rPr>
          <w:rStyle w:val="Fontdeparagrafimplicit"/>
          <w:lang w:val="it-IT"/>
        </w:rPr>
        <w:t xml:space="preserve"> </w:t>
      </w:r>
      <w:r>
        <w:rPr>
          <w:rStyle w:val="Fontdeparagrafimplicit"/>
          <w:lang w:val="it-IT"/>
        </w:rPr>
        <w:t>că</w:t>
      </w:r>
      <w:r>
        <w:rPr>
          <w:rStyle w:val="Fontdeparagrafimplicit"/>
          <w:lang w:val="it-IT"/>
        </w:rPr>
        <w:t xml:space="preserve"> </w:t>
      </w:r>
      <w:r>
        <w:rPr>
          <w:rStyle w:val="Fontdeparagrafimplicit"/>
          <w:lang w:val="it-IT"/>
        </w:rPr>
        <w:t>suma</w:t>
      </w:r>
      <w:r>
        <w:rPr>
          <w:rStyle w:val="Fontdeparagrafimplicit"/>
          <w:lang w:val="it-IT"/>
        </w:rPr>
        <w:t xml:space="preserve"> de 7.500 lei, </w:t>
      </w:r>
      <w:r>
        <w:rPr>
          <w:rStyle w:val="Fontdeparagrafimplicit"/>
          <w:lang w:val="it-IT"/>
        </w:rPr>
        <w:t>reprezentând</w:t>
      </w:r>
      <w:r>
        <w:rPr>
          <w:rStyle w:val="Fontdeparagrafimplicit"/>
          <w:lang w:val="it-IT"/>
        </w:rPr>
        <w:t xml:space="preserve"> </w:t>
      </w:r>
      <w:r>
        <w:rPr>
          <w:rStyle w:val="Fontdeparagrafimplicit"/>
          <w:lang w:val="it-IT"/>
        </w:rPr>
        <w:t>daune</w:t>
      </w:r>
      <w:r>
        <w:rPr>
          <w:rStyle w:val="Fontdeparagrafimplicit"/>
          <w:lang w:val="it-IT"/>
        </w:rPr>
        <w:t xml:space="preserve"> morale, </w:t>
      </w:r>
      <w:r>
        <w:rPr>
          <w:rStyle w:val="Fontdeparagrafimplicit"/>
          <w:lang w:val="it-IT"/>
        </w:rPr>
        <w:t>constituie</w:t>
      </w:r>
      <w:r>
        <w:rPr>
          <w:rStyle w:val="Fontdeparagrafimplicit"/>
          <w:lang w:val="it-IT"/>
        </w:rPr>
        <w:t xml:space="preserve"> o </w:t>
      </w:r>
      <w:r>
        <w:rPr>
          <w:rStyle w:val="Fontdeparagrafimplicit"/>
          <w:lang w:val="it-IT"/>
        </w:rPr>
        <w:t>reparaţie</w:t>
      </w:r>
      <w:r>
        <w:rPr>
          <w:rStyle w:val="Fontdeparagrafimplicit"/>
          <w:lang w:val="it-IT"/>
        </w:rPr>
        <w:t xml:space="preserve"> </w:t>
      </w:r>
      <w:r>
        <w:rPr>
          <w:rStyle w:val="Fontdeparagrafimplicit"/>
          <w:lang w:val="it-IT"/>
        </w:rPr>
        <w:t>justă</w:t>
      </w:r>
      <w:r>
        <w:rPr>
          <w:rStyle w:val="Fontdeparagrafimplicit"/>
          <w:lang w:val="it-IT"/>
        </w:rPr>
        <w:t xml:space="preserve"> </w:t>
      </w:r>
      <w:r>
        <w:rPr>
          <w:rStyle w:val="Fontdeparagrafimplicit"/>
          <w:lang w:val="it-IT"/>
        </w:rPr>
        <w:t>şi</w:t>
      </w:r>
      <w:r>
        <w:rPr>
          <w:rStyle w:val="Fontdeparagrafimplicit"/>
          <w:lang w:val="it-IT"/>
        </w:rPr>
        <w:t xml:space="preserve"> </w:t>
      </w:r>
      <w:r>
        <w:rPr>
          <w:rStyle w:val="Fontdeparagrafimplicit"/>
          <w:lang w:val="it-IT"/>
        </w:rPr>
        <w:t>echitabilă</w:t>
      </w:r>
      <w:r>
        <w:rPr>
          <w:rStyle w:val="Fontdeparagrafimplicit"/>
          <w:lang w:val="it-IT"/>
        </w:rPr>
        <w:t xml:space="preserve"> pentru </w:t>
      </w:r>
      <w:r>
        <w:rPr>
          <w:rStyle w:val="Fontdeparagrafimplicit"/>
          <w:lang w:val="it-IT"/>
        </w:rPr>
        <w:t>partea</w:t>
      </w:r>
      <w:r>
        <w:rPr>
          <w:rStyle w:val="Fontdeparagrafimplicit"/>
          <w:lang w:val="it-IT"/>
        </w:rPr>
        <w:t xml:space="preserve"> </w:t>
      </w:r>
      <w:r>
        <w:rPr>
          <w:rStyle w:val="Fontdeparagrafimplicit"/>
          <w:lang w:val="it-IT"/>
        </w:rPr>
        <w:t>civilă</w:t>
      </w:r>
      <w:r>
        <w:rPr>
          <w:rStyle w:val="Fontdeparagrafimplicit"/>
          <w:lang w:val="it-IT"/>
        </w:rPr>
        <w:t xml:space="preserve"> 5.1 .</w:t>
      </w:r>
    </w:p>
    <w:p w:rsidR="00E00B68" w14:paraId="649323FD" w14:textId="25A9EE6C">
      <w:pPr>
        <w:ind w:firstLine="851"/>
        <w:jc w:val="both"/>
      </w:pPr>
      <w:r>
        <w:rPr>
          <w:rStyle w:val="Fontdeparagrafimplicit"/>
          <w:b/>
        </w:rPr>
        <w:t>Împotriva acestei sentinţe</w:t>
      </w:r>
      <w:r>
        <w:t xml:space="preserve">, în termenul legal, au declarat apel inculpaţii </w:t>
      </w:r>
      <w:r w:rsidR="00E64DC7">
        <w:t xml:space="preserve">2 </w:t>
      </w:r>
      <w:r>
        <w:t xml:space="preserve"> şi </w:t>
      </w:r>
      <w:r w:rsidR="000F63D7">
        <w:t xml:space="preserve">3 </w:t>
      </w:r>
      <w:r>
        <w:t>, criticând-o pentru netemeinicie, în esenţă, sub aspectul greşitei soluţionări a laturii civile a cauzei.</w:t>
      </w:r>
    </w:p>
    <w:p w:rsidR="00E00B68" w14:paraId="7BD89C17" w14:textId="77777777">
      <w:pPr>
        <w:ind w:firstLine="851"/>
        <w:jc w:val="both"/>
      </w:pPr>
      <w:r>
        <w:t>În concret, s-a apreciat că nivelul daunelor morale astfel cum a fost stabilit realizează o îmbogățire fără justă cauză a părților civile.</w:t>
      </w:r>
    </w:p>
    <w:p w:rsidR="00E00B68" w14:paraId="3FE90FDF" w14:textId="5820269B">
      <w:pPr>
        <w:ind w:firstLine="851"/>
        <w:jc w:val="both"/>
        <w:rPr>
          <w:rStyle w:val="Fontdeparagrafimplicit"/>
          <w:b/>
        </w:rPr>
      </w:pPr>
      <w:r>
        <w:rPr>
          <w:rStyle w:val="Fontdeparagrafimplicit"/>
          <w:b/>
        </w:rPr>
        <w:t xml:space="preserve">Analizând hotărârea pronunţată de instanţa de fond, în raport cu toate actele şi lucrările dosarului, cu motivele anterior menţionate prin raportare la disp. art. 417 şi următoarele din Codul de procedură penală, Curtea constată că apelurile promovate de inculpaţii </w:t>
      </w:r>
      <w:r w:rsidR="00E64DC7">
        <w:rPr>
          <w:rStyle w:val="Fontdeparagrafimplicit"/>
          <w:b/>
        </w:rPr>
        <w:t xml:space="preserve">2 </w:t>
      </w:r>
      <w:r>
        <w:rPr>
          <w:rStyle w:val="Fontdeparagrafimplicit"/>
          <w:b/>
        </w:rPr>
        <w:t xml:space="preserve"> şi </w:t>
      </w:r>
      <w:r w:rsidR="000F63D7">
        <w:rPr>
          <w:rStyle w:val="Fontdeparagrafimplicit"/>
          <w:b/>
        </w:rPr>
        <w:t xml:space="preserve">3 </w:t>
      </w:r>
      <w:r>
        <w:rPr>
          <w:rStyle w:val="Fontdeparagrafimplicit"/>
          <w:b/>
        </w:rPr>
        <w:t xml:space="preserve"> sunt nefondate, în considerarea următoarelor argumente:</w:t>
      </w:r>
    </w:p>
    <w:p w:rsidR="00E00B68" w14:paraId="6B12BF0B" w14:textId="77777777">
      <w:pPr>
        <w:ind w:firstLine="851"/>
        <w:jc w:val="both"/>
      </w:pPr>
      <w:r>
        <w:t>Văzând disp. art. 19 C. proc. pen., Curtea reține că acțiunea civilă exercitată în cadrul procesului penal are ca obiect tragerea la răspundere civilă delictuală a persoanelor responsabile potrivit legii civile pentru prejudiciului produs prin comiterea faptei care face obiectul acțiunii penale.</w:t>
      </w:r>
    </w:p>
    <w:p w:rsidR="00E00B68" w14:paraId="4937EB74" w14:textId="77777777">
      <w:pPr>
        <w:ind w:firstLine="851"/>
        <w:jc w:val="both"/>
      </w:pPr>
      <w:r>
        <w:t>Având în vedere disp. art. 1349 rap. la art. 1357 C. civ., se reține că orice persoană are îndatorirea să respecte regulile de conduită pe care legea sau obiceiul locului le impune și să nu aducă atingere prin acțiunile sale ori inacțiunile sale, drepturilor sau intereselor legitime ale altor persoane. În caz contrar, cel care cauzează altuia un prejudiciu printr-o faptă ilicită, săvârșită cu vinovăție este obligat să-l repare, răspunderea fiind angajată pentru culpa cea mai ușoară.</w:t>
      </w:r>
    </w:p>
    <w:p w:rsidR="00E00B68" w14:paraId="01508EB2" w14:textId="77777777">
      <w:pPr>
        <w:ind w:firstLine="851"/>
        <w:jc w:val="both"/>
      </w:pPr>
      <w:r>
        <w:t>Așadar, pentru angajarea răspunderii civile delictuale pentru fapta proprie se cer a fi întrunite cumulativ patru condiții, şi anume: 1.existenta unui prejudiciu; 2. existenta unei fapte ilicite; 3.existenta unui raport de cauzalitate între fapta ilicită şi prejudiciu; 4.existenţa vinovăției celui ce a cauzat prejudiciul, constând în intenția, neglijenţa sau imprudenţa cu care a acționat.</w:t>
      </w:r>
    </w:p>
    <w:p w:rsidR="00E00B68" w14:paraId="0A7EF612" w14:textId="77777777">
      <w:pPr>
        <w:ind w:firstLine="851"/>
        <w:jc w:val="both"/>
      </w:pPr>
      <w:r>
        <w:t>În cauză, cei doi inculpați nu contestă existența condițiilor răspunderii civile delictuale, criticile formulate vizând exclusiv nivelul daunelor morale astfel cum au fost stabilite de instanța de fond.</w:t>
      </w:r>
    </w:p>
    <w:p w:rsidR="00E00B68" w14:paraId="43B2B4E1" w14:textId="77777777">
      <w:pPr>
        <w:ind w:firstLine="851"/>
        <w:jc w:val="both"/>
      </w:pPr>
      <w:r>
        <w:t xml:space="preserve">Față de argumentele prezentate de inculpați, Curtea învederează că nivelul despăgubirilor, fie ele materiale, fie morale se stabilește astfel încât se permită o reparație a suferințelor la care au fost supuse părțile civile, fiind lipsit de relevanță gradul de împovărarea al inculpaților. </w:t>
      </w:r>
    </w:p>
    <w:p w:rsidR="00E00B68" w14:paraId="39D204C0" w14:textId="77777777">
      <w:pPr>
        <w:ind w:firstLine="851"/>
        <w:jc w:val="both"/>
      </w:pPr>
      <w:r>
        <w:t>Fără nici o legătură cu situația lor financiară, față de normele mai sus enunțate, prin exercitarea acțiunii civile se urmărește obligarea inculpaților la repararea prejudiciilor pe care le-au produs.</w:t>
      </w:r>
    </w:p>
    <w:p w:rsidR="00E00B68" w14:paraId="490D1636" w14:textId="77777777">
      <w:pPr>
        <w:ind w:firstLine="851"/>
        <w:jc w:val="both"/>
      </w:pPr>
      <w:r>
        <w:t>Raportat la împrejurările concrete ale cauzei, Curtea apreciază că instanța de fond a făcut o justă evaluare a nivelului suferințelor morale produse de către inculpați părților civile.</w:t>
      </w:r>
    </w:p>
    <w:p w:rsidR="00E00B68" w14:paraId="1619F501" w14:textId="77777777">
      <w:pPr>
        <w:ind w:firstLine="851"/>
        <w:jc w:val="both"/>
        <w:rPr>
          <w:rStyle w:val="Fontdeparagrafimplicit"/>
          <w:color w:val="222222"/>
        </w:rPr>
      </w:pPr>
      <w:r>
        <w:rPr>
          <w:rStyle w:val="Fontdeparagrafimplicit"/>
          <w:color w:val="222222"/>
        </w:rPr>
        <w:t xml:space="preserve">Daunele morale sunt apreciate ca reprezentând atingerea adusă existenţei fizice a persoanei, integrităţii corporale şi sănătăţii, cinstei, demnităţii şi onoarei, prestigiului profesional, pentru acordarea de despăgubiri nefiind suficientă stabilirea culpei, ci trebuie dovedite daunele morale suferite. </w:t>
      </w:r>
    </w:p>
    <w:p w:rsidR="00E00B68" w14:paraId="7CD8E39A" w14:textId="77777777">
      <w:pPr>
        <w:pStyle w:val="Frspaiere"/>
        <w:ind w:firstLine="851"/>
        <w:jc w:val="both"/>
        <w:rPr>
          <w:rStyle w:val="Fontdeparagrafimplicit"/>
          <w:rFonts w:ascii="Times New Roman" w:hAnsi="Times New Roman"/>
          <w:sz w:val="24"/>
        </w:rPr>
      </w:pPr>
      <w:r>
        <w:rPr>
          <w:rStyle w:val="Fontdeparagrafimplicit"/>
          <w:rFonts w:ascii="Times New Roman" w:hAnsi="Times New Roman"/>
          <w:sz w:val="24"/>
        </w:rPr>
        <w:t>Dauna morală reprezintă “orice atingere adusă uneia dintre prerogativele care constituie atributul personalității umane” sau “orice prejudiciu care rezultă dintr-o atingere adusă intereselor personale și care se manifestă prin suferința fizică sau morală pe care o resimte victima.</w:t>
      </w:r>
    </w:p>
    <w:p w:rsidR="00E00B68" w14:paraId="27A08CA6" w14:textId="77777777">
      <w:pPr>
        <w:pStyle w:val="Frspaiere"/>
        <w:ind w:firstLine="851"/>
        <w:jc w:val="both"/>
        <w:rPr>
          <w:rStyle w:val="Fontdeparagrafimplicit"/>
          <w:rFonts w:ascii="Times New Roman" w:hAnsi="Times New Roman"/>
          <w:sz w:val="24"/>
        </w:rPr>
      </w:pPr>
      <w:r>
        <w:rPr>
          <w:rStyle w:val="Fontdeparagrafimplicit"/>
          <w:rFonts w:ascii="Times New Roman" w:hAnsi="Times New Roman"/>
          <w:sz w:val="24"/>
        </w:rPr>
        <w:t>Prejudiciile morale sunt cele care rezultă din vătămarea unui interes personal nepatrimonial, de pildă, durerea suferită de pe urma unei răniri sau loviri este un prejudiciu moral.</w:t>
      </w:r>
    </w:p>
    <w:p w:rsidR="00E00B68" w14:paraId="55407FF7" w14:textId="77777777">
      <w:pPr>
        <w:pStyle w:val="Frspaiere"/>
        <w:ind w:firstLine="851"/>
        <w:jc w:val="both"/>
        <w:rPr>
          <w:rStyle w:val="Fontdeparagrafimplicit"/>
          <w:rFonts w:ascii="Times New Roman" w:hAnsi="Times New Roman"/>
          <w:color w:val="222222"/>
          <w:sz w:val="24"/>
        </w:rPr>
      </w:pPr>
      <w:r>
        <w:rPr>
          <w:rStyle w:val="Fontdeparagrafimplicit"/>
          <w:rFonts w:ascii="Times New Roman" w:hAnsi="Times New Roman"/>
          <w:sz w:val="24"/>
        </w:rPr>
        <w:t>Daunele morale sunt, deci, consecințe de natură nepatrimonială cauzate persoanei prin fapte ilicite culpabile, constând în atingerile aduse personalității sale fizice, psihice și sociale, prin lezarea unui drept sau interes nepatrimonial a căror reparare urmează regulile răspunderii civile delictuale dacă fapta ilicită s-a produs în afara unui cadru contractual.</w:t>
      </w:r>
    </w:p>
    <w:p w:rsidR="00E00B68" w14:paraId="267A0165" w14:textId="77777777">
      <w:pPr>
        <w:ind w:firstLine="851"/>
        <w:jc w:val="both"/>
      </w:pPr>
      <w:r>
        <w:t>Cum în cauză agresiunea fizică a generat suferințe fizice care au necesitat un număr de 50-55 de zile de îngrijiri medicale, este fără putere de tăgadă că partea vătămată a înregistrat și suferințe de ordin emoțional prin lezarea dreptului său la sănătate și integritate fizică, dar și la siguranța socială, precum și la respectarea demnității și onoarei sale.</w:t>
      </w:r>
    </w:p>
    <w:p w:rsidR="00E00B68" w14:paraId="3194514A" w14:textId="77777777">
      <w:pPr>
        <w:ind w:firstLine="851"/>
        <w:jc w:val="both"/>
      </w:pPr>
      <w:r>
        <w:t>Împrejurările concrete de săvârșire a faptei, respectiv în apropierea casei, în prezența mamei, prin lovituri aplicate în timp ce partea vătămată, lipsită de apărare, era căzută la pământ sunt apte să înjosească ființa umană și să-i diminueze respectul de sine.</w:t>
      </w:r>
    </w:p>
    <w:p w:rsidR="00E00B68" w14:paraId="21FF564E" w14:textId="77777777">
      <w:pPr>
        <w:ind w:firstLine="851"/>
        <w:jc w:val="both"/>
      </w:pPr>
      <w:r>
        <w:t>Față de toate aceste considerente de ordin teoretic, dar și practic, Curtea apreciază că judecătorul fondului a făcut o corectă apreciere a nivelului daunelor morale de care sunt ținuți cei doi inculpați.</w:t>
      </w:r>
    </w:p>
    <w:p w:rsidR="00E00B68" w14:paraId="5B9EC0AE" w14:textId="40B3862A">
      <w:pPr>
        <w:ind w:firstLine="851"/>
        <w:jc w:val="both"/>
      </w:pPr>
      <w:r>
        <w:t>Aceste considerente sunt incidente, atât în privința părții vătămate constituită parte civilă, 5 , cât și pentru mama acestuia, partea civilă 5.1 .</w:t>
      </w:r>
    </w:p>
    <w:p w:rsidR="00E00B68" w14:paraId="7452C4F3" w14:textId="456664D5">
      <w:pPr>
        <w:ind w:firstLine="851"/>
        <w:jc w:val="both"/>
      </w:pPr>
      <w:r>
        <w:t xml:space="preserve">Suferințele acesteia sunt dovedite în contextul în care aceasta a perceput în mod direct agresiunile la care a fost supusă fiul său, fiind la rândul ei lovită de inculpatul </w:t>
      </w:r>
      <w:r w:rsidR="00E64DC7">
        <w:t xml:space="preserve">2 </w:t>
      </w:r>
      <w:r>
        <w:t xml:space="preserve"> în zona braţului, provocându-i leziuni traumatice ce nu au necesitat zile de îngrijiri medicale.</w:t>
      </w:r>
    </w:p>
    <w:p w:rsidR="00E00B68" w14:paraId="265A9424" w14:textId="77777777">
      <w:pPr>
        <w:ind w:firstLine="851"/>
        <w:jc w:val="both"/>
      </w:pPr>
      <w:r>
        <w:t>În aceeași manieră, suferințele acestei părți civile sunt justificate prin faptul că manifestările antisociale ale inculpaților au avut aptitudinea de a periclita dreptul acesteia la siguranță socială și fizică.</w:t>
      </w:r>
    </w:p>
    <w:p w:rsidR="00E00B68" w14:paraId="7BF1F846" w14:textId="4A46670B">
      <w:pPr>
        <w:ind w:firstLine="851"/>
        <w:jc w:val="both"/>
      </w:pPr>
      <w:r>
        <w:t xml:space="preserve">Față de toate aceste considerente, în baza art. 421 pct. 1 lit. b C.p.p. va respinge ca nefondate apelurile formulate de inculpaţii </w:t>
      </w:r>
      <w:r w:rsidR="00E64DC7">
        <w:t xml:space="preserve">2 </w:t>
      </w:r>
      <w:r>
        <w:t xml:space="preserve"> şi </w:t>
      </w:r>
      <w:r w:rsidR="000F63D7">
        <w:t xml:space="preserve">3 </w:t>
      </w:r>
      <w:r>
        <w:t xml:space="preserve"> împotriva sentinţei penale nr. </w:t>
      </w:r>
      <w:r w:rsidR="000F63D7">
        <w:t xml:space="preserve">4/2017 </w:t>
      </w:r>
      <w:r>
        <w:t xml:space="preserve"> pronunţată de Judecătoria </w:t>
      </w:r>
      <w:r w:rsidR="000F63D7">
        <w:t xml:space="preserve">              </w:t>
      </w:r>
      <w:r>
        <w:t xml:space="preserve"> în dosarul cu numărul de mai sus.</w:t>
      </w:r>
    </w:p>
    <w:p w:rsidR="00E00B68" w14:paraId="0CCE9569" w14:textId="77777777">
      <w:pPr>
        <w:ind w:firstLine="851"/>
        <w:jc w:val="both"/>
        <w:rPr>
          <w:rStyle w:val="Fontdeparagrafimplicit"/>
          <w:b/>
        </w:rPr>
      </w:pPr>
      <w:r>
        <w:t>În baza art. 275 al. 2 C.p.p. va obliga apelanţii – inculpaţi la câte 400 lei cheltuieli judiciare stat.</w:t>
      </w:r>
    </w:p>
    <w:p w:rsidR="00E00B68" w14:paraId="6C4699E9" w14:textId="77777777">
      <w:pPr>
        <w:ind w:firstLine="851"/>
        <w:jc w:val="both"/>
        <w:rPr>
          <w:rStyle w:val="Fontdeparagrafimplicit"/>
          <w:b/>
        </w:rPr>
      </w:pPr>
    </w:p>
    <w:p w:rsidR="00E00B68" w14:paraId="6B8B6565" w14:textId="77777777">
      <w:pPr>
        <w:pStyle w:val="Style1"/>
        <w:widowControl/>
        <w:tabs>
          <w:tab w:val="right" w:pos="8342"/>
        </w:tabs>
        <w:spacing w:line="240" w:lineRule="auto"/>
        <w:jc w:val="center"/>
        <w:rPr>
          <w:rStyle w:val="FontStyle11"/>
          <w:b/>
        </w:rPr>
      </w:pPr>
      <w:r>
        <w:rPr>
          <w:rStyle w:val="FontStyle11"/>
          <w:b/>
        </w:rPr>
        <w:t>PENTRU ACESTE MOTIVE,</w:t>
      </w:r>
    </w:p>
    <w:p w:rsidR="00E00B68" w14:paraId="5DBDC74E" w14:textId="77777777">
      <w:pPr>
        <w:pStyle w:val="Style1"/>
        <w:widowControl/>
        <w:tabs>
          <w:tab w:val="right" w:pos="8342"/>
        </w:tabs>
        <w:spacing w:line="240" w:lineRule="auto"/>
        <w:jc w:val="center"/>
        <w:rPr>
          <w:rStyle w:val="FontStyle11"/>
          <w:b/>
        </w:rPr>
      </w:pPr>
      <w:r>
        <w:rPr>
          <w:rStyle w:val="FontStyle11"/>
          <w:b/>
        </w:rPr>
        <w:t>ÎN NUMELE LEGII,</w:t>
      </w:r>
    </w:p>
    <w:p w:rsidR="00E00B68" w14:paraId="5493DFAA" w14:textId="77777777">
      <w:pPr>
        <w:pStyle w:val="Style1"/>
        <w:widowControl/>
        <w:tabs>
          <w:tab w:val="right" w:pos="8342"/>
        </w:tabs>
        <w:spacing w:line="240" w:lineRule="auto"/>
        <w:jc w:val="center"/>
        <w:rPr>
          <w:rStyle w:val="FontStyle11"/>
          <w:b/>
        </w:rPr>
      </w:pPr>
      <w:r>
        <w:rPr>
          <w:rStyle w:val="FontStyle11"/>
          <w:b/>
        </w:rPr>
        <w:t xml:space="preserve">DECIDE: </w:t>
      </w:r>
    </w:p>
    <w:p w:rsidR="00E00B68" w14:paraId="47F85EEA" w14:textId="77777777">
      <w:pPr>
        <w:pStyle w:val="Style1"/>
        <w:widowControl/>
        <w:tabs>
          <w:tab w:val="right" w:pos="8342"/>
        </w:tabs>
        <w:spacing w:line="240" w:lineRule="auto"/>
        <w:jc w:val="center"/>
        <w:rPr>
          <w:rStyle w:val="FontStyle11"/>
          <w:b/>
        </w:rPr>
      </w:pPr>
    </w:p>
    <w:p w:rsidR="00E00B68" w14:paraId="1E5E0EE7" w14:textId="38863D78">
      <w:pPr>
        <w:ind w:firstLine="851"/>
        <w:jc w:val="both"/>
      </w:pPr>
      <w:r>
        <w:t xml:space="preserve">În baza art. 421 pct. 1 lit. b C.p.p. respinge ca nefondate apelurile formulate de inculpaţii </w:t>
      </w:r>
      <w:r w:rsidR="00E64DC7">
        <w:t xml:space="preserve">2 </w:t>
      </w:r>
      <w:r>
        <w:t xml:space="preserve"> şi </w:t>
      </w:r>
      <w:r w:rsidR="000F63D7">
        <w:t xml:space="preserve">3 </w:t>
      </w:r>
      <w:r>
        <w:t xml:space="preserve"> împotriva sentinţei penale nr. </w:t>
      </w:r>
      <w:r w:rsidR="000F63D7">
        <w:t xml:space="preserve">4/2017 </w:t>
      </w:r>
      <w:r>
        <w:t xml:space="preserve"> pronunţată de Judecătoria </w:t>
      </w:r>
      <w:r w:rsidR="000F63D7">
        <w:t xml:space="preserve">              </w:t>
      </w:r>
      <w:r>
        <w:t xml:space="preserve"> în dosarul cu numărul de mai sus.</w:t>
      </w:r>
    </w:p>
    <w:p w:rsidR="00E00B68" w14:paraId="196E69DE" w14:textId="77777777">
      <w:pPr>
        <w:ind w:firstLine="851"/>
        <w:jc w:val="both"/>
      </w:pPr>
      <w:r>
        <w:t>În baza art. 275 al. 2 C.p.p. obligă apelanţii – inculpaţi la câte 400 lei cheltuieli judiciare stat.</w:t>
      </w:r>
    </w:p>
    <w:p w:rsidR="00E00B68" w14:paraId="3BE03B19" w14:textId="77777777">
      <w:pPr>
        <w:ind w:firstLine="851"/>
        <w:jc w:val="both"/>
      </w:pPr>
      <w:r>
        <w:t>Definitivă.</w:t>
      </w:r>
    </w:p>
    <w:p w:rsidR="00E00B68" w14:paraId="2447F292" w14:textId="66A45BB1">
      <w:pPr>
        <w:ind w:firstLine="851"/>
        <w:jc w:val="both"/>
      </w:pPr>
      <w:r>
        <w:t>Pronunţată în şedinţă publică, azi,  .</w:t>
      </w:r>
    </w:p>
    <w:p w:rsidR="00E00B68" w14:paraId="77317F43" w14:textId="77777777">
      <w:pPr>
        <w:ind w:firstLine="851"/>
        <w:jc w:val="both"/>
        <w:rPr>
          <w:rStyle w:val="Fontdeparagrafimplicit"/>
          <w:b/>
        </w:rPr>
      </w:pPr>
      <w:r>
        <w:rPr>
          <w:rStyle w:val="Fontdeparagrafimplicit"/>
          <w:b/>
        </w:rPr>
        <w:t>PREŞEDINTE,                                        JUDECĂTOR,</w:t>
      </w:r>
    </w:p>
    <w:p w:rsidR="00E00B68" w14:paraId="40EC1E55" w14:textId="350676AC">
      <w:pPr>
        <w:ind w:right="-142" w:hanging="2"/>
        <w:jc w:val="both"/>
        <w:rPr>
          <w:rStyle w:val="Fontdeparagrafimplicit"/>
          <w:b/>
        </w:rPr>
      </w:pPr>
      <w:r>
        <w:rPr>
          <w:rStyle w:val="Fontdeparagrafimplicit"/>
          <w:b/>
        </w:rPr>
        <w:t>A0002</w:t>
      </w:r>
    </w:p>
    <w:p w:rsidR="00E00B68" w14:paraId="3D54796C" w14:textId="77777777">
      <w:pPr>
        <w:ind w:right="-142" w:firstLine="576"/>
        <w:jc w:val="both"/>
        <w:rPr>
          <w:rStyle w:val="Fontdeparagrafimplicit"/>
          <w:b/>
        </w:rPr>
      </w:pPr>
    </w:p>
    <w:p w:rsidR="00E00B68" w14:paraId="6CC2F634" w14:textId="77777777">
      <w:pPr>
        <w:ind w:right="-142" w:firstLine="576"/>
        <w:jc w:val="both"/>
        <w:rPr>
          <w:rStyle w:val="Fontdeparagrafimplicit"/>
          <w:b/>
        </w:rPr>
      </w:pPr>
    </w:p>
    <w:p w:rsidR="00E00B68" w14:paraId="0E6C1E28" w14:textId="77777777">
      <w:pPr>
        <w:ind w:right="-142" w:firstLine="576"/>
        <w:jc w:val="both"/>
        <w:rPr>
          <w:rStyle w:val="Fontdeparagrafimplicit"/>
          <w:b/>
        </w:rPr>
      </w:pPr>
      <w:r>
        <w:rPr>
          <w:rStyle w:val="Fontdeparagrafimplicit"/>
          <w:b/>
        </w:rPr>
        <w:t xml:space="preserve">                                                                                                                    GREFIER,</w:t>
      </w:r>
    </w:p>
    <w:p w:rsidR="00E00B68" w14:paraId="64CDA258" w14:textId="21ED2C0A">
      <w:pPr>
        <w:ind w:right="-142" w:firstLine="576"/>
        <w:jc w:val="both"/>
        <w:rPr>
          <w:rStyle w:val="Fontdeparagrafimplicit"/>
          <w:b/>
        </w:rPr>
      </w:pPr>
      <w:r>
        <w:rPr>
          <w:rStyle w:val="Fontdeparagrafimplicit"/>
          <w:b/>
        </w:rPr>
        <w:t xml:space="preserve">                                                                                                         </w:t>
      </w:r>
    </w:p>
    <w:p w:rsidR="00E00B68" w14:paraId="3FDA048D" w14:textId="1C65DA5D">
      <w:pPr>
        <w:jc w:val="both"/>
        <w:rPr>
          <w:rStyle w:val="Fontdeparagrafimplicit"/>
          <w:sz w:val="16"/>
        </w:rPr>
      </w:pPr>
      <w:r>
        <w:rPr>
          <w:rStyle w:val="Fontdeparagrafimplicit"/>
          <w:sz w:val="16"/>
        </w:rPr>
        <w:t>Red.A0002/Dact. ./Ex.7</w:t>
      </w:r>
    </w:p>
    <w:p w:rsidR="00E00B68" w14:paraId="29ED755B" w14:textId="109D4670">
      <w:pPr>
        <w:jc w:val="both"/>
        <w:rPr>
          <w:rStyle w:val="Fontdeparagrafimplicit"/>
        </w:rPr>
      </w:pPr>
      <w:r>
        <w:rPr>
          <w:rStyle w:val="Fontdeparagrafimplicit"/>
          <w:sz w:val="16"/>
        </w:rPr>
        <w:t xml:space="preserve">Red. </w:t>
      </w:r>
      <w:r w:rsidR="000F63D7">
        <w:rPr>
          <w:rStyle w:val="Fontdeparagrafimplicit"/>
          <w:sz w:val="16"/>
        </w:rPr>
        <w:t xml:space="preserve">              </w:t>
      </w:r>
    </w:p>
    <w:sectPr>
      <w:footerReference w:type="default" r:id="rId4"/>
      <w:pgSz w:w="11906" w:h="16838"/>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00B68" w14:paraId="3B0CEBA7" w14:textId="77777777">
    <w:pPr>
      <w:pStyle w:val="Subsol"/>
      <w:jc w:val="center"/>
    </w:pPr>
    <w:r>
      <w:fldChar w:fldCharType="begin"/>
    </w:r>
    <w:r>
      <w:instrText>PAGE   \* MERGEFORMAT</w:instrText>
    </w:r>
    <w:r>
      <w:fldChar w:fldCharType="separate"/>
    </w:r>
    <w:r>
      <w:t>#</w:t>
    </w:r>
    <w:r>
      <w:fldChar w:fldCharType="end"/>
    </w:r>
  </w:p>
  <w:p w:rsidR="00E00B68" w14:paraId="79B94520"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B68"/>
    <w:rsid w:val="000F63D7"/>
    <w:rsid w:val="001C2675"/>
    <w:rsid w:val="006C7D20"/>
    <w:rsid w:val="009D7959"/>
    <w:rsid w:val="00B536A2"/>
    <w:rsid w:val="00D34FDE"/>
    <w:rsid w:val="00E00B68"/>
    <w:rsid w:val="00E64DC7"/>
    <w:rsid w:val="00F448C7"/>
    <w:rsid w:val="00F51749"/>
    <w:rsid w:val="00FD4457"/>
  </w:rsids>
  <w:docVars>
    <w:docVar w:name="url" w:val="http://10.1.48.53:80/ecris_cdms/document_upload.aspx?id_document=200000002715586&amp;id_departament=2&amp;id_sesiune=2358923&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9C3F865"/>
  <w15:docId w15:val="{4789E994-7254-4C6C-B345-7B19517CB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customStyle="1" w:styleId="Titlu3">
    <w:name w:val="Titlu 3"/>
    <w:basedOn w:val="Normal"/>
    <w:next w:val="Normal"/>
    <w:link w:val="Titlu3Caracter"/>
    <w:qFormat/>
    <w:pPr>
      <w:keepNext/>
      <w:spacing w:before="240" w:after="60"/>
      <w:outlineLvl w:val="2"/>
    </w:pPr>
    <w:rPr>
      <w:rFonts w:ascii="Cambria" w:hAnsi="Cambria"/>
      <w:b/>
      <w:sz w:val="26"/>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tabs>
        <w:tab w:val="center" w:pos="4536"/>
        <w:tab w:val="right" w:pos="9072"/>
      </w:tabs>
    </w:pPr>
    <w:rPr>
      <w:rFonts w:ascii="Calibri" w:hAnsi="Calibri"/>
      <w:sz w:val="22"/>
    </w:r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Titlu3Caracter">
    <w:name w:val="Titlu 3 Caracter"/>
    <w:link w:val="Titlu3"/>
    <w:rPr>
      <w:rFonts w:ascii="Cambria" w:hAnsi="Cambria"/>
      <w:b/>
      <w:sz w:val="26"/>
    </w:rPr>
  </w:style>
  <w:style w:type="character" w:customStyle="1" w:styleId="SubsolCaracter">
    <w:name w:val="Subsol Caracter"/>
    <w:link w:val="Subsol"/>
    <w:rPr>
      <w:rFonts w:ascii="Calibri" w:hAnsi="Calibri"/>
      <w:sz w:val="22"/>
    </w:rPr>
  </w:style>
  <w:style w:type="character" w:customStyle="1" w:styleId="FontStyle11">
    <w:name w:val="Font Style11"/>
    <w:rPr>
      <w:rFonts w:ascii="Times New Roman" w:hAnsi="Times New Roman"/>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55</ap:TotalTime>
  <ap:Pages>1</ap:Pages>
  <ap:Words>3402</ap:Words>
  <ap:Characters>19395</ap:Characters>
  <ap:Application>Microsoft Office Word</ap:Application>
  <ap:DocSecurity>0</ap:DocSecurity>
  <ap:Lines>161</ap:Lines>
  <ap:Paragraphs>45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22752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