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2</w:t>
      </w:r>
    </w:p>
    <w:p>
      <w:pPr>
        <w:pStyle w:val="Normal"/>
        <w:rPr/>
      </w:pPr>
      <w:r>
        <w:rPr/>
        <w:t>Dosar nr. D1</w:t>
      </w:r>
    </w:p>
    <w:p>
      <w:pPr>
        <w:pStyle w:val="Normal"/>
        <w:jc w:val="center"/>
        <w:rPr/>
      </w:pPr>
      <w:r>
        <w:rPr/>
      </w:r>
    </w:p>
    <w:p>
      <w:pPr>
        <w:pStyle w:val="Normal"/>
        <w:jc w:val="center"/>
        <w:rPr/>
      </w:pPr>
      <w:r>
        <w:rPr/>
        <w:t>R O M Â N I A</w:t>
      </w:r>
    </w:p>
    <w:p>
      <w:pPr>
        <w:pStyle w:val="Normal"/>
        <w:jc w:val="center"/>
        <w:rPr/>
      </w:pPr>
      <w:r>
        <w:rPr/>
        <w:t>CURTEA DE APEL ...</w:t>
      </w:r>
    </w:p>
    <w:p>
      <w:pPr>
        <w:pStyle w:val="Normal"/>
        <w:jc w:val="center"/>
        <w:rPr>
          <w:lang w:val="en-US"/>
        </w:rPr>
      </w:pPr>
      <w:r>
        <w:rPr/>
        <w:t>SECŢIA ....</w:t>
      </w:r>
    </w:p>
    <w:p>
      <w:pPr>
        <w:pStyle w:val="Normal"/>
        <w:jc w:val="center"/>
        <w:rPr/>
      </w:pPr>
      <w:r>
        <w:rPr/>
        <w:t>SENTINŢA Nr. ....</w:t>
      </w:r>
    </w:p>
    <w:p>
      <w:pPr>
        <w:pStyle w:val="Normal"/>
        <w:jc w:val="center"/>
        <w:rPr/>
      </w:pPr>
      <w:r>
        <w:rPr/>
        <w:t>Şedinţa </w:t>
      </w:r>
      <w:r>
        <w:rPr/>
      </w:r>
      <w:r>
        <w:rPr/>
      </w:r>
      <w:r>
        <w:rPr/>
      </w:r>
      <w:r>
        <w:rPr/>
        <w:t>publică</w:t>
      </w:r>
      <w:r>
        <w:rPr/>
      </w:r>
      <w:r>
        <w:rPr/>
      </w:r>
      <w:r>
        <w:rPr/>
        <w:t xml:space="preserve"> de la ... </w:t>
      </w:r>
    </w:p>
    <w:p>
      <w:pPr>
        <w:pStyle w:val="Normal"/>
        <w:jc w:val="center"/>
        <w:rPr/>
      </w:pPr>
      <w:r>
        <w:rPr/>
        <w:t>Completul compus din:</w:t>
      </w:r>
    </w:p>
    <w:p>
      <w:pPr>
        <w:pStyle w:val="Normal"/>
        <w:jc w:val="center"/>
        <w:rPr/>
      </w:pPr>
      <w:r>
        <w:rPr/>
        <w:t>PREŞEDINTE: A0006</w:t>
      </w:r>
    </w:p>
    <w:p>
      <w:pPr>
        <w:pStyle w:val="Normal"/>
        <w:jc w:val="center"/>
        <w:rPr/>
      </w:pPr>
      <w:r>
        <w:rPr/>
        <w:t>Grefier: ...</w:t>
      </w:r>
    </w:p>
    <w:p>
      <w:pPr>
        <w:pStyle w:val="Normal"/>
        <w:jc w:val="center"/>
        <w:rPr/>
      </w:pPr>
      <w:r>
        <w:rPr/>
      </w:r>
    </w:p>
    <w:p>
      <w:pPr>
        <w:pStyle w:val="Normal"/>
        <w:jc w:val="center"/>
        <w:rPr/>
      </w:pPr>
      <w:r>
        <w:rPr/>
        <w:t>X.X</w:t>
      </w:r>
      <w:r>
        <w:rPr/>
      </w:r>
      <w:r>
        <w:rPr/>
      </w:r>
      <w:r>
        <w:rPr/>
      </w:r>
      <w:r>
        <w:rPr/>
      </w:r>
      <w:r>
        <w:rPr>
          <w:lang w:val="en-US" w:eastAsia="en-US"/>
        </w:rPr>
        <w:t>     </w:t>
      </w:r>
      <w:r>
        <w:rPr/>
      </w:r>
      <w:r>
        <w:rPr/>
      </w:r>
    </w:p>
    <w:p>
      <w:pPr>
        <w:pStyle w:val="Normal"/>
        <w:jc w:val="center"/>
        <w:rPr/>
      </w:pPr>
      <w:r>
        <w:rPr/>
      </w:r>
    </w:p>
    <w:p>
      <w:pPr>
        <w:pStyle w:val="Normal"/>
        <w:jc w:val="both"/>
        <w:rPr/>
      </w:pPr>
      <w:r>
        <w:rPr/>
        <w:tab/>
        <w:t xml:space="preserve">Pe rol judecarea acţiunii privind pe reclamantul R1, </w:t>
      </w:r>
      <w:bookmarkStart w:name="_Hlk97114835" w:id="0"/>
      <w:r>
        <w:rPr/>
        <w:t xml:space="preserve">judecător în cadrul Tribunalului ..., cu domiciliul în Municipiul  ..., </w:t>
      </w:r>
      <w:bookmarkEnd w:id="0"/>
      <w:r>
        <w:rPr/>
        <w:t xml:space="preserve">în contradictoriu cu pârâtul MINISTERUL JUSTIŢIEI, cu sediul în  ..., având ca obiect litigiu privind magistraţii. </w:t>
      </w:r>
    </w:p>
    <w:p>
      <w:pPr>
        <w:pStyle w:val="Normal"/>
        <w:jc w:val="both"/>
        <w:rPr/>
      </w:pPr>
      <w:r>
        <w:rPr/>
        <w:tab/>
        <w:t xml:space="preserve">La apelul nominal făcut în şedinţa </w:t>
      </w:r>
      <w:r>
        <w:rPr/>
      </w:r>
      <w:r>
        <w:rPr/>
      </w:r>
      <w:r>
        <w:rPr/>
      </w:r>
      <w:r>
        <w:rPr/>
        <w:t>publică</w:t>
      </w:r>
      <w:r>
        <w:rPr/>
      </w:r>
      <w:r>
        <w:rPr/>
      </w:r>
      <w:r>
        <w:rPr/>
        <w:t xml:space="preserve"> au lipsit părţile.</w:t>
      </w:r>
    </w:p>
    <w:p>
      <w:pPr>
        <w:pStyle w:val="Normal"/>
        <w:jc w:val="both"/>
        <w:rPr/>
      </w:pPr>
      <w:r>
        <w:rPr/>
      </w:r>
      <w:r>
        <w:rPr/>
      </w:r>
      <w:r>
        <w:rPr/>
      </w:r>
      <w:r>
        <w:rPr/>
      </w:r>
      <w:r>
        <w:rPr>
          <w:lang w:val="en-US" w:eastAsia="en-US"/>
        </w:rPr>
        <w:t>     </w:t>
      </w:r>
      <w:r>
        <w:rPr/>
      </w:r>
      <w:r>
        <w:rPr/>
      </w:r>
      <w:r>
        <w:rPr/>
        <w:t xml:space="preserve">  Procedura </w:t>
      </w:r>
      <w:r>
        <w:rPr/>
      </w:r>
      <w:r>
        <w:rPr/>
      </w:r>
      <w:r>
        <w:rPr/>
      </w:r>
      <w:r>
        <w:rPr/>
        <w:t>legal</w:t>
      </w:r>
      <w:r>
        <w:rPr/>
      </w:r>
      <w:r>
        <w:rPr/>
      </w:r>
      <w:r>
        <w:rPr/>
        <w:t xml:space="preserve"> îndeplinită.</w:t>
      </w:r>
    </w:p>
    <w:p>
      <w:pPr>
        <w:pStyle w:val="Normal"/>
        <w:jc w:val="both"/>
        <w:rPr/>
      </w:pPr>
      <w:r>
        <w:rPr/>
        <w:tab/>
        <w:t xml:space="preserve">S-a făcut </w:t>
      </w:r>
      <w:r>
        <w:rPr/>
      </w:r>
      <w:r>
        <w:rPr/>
      </w:r>
      <w:r>
        <w:rPr/>
      </w:r>
      <w:r>
        <w:rPr/>
        <w:t>referatul</w:t>
      </w:r>
      <w:r>
        <w:rPr/>
      </w:r>
      <w:r>
        <w:rPr/>
      </w:r>
      <w:r>
        <w:rPr/>
        <w:t xml:space="preserve"> cauzei de către </w:t>
      </w:r>
      <w:r>
        <w:rPr/>
      </w:r>
      <w:r>
        <w:rPr/>
      </w:r>
      <w:r>
        <w:rPr/>
      </w:r>
      <w:r>
        <w:rPr/>
        <w:t>grefier</w:t>
      </w:r>
      <w:r>
        <w:rPr/>
      </w:r>
      <w:r>
        <w:rPr/>
      </w:r>
      <w:r>
        <w:rPr/>
        <w:t xml:space="preserve"> </w:t>
      </w:r>
      <w:r>
        <w:rPr/>
      </w:r>
      <w:r>
        <w:rPr/>
      </w:r>
      <w:r>
        <w:rPr/>
      </w:r>
      <w:r>
        <w:rPr/>
        <w:t>care învederează</w:t>
      </w:r>
      <w:r>
        <w:rPr/>
      </w:r>
      <w:r>
        <w:rPr/>
      </w:r>
      <w:r>
        <w:rPr/>
        <w:t xml:space="preserve"> instanţei obiectul şi stadiul procesului, modalitatea de îndeplinire a procedurii de citare a părţilor, precum şi faptul că potrivit dispoziţiilor art. 411 alin.1 pct. 2 Codul de procedură civilă, s-a solicitat judecarea cauzei în lipsă de către părţi.</w:t>
      </w:r>
    </w:p>
    <w:p>
      <w:pPr>
        <w:pStyle w:val="Normal"/>
        <w:jc w:val="both"/>
        <w:rPr/>
      </w:pPr>
      <w:r>
        <w:rPr/>
        <w:tab/>
        <w:t>Instanţa constată că prin întâmpinare pârâtul a invocat excepţia necompetenţei materiale a Curţii de Apel  ... în soluţionarea cauzei, şi, verificând şi din oficiu, în temeiul art.131 CPC, competenţa de soluţionare a prezentei cauze, respinge excepţia necompetenţei materiale, apreciind că este competentă să soluţioneze prezentul litigiu, în baza dispoziţiilor art. 127 alin. (1) şi (3)  din  C. proc. civ.</w:t>
      </w:r>
    </w:p>
    <w:p>
      <w:pPr>
        <w:pStyle w:val="Normal"/>
        <w:jc w:val="both"/>
        <w:rPr/>
      </w:pPr>
      <w:r>
        <w:rPr/>
        <w:tab/>
        <w:t>În conformitate cu dispoziţiile art.238 CPC, estimează durata necesară pentru soluţionarea cauzei la acest termen de judecată.</w:t>
      </w:r>
    </w:p>
    <w:p>
      <w:pPr>
        <w:pStyle w:val="Normal"/>
        <w:jc w:val="both"/>
        <w:rPr/>
      </w:pPr>
      <w:r>
        <w:rPr/>
        <w:t xml:space="preserve"> </w:t>
      </w:r>
      <w:r>
        <w:rPr/>
        <w:tab/>
        <w:t>Constatând ca nu mai sunt alte cereri din partea părţilor si ca s-a solicitat judecarea cauzei în lipsa, instanţa apreciază cauza în stare de judecată şi o retine spre soluţionare asupra excepţiilor invocate prin întâmpinare de pârât şi asupra fondului cauzei.</w:t>
      </w:r>
    </w:p>
    <w:p>
      <w:pPr>
        <w:pStyle w:val="Normal"/>
        <w:jc w:val="both"/>
        <w:rPr/>
      </w:pPr>
      <w:r>
        <w:rPr/>
      </w:r>
    </w:p>
    <w:p>
      <w:pPr>
        <w:pStyle w:val="Normal"/>
        <w:jc w:val="center"/>
        <w:rPr/>
      </w:pPr>
      <w:r>
        <w:rPr/>
        <w:t>C U R T E A:</w:t>
      </w:r>
    </w:p>
    <w:p>
      <w:pPr>
        <w:pStyle w:val="Normal"/>
        <w:jc w:val="both"/>
        <w:rPr/>
      </w:pPr>
      <w:r>
        <w:rPr/>
      </w:r>
    </w:p>
    <w:p>
      <w:pPr>
        <w:pStyle w:val="Normal"/>
        <w:rPr/>
      </w:pPr>
      <w:r>
        <w:rPr/>
        <w:tab/>
        <w:t>Asupra acţiunii de faţă;</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Prin acţiunea formulată la această instanţă, reclamantul R1 a formulat cerere de chemare în judecată în contradictoriu cu  MINISTERUL JUSTIȚIEI, prin care a solicitat obligarea autorității publice centrale la emiterea unui ordin de încadrare, prin care indemnizația de încadrare să fie stabilită conform Legii nr.71/2015 și a OUG nr. 20/2016, începând cu 28.05.2016 și în continuare, inclusiv după intrarea in vigoare a Legii cadru de salarizare nr.153/2017, luând in considerare coeficientul de multiplicare 19,000 (diferențe de drepturi salariale in raport de indemnizațiile procurorilor DNA și DIICOT — OUG nr. 27/2006).</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În motivare susţine că, prin sentința civilă nr. D2, pronunțată de Tribunalul ... în dosarul înregistrat sub nr. DC2, s-au dispus următoarele:</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Au fost respinse excepțiile necompetenței materiale, a lipsei calității procesuale active și pasive, invocate de pârâtul Ministerul Justiției.</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A fost admisă excepția prescripției dreptului material la acțiune pentru perioada 09.04.2015-27.05.2016, invocată de pârâții Ministerul Justiției și Tribunalul.....</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A fost admisă în parte acțiunea formulată în contradictoriu cu pârâții CURTEA DE APEL ..., TRIBUNALUL.... şi MINISTERUL JUSTIȚIEI.</w:t>
      </w:r>
    </w:p>
    <w:p>
      <w:pPr>
        <w:pStyle w:val="NoSpacing"/>
        <w:ind w:right="0" w:firstLine="720"/>
        <w:jc w:val="both"/>
        <w:rPr/>
      </w:pPr>
      <w:r>
        <w:rPr>
          <w:rFonts w:ascii="Times New Roman" w:hAnsi="Times New Roman" w:cs="Times New Roman"/>
          <w:sz w:val="24"/>
          <w:szCs w:val="24"/>
        </w:rPr>
        <w:t>Pârâții au fost obligați la recalcularea indemnizațiilor de încadrare, conform Legii nr. 71/2015 și a OUG nr.20/2016, începând cu data de 28.05.2016, și, în continuare, prin valorificarea unui coeficient de multiplicare 19.000.</w:t>
      </w:r>
    </w:p>
    <w:p>
      <w:pPr>
        <w:pStyle w:val="NoSpacing"/>
        <w:ind w:right="0" w:firstLine="720"/>
        <w:jc w:val="both"/>
        <w:rPr>
          <w:rFonts w:ascii="Times New Roman" w:hAnsi="Times New Roman" w:cs="Times New Roman"/>
          <w:sz w:val="24"/>
          <w:szCs w:val="24"/>
        </w:rPr>
      </w:pPr>
      <w:bookmarkStart w:name="_Hlk97111576" w:id="1"/>
      <w:bookmarkEnd w:id="1"/>
      <w:r>
        <w:rPr>
          <w:rFonts w:ascii="Times New Roman" w:hAnsi="Times New Roman" w:cs="Times New Roman"/>
          <w:sz w:val="24"/>
          <w:szCs w:val="24"/>
        </w:rPr>
        <w:t>Totodată, s-a dispus obligarea pârâților la plata către reclamanți, începând cu data de 28.05.2016 și în continuare, a diferențelor de drepturi salariale dintre venitul calculat potrivit coeficientului de multiplicare 19,000 si venitul efectiv plătit, drepturi actualizate cu indicele de inflație, precum si dobânda legală penalizatoare aferentă, până la data plății efective.</w:t>
      </w:r>
    </w:p>
    <w:p>
      <w:pPr>
        <w:pStyle w:val="NoSpacing"/>
        <w:ind w:right="0" w:firstLine="720"/>
        <w:jc w:val="both"/>
        <w:rPr>
          <w:rFonts w:ascii="Times New Roman" w:hAnsi="Times New Roman" w:cs="Times New Roman"/>
          <w:sz w:val="24"/>
          <w:szCs w:val="24"/>
        </w:rPr>
      </w:pPr>
      <w:bookmarkStart w:name="_Hlk97111576" w:id="2"/>
      <w:bookmarkEnd w:id="2"/>
      <w:r>
        <w:rPr>
          <w:rFonts w:ascii="Times New Roman" w:hAnsi="Times New Roman" w:cs="Times New Roman"/>
          <w:sz w:val="24"/>
          <w:szCs w:val="24"/>
        </w:rPr>
        <w:t>Sentința pronunțată de Tribunalul ... a rămas definitivă prin Decizia civilă nr. DC3/..., pronunțată de Curtea de Apel ... - Secția ....</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La data de 01.10.2021 a îndeplinit condițiile pentru a fi încadrat în categoria persoanelor cu vechime în muncă cuprinsă între 15-20 ani și vechime în magistratură cuprinsă între 10-15 ani vechime.</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Prin cererea din data de 05.10.2021 a solicitat emiterea unui nou ordin privind stabilirea unor drepturi salariale prin care să se dispună ca, începând cu data de 01.10.2021, să beneficieze de o indemnizație de încadrare brută lunară corespunzătoare unei vechimi în funcție între 10-15 ani și gradației 3, precum și punerea în executare a Sentinței civile nr. D2 pronunțată de Tribunalul ... în dosarul nr. DC2, rămasă definitivă prin Decizia nr. DC3/..., pronunțată de Curtea de Apel ... (pe care le atașează în copie certificată), în sensul luării în considerare la emiterea ordinului privind stabilirea unor drepturi salariale și a coeficientului de multiplicare 19.</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La data de 14.12.2021 a luat cunoștință de Ordinul nr. ... din 09.12.2021 prin care s-a dispus ca, începând cu data de 01.09.2021 să fie încadrat aferent coeficientului 7.56 (corespunzător unei vechimi în funcție între 5-10 ani și gradației 4), iar începând cu data de 01.10.2021 să fie încadrat aferent coeficientului 7.83 (corespunzător unei vechimi în funcție între 10-15 ani și gradației 4).</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Apreciază că ordinul mai sus indicat nu a analizat în nici un fel solicitarea sa expresă de punere în executare a Sentinței civile nr.D2, pronunțată de Tribunalul ... în dosarul nr. DC2, rămasă definitivă prin Decizia nr.DC3/..., pronunțată de Curtea de Apel ... (pe care le atașează în copie certificată), în sensul luării în considerare la emiterea ordinului privind stabilirea unor drepturi salariale și a coeficientului de multiplicare 19, neoferind nici un fel de justificare pentru refuzul de a-i soluționa această cerere.</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 xml:space="preserve">Înalta Curte de Casație și Justiție - Completul pentru dezlegarea unor chestiuni de drept, prin Decizia nr. 36 din 4 iunie 2018, a stabilit următoarele: „În interpretarea și aplicarea dispozițiilor art.1 alin.5 ind.1 din Ordonanța de urgență a Guvernului nr.83/2014 privind salarizarea personalului plătit din fonduri publice în anul 2015, precum și alte măsuri in domeniul cheltuielilor publice, aprobată cu modificări și completări prin Legea nr.71/2015, cu modificările și completările ulterioare, soluția egalizării indemnizațiilor la nivel maxim are in vedere și majorările și indexările recunoscute prin hotărâri judecătorești unor magistrați sau membri ai personalului auxiliar, indiferent dacă ordonatorul de credite a emis sau nu ordine de salarizare corespunzătoare. </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Deși a formulat o solicitare expresă, pârâtul MINISTERUL JUSTIȚIEI nu a dat curs cererii de emitere a unui nou ordin care să dea eficiență hotărârii judecătorești prin care i-a fost recunoscut coeficientul de multiplicare 19.</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În dovedire, solicită administrarea probei cu înscrisuri.</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Atașează cu titlu de practică judiciară, Sentința Curții de Apel  Craiova nr. 147/2020 pronunțată în dosarul nr. 97/54/2020, rămasă definitivă prin respingerea recursului de către Înalta Curte de Casație și Justiție prin Decizia nr. 6231/2021.</w:t>
      </w:r>
    </w:p>
    <w:p>
      <w:pPr>
        <w:pStyle w:val="NoSpacing"/>
        <w:ind w:right="0" w:firstLine="720"/>
        <w:jc w:val="both"/>
        <w:rPr/>
      </w:pPr>
      <w:r>
        <w:rPr>
          <w:rFonts w:ascii="Times New Roman" w:hAnsi="Times New Roman" w:cs="Times New Roman"/>
          <w:b/>
          <w:sz w:val="24"/>
          <w:szCs w:val="24"/>
        </w:rPr>
        <w:t>Pârâtul Ministerul Justiției a depus ÎNTÂMPINARE</w:t>
      </w:r>
      <w:r>
        <w:rPr>
          <w:rFonts w:ascii="Times New Roman" w:hAnsi="Times New Roman" w:cs="Times New Roman"/>
          <w:sz w:val="24"/>
          <w:szCs w:val="24"/>
        </w:rPr>
        <w:t xml:space="preserve"> la cererea de chemare în judecată formulată de reclamantul R1, </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l. Având în vedere obiectul pretențiilor constând în emiterea ordinului de stabilire a indemnizației de încadrare, invocă excepția necompetenței teritoriale a Curții de Apel  ....</w:t>
      </w:r>
    </w:p>
    <w:p>
      <w:pPr>
        <w:pStyle w:val="NoSpacing"/>
        <w:ind w:right="0" w:firstLine="720"/>
        <w:jc w:val="both"/>
        <w:rPr/>
      </w:pPr>
      <w:r>
        <w:rPr>
          <w:rFonts w:ascii="Times New Roman" w:hAnsi="Times New Roman" w:cs="Times New Roman"/>
          <w:sz w:val="24"/>
          <w:szCs w:val="24"/>
        </w:rPr>
        <w:t>Astfel, ținând cont că reclamantul critică modul de stabilire al drepturilor salariale, invocăm dispozițiile art.7 din cap.VIII din anexa V la Legea-cadru nr.153/2017, „Prin derogare de la art. 37 din lege, personalul salarizat potrivit prezentului capitol, nemulțumit de modul de stabilire a drepturilor salariale, poate face contestație, în termen de 20 de zile calendaristice de la data comunicării actului administrativ de stabilire a drepturilor salariale, la organele de conducere ale Ministerului Justiției, Consiliului Superior al Magistraturii, Inspecției Judiciare, Institutului Național al Magistraturii și Școlii Naționale de Grefieri, Parchetului de pe lângă Înalta Curte de Casație și Justiție, Direcției Naționale Anticorupție, Direcției de Investigare a Infracțiunilor de Criminalitate Organizată și Terorism, la colegiul de conducere al Înaltei Curți de Casație și Justiție ori la colegiile de conducere ale curților de apel sau parchetelor de pe lângă acestea sau la organele de conducere ale celorlalte instituții din sistem care au stabilit drepturile salariate, după caz. Contestațiile se soluționează în termen de cel mult 30 de zile calendaristice.</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(2) Împotriva hotărârilor organelor prevăzute la alin.(1) se poate face plângere, în termen de 30 de zile de la comunicare, la Secția de contencios administrativ și fiscal a Curții de Apel București. ”</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Această competență specială este reținută și de Înalta Curte de Casație și Justiție în cuprinsul Deciziei nr. 9/2017 privind examinarea recursului în interesul legii, aceasta reținând la pct. 35-37 din decizie, cu referire expresă la familia ocupațională de funcții bugetare „justiție” și la dispozițiile art. 7 din cap. VIII din anexa VI la Legea-cadru nr. 284/2010, că „... în această situație, legea instituie o procedură specială în fața ordonatorului de credite, urmată de o procedură judiciară în contencios administrativ. ” .</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Or, art.7 din cap. VIII din anexa V la Legea cadru nr.153/2017 nu face decât să reia conținutul art. 7 din cap. VIII din anexa VI la Legea-cadru nr.284/2010, motiv pentru care solicită admiterea excepției invocate și declinarea cauzei spre competentă soluționare Curții de Apel .....</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II.Excepţia inadmisibilității acțiunii astfel cum a fost formulată.</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Așa cum a arătat deja, în privința modului de contestare a stabilirii drepturilor salariale de către personalul din sistemul justiției, art.7 din cap. VII din anexa V la Legea cadru nr. 153/2017 instituie o procedură specială derogatorie atât de la dispozițiile de drept comun din materia dreptului muncii, cât și de la cele din materia contenciosului administrativ:</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Așadar, obiectul plângerii formulate potrivit art. 7 alin. 2 din Cap. VII, Secțiunea 1 al Anexei V din Legea-cadru nr.153/2017 îl constituie hotărârea prin care a fost soluționată contestația împotriva modului de stabilire a drepturilor salariale.</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Or, reclamantul nu a învestit instanța de contencios administrativ cu verificarea legalității Ordinului nr.... din 09.12.2021 emis de Ministerul Justiției, ci cu o acțiune prin care solicită emiterea unui nou ordin de stabilire a drepturilor salariale, motiv pentru care solicităm admiterea excepției invocate și respingerea ca inadmisibilă a cererii de chemare în judecată.</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III. Pe de altă parte, cauza de fată impune analizarea actelor administrative cu caracter individual prin care s-au stabilit, începând cu 28.05.2016, drepturile salariale ale reclamantului, deși nu a formulat în termen legal plângerea împotriva modului de stabilire a indemnizațiilor începând cu această dată, motiv pentru care solicită admiterea excepției tardivității formulării acțiunii.</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IV. Hotărârea judecătorească invocată de reclamant, respectiv Sentința nr... din .. pronunțată de Tribunalul ... în dosarul nr. DC2, definitivă prin Decizia nr. DC3 din ... a Curții de Apel ... nu a obligat la emiterea unor noi ordine de salarizare, ci la recalcularea indemnizațiilor, respectiv la recalcularea indemnizațiilor precum și plata unor diferențe/despăgubiri salariale, astfel că în temeiul acestora nu au fost emise noi acte de reîncadrare salariale în favoarea reclamantului.</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În executarea obligațiilor stabilite în sarcina Ministerului Justiției, vor fi asigurate fondurile necesare ordonatorilor de rang inferior, în speță Curtea de Apel ..., care la rândul său va face deschiderile de credite pentru ordonatorii de credite terțiari din subordine, în speță Tribunalul...., obligat prin hotărâre, în funcție de solicitările justificate formulate în condițiile legii, respectiv în termenele de plată eșalonată instituite prin acte normative, ținând cont data la care titlul a devenit executoriu.</w:t>
      </w:r>
    </w:p>
    <w:p>
      <w:pPr>
        <w:pStyle w:val="NoSpacing"/>
        <w:ind w:right="0" w:firstLine="720"/>
        <w:jc w:val="both"/>
        <w:rPr/>
      </w:pPr>
      <w:r>
        <w:rPr>
          <w:rFonts w:ascii="Times New Roman" w:hAnsi="Times New Roman" w:cs="Times New Roman"/>
          <w:sz w:val="24"/>
          <w:szCs w:val="24"/>
        </w:rPr>
        <w:t>Învederează faptul că odată cu intrarea în vigoare a Legii nr. 153/2017 nu se mai poate vorbi despre un nivel maxim al salariului în afara plafonului stabilit de această lege. iar textele analizate de Curtea Constituțională prin Decizia nr. 794/2016 sunt abrogate, astfel că implicit nici acestea și nici decizia Curții, care a analizat constituționalitatea lor, nu mai pot constitui temei în susținerea pretențiilor formulate în prezenta cauză.</w:t>
      </w:r>
    </w:p>
    <w:p>
      <w:pPr>
        <w:pStyle w:val="NoSpacing"/>
        <w:ind w:right="0" w:firstLine="720"/>
        <w:jc w:val="both"/>
        <w:rPr/>
      </w:pPr>
      <w:r>
        <w:rPr>
          <w:rFonts w:ascii="Times New Roman" w:hAnsi="Times New Roman" w:cs="Times New Roman"/>
          <w:sz w:val="24"/>
          <w:szCs w:val="24"/>
        </w:rPr>
        <w:t>Arată că dispozițiile art.1 alin. 5</w:t>
      </w:r>
      <w:r>
        <w:rPr>
          <w:rFonts w:ascii="Times New Roman" w:hAnsi="Times New Roman" w:cs="Times New Roman"/>
          <w:sz w:val="24"/>
          <w:szCs w:val="24"/>
          <w:vertAlign w:val="superscript"/>
        </w:rPr>
        <w:t>1</w:t>
      </w:r>
      <w:r>
        <w:rPr>
          <w:rFonts w:ascii="Times New Roman" w:hAnsi="Times New Roman" w:cs="Times New Roman"/>
          <w:sz w:val="24"/>
          <w:szCs w:val="24"/>
        </w:rPr>
        <w:t xml:space="preserve"> din OUG nr. 83/2014. cu modificările și completările ulterioare sunt abrogate. Astfel, prin art. 44 pct. 11 din Legea nr. 153/2017, cu modificări și completări a fost abrogat art.1 alin. 5</w:t>
      </w:r>
      <w:r>
        <w:rPr>
          <w:rFonts w:ascii="Times New Roman" w:hAnsi="Times New Roman" w:cs="Times New Roman"/>
          <w:sz w:val="24"/>
          <w:szCs w:val="24"/>
          <w:vertAlign w:val="superscript"/>
        </w:rPr>
        <w:t>1</w:t>
      </w:r>
      <w:r>
        <w:rPr>
          <w:rFonts w:ascii="Times New Roman" w:hAnsi="Times New Roman" w:cs="Times New Roman"/>
          <w:sz w:val="24"/>
          <w:szCs w:val="24"/>
        </w:rPr>
        <w:t xml:space="preserve"> din OUG nr. 83/2014. iar prin art. 44 pct. 20 din Legea nr.153/2017 au fost abrogate prevederile OUG nr.57/2015, cu modificările din OUG nr. 20/2016.</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Astfel, dispozițiile analizate prin deciziile Înaltei Curți de Casație și Justiție și Decizia nr. 794/2016 a Curții Constituționale invocate de reclamant în acțiune nu pot fundamenta solicitarea privind acordarea unor drepturi salariale mai mari decât cele cuvenite potrivit legii, atunci când obiectul acțiunilor deduse judecății îl reprezintă salarizarea la un nivel superior ierarhic - în cazul de față cel aplicabil Parchetului de pe lângă Înalta Curte de Casație și Justiție și nici ca legitimând modificarea pe cale judecătorească a indemnizațiilor magistraților stabilite prin lege în funcție de gradul profesional.</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Raționamentul propus pentru reținerea stării de discriminare în care s-ar afla reclamantul pleacă de la premisa eronată, așa cum a arătat mai sus, că personalului din familia ocupațională „Justiție” i se aplică coeficientul de multiplicare 19,000.</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Anexa la OUG nr. 27/2006 a fost abrogată prin Legea cadru nr. 330/2009, personalul bugetar fiind reîncadrat începând cu 01 ianuarie 2010 în temeiul Legii-cadru nr.330/2009, respectiv începând cu 01 ianuarie 2011 în temeiul Legii-cadru nr.284/2010 și Legii nr. 285/2010, iar odată cu intrarea în vigoare a Legii cadru de salarizare nr.153/2017, s-a procedat la reîncadrarea reclamatei potrivit dispozițiilor acesteia.</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Potrivit actelor normative intervenite ulterior OUG nr.27/2006, salarizarea magistraților se realizează în funcție/raport de nivelul instanțelor sau parchetelor (art.6 din Anexa VI, Secțiunea a II-a a Legii nr. 330/2009, art. 8 alin.1 din Anexa VI, Secțiunea a II-a a Legii nr.284/2010).</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Mai mult, ideea de aplicare a coeficienților din OUG nr. 27/2006 este exclusă în cazul judecătorilor ale căror indemnizații de încadrare au ajuns deja la maximul prevăzut de Legea nr. 153/2017, cuantumul lor fiind astfel fix, determinat prin raportare Ia grila din legea salarizării.</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Pentru determinarea cuantumului indemnizațiilor lor, nu se mai utilizează coeficientul de multiplicare (ex. 19,000) înmulțit cu valoarea de referință sectorială (ultima fiind de 484), ci se aplică pur si simplu grila din Legea nr. 153/2017.</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Astfel, coeficienții de multiplicare se utilizează ca parte a unui calcul „istoric” de determinare a salariului, alături de valoarea de referință sectorială, însă utilitatea lor se oprește în momentul în care, prin calculul realizat, se ajunge la maximul prevăzut de Legea nr.153/2017.</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Totodată, în sistemul Legii nr.153/2017 grilele de salarizare pentru judecători și procurori sunt diferite, neexistând temei pentru utilizarea grilei dedicate procurorilor pentru reîncadrarea judecătorilor.</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Prin Legea nr.153/2017 s-a dispus la Cap.1 Secțiunea 1 , art.1 alin. 3 că „începând cu data intrării în vigoare a prezentei legi, drepturile salariale ale personalului prevăzut la alin.1 sunt și rămân, în mod exclusiv, cele prevăzute în prezenta lege. ”</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Art. 7 lit. c) din Cap.1 Secțiunea a 3-a din Legea nr.153/2017 statuează că ”indemnizația de încadrare reprezintă suma de bani corespunzătoare funcției, gradului, gradației și vechimii în funcție, prevăzută în anexele nr. I - IX".</w:t>
      </w:r>
    </w:p>
    <w:p>
      <w:pPr>
        <w:pStyle w:val="NoSpacing"/>
        <w:ind w:right="0" w:firstLine="720"/>
        <w:jc w:val="both"/>
        <w:rPr/>
      </w:pPr>
      <w:r>
        <w:rPr>
          <w:rFonts w:ascii="Times New Roman" w:hAnsi="Times New Roman" w:cs="Times New Roman"/>
          <w:sz w:val="24"/>
          <w:szCs w:val="24"/>
        </w:rPr>
        <w:t>De asemenea, art. 8 Cap. VIII, Secțiunea a 2-a din Anexa nr.V la Legea nr.153/2017 prevede că ”(1) Judecătorii, procurorii și magistrații asistenți au dreptul, pentru activitatea desfășurată, la o indemnizație de încadrare stabilită în raport cu nivelul instanțelor sau parchetelor sau, după caz, cu gradul profesional obținut, cu funcția deținută și, după caz, cu vechimea în muncă și în funcție, potrivit prevederilor prezentei legi.</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Art. 9 prevede că ”indemnizațiile de încadrare ale judecătorilor și ale procurorilor sunt prevăzute în prezenta anexă la cap. I lit. A și, respectiv, lit. B. ”</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Principalul criteriu de departajare avut în vedere de legiuitor la stabilirea salarizării magistraților, care rezultă din enumerarea legii este acela al nivelului instanței/parchetului, or, Direcția Națională Anticorupție și Direcția pentru Investigarea Infracțiunilor de Criminalitate Organizată și Terorism sunt structuri în cadrul Parchetului de pe lângă Înalta Curte de Casație și Justiție, procurori care activează în cadrul acestor structuri fiind salarizați, în mod unitar, potrivit dispozițiilor aplicabile procurorilor Parchetului de pe lângă Înalta Curte de Casație și Justiție.</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 xml:space="preserve">În sensul celor precizate anterior, învederează că prin Decizia nr. 55/2021 pronunțată în Dosarul nr. 1.267/1/2021, Înalta Curte de Casație și Justiție- Completul pentru dezlegarea unor chestiuni de drept a reținut că: </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71. Actele normative anterioare intrării în vigoare a Legii-cadru nr. 153/2017, care au reglementat drepturile salariale ale magistraților, au stabilit că indemnizația de încadrare a acestora este rezultatul înmulțirii unei valori de referință sectorială cu un coeficient de multiplicare. specific atât nivelului instanței/parchetului. cât si funcției ocupate...</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73.Fundamentul acestor acte normative l-a constituit ideea ca diferențierea veniturilor magistraților - în considerarea fie a nivelului instanței/parchetului Ia care își desfășoară activitatea, fie a funcției pe care o ocupă  să fie făcută, în mod exclusiv, prin aplicarea unor coeficienți de multiplicare distincți, nivelul valorii de referință sectorială rămânând însă constant.</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74.O atare abordare este pe deplin justificată și dă expresie înseși rațiunii instituirii unui atare reper, care trebuie să fie unic, de referință în sectorul în care este incident.</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81. Prin urmare, în măsura în care în cadrul aceleiași familii ocupaționale este stabilit un anumit nivel al valorii de referință sectorială, acesta este aplicabil întregii familii ocupaționale, iar diferențierea veniturilor rezultă în mod exclusiv din utilizarea unor coeficienți de multiplicare caracteristici, care variază în raport cu funcția ocupată și cu celelalte criterii indicate de legiuitor. ”</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Așadar, drepturile solicitate nu sunt prevăzute de actele normative incidente în materia salarizării magistraților și prin urmare, faptul că există hotărâri judecătorești prin care s-au acordat judecătorilor drepturi prevăzute de OUG nr.27/2006 pentru procurorii DNA și DIICOT sunt fără relevanță.</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Stabilirea sistemului de salarizare, respectiv acordarea unor drepturi salariale unei categorii sau alteia de personal bugetar, este atributul exclusiv al legiuitorului, singurul în măsură să aprecieze criteriile pe baza cărora fundamentează un anumit sistem salarial, iar instanța de contencios constituțional, a constatat neconstituționalitatea unor prevederi legale susceptibile de a genera depășirea competențelor instanțelor judecătorești în detrimentul autorității legiuitoare.</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Totodată, trebuie arătat că prin Decizia nr.794/2016, invocată de către reclamant, Curtea Constituțională reține nivelul maxim „pentru fiecare funcție, grad/treaptă, gradație, vechime în funcție sau în specialitate, după caz al salariului de bază/indemnizației de încadrare. ”</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În concluzie, Decizia nr. 794/2016 nu poate fi interpretată ca legitimând modificarea pe cale judecătorească a indemnizațiilor magistrați{or stabilite prin lege în funcție de gradul profesional, dimpotrivă Curtea Constituțională a constatat prin Deciziile nr. 818, 819, 820 și 821 din 3 iulie 2008, invocate mai sus, neconstituționalitatea unor prevederi legale susceptibile de a genera competențelor depășirea instanțelor judecătorești în detrimentul autorității legiuitoare.</w:t>
      </w:r>
    </w:p>
    <w:p>
      <w:pPr>
        <w:pStyle w:val="NoSpacing"/>
        <w:ind w:right="0" w:firstLine="720"/>
        <w:jc w:val="both"/>
        <w:rPr>
          <w:rFonts w:ascii="Times New Roman" w:hAnsi="Times New Roman" w:cs="Times New Roman"/>
          <w:sz w:val="24"/>
          <w:szCs w:val="24"/>
        </w:rPr>
      </w:pPr>
      <w:r>
        <w:rPr>
          <w:rFonts w:ascii="Times New Roman" w:hAnsi="Times New Roman" w:cs="Times New Roman"/>
          <w:sz w:val="24"/>
          <w:szCs w:val="24"/>
        </w:rPr>
        <w:t>În concluzie, solicită admiterea excepțiilor invocate, precum și respingerea acțiunii.</w:t>
      </w:r>
    </w:p>
    <w:p>
      <w:pPr>
        <w:pStyle w:val="ListParagraph"/>
        <w:spacing w:line="240" w:lineRule="auto"/>
        <w:ind w:left="44" w:right="0" w:firstLine="664"/>
        <w:jc w:val="both"/>
        <w:rPr>
          <w:b/>
          <w:sz w:val="24"/>
          <w:szCs w:val="24"/>
        </w:rPr>
      </w:pPr>
      <w:r>
        <w:rPr>
          <w:b/>
          <w:sz w:val="24"/>
          <w:szCs w:val="24"/>
        </w:rPr>
        <w:t xml:space="preserve">Analizând actele și lucrările dosarului, precum și excepțiile invocate prin întâmpinarea formulată în raport de dispozițiile art. 248 alin. 1 N. C. proc. civ., Curtea reține următoarele: </w:t>
      </w:r>
    </w:p>
    <w:p>
      <w:pPr>
        <w:pStyle w:val="ListParagraph"/>
        <w:spacing w:line="240" w:lineRule="auto"/>
        <w:ind w:left="44" w:right="0" w:firstLine="664"/>
        <w:jc w:val="both"/>
        <w:rPr>
          <w:sz w:val="24"/>
          <w:szCs w:val="24"/>
          <w:lang w:eastAsia="en-US"/>
        </w:rPr>
      </w:pPr>
      <w:r>
        <w:rPr>
          <w:sz w:val="24"/>
          <w:szCs w:val="24"/>
          <w:lang w:eastAsia="en-US"/>
        </w:rPr>
        <w:t>Prin cererea de chemare în judecată formulată la data de 04 ianuarie 2022 (fila 37), reclamantul R1, judecător în cadrul Tribunalului ..., a  chemat în judecată pe pârâtul Ministerul Justiţiei in temeiul art. 8 și art. 2 lit. h) din Legea nr. 554/2004, solicitând obligarea pârâtului Ministerul Justiției la emiterea unui nou ordin de încadrare, în care indemnizația de încadrare să fie stabilită conform Legii nr. 71/2015 și a OUG nr. 20/2016, începând cu 01.10.2015 și în continuare, și după intrarea in vigoare a Legii cadru de salarizare nr. 153/2017, luând in considerare coeficientul de multiplicare 19,000 (diferențe de drepturi salariale in raport de indemnizațiile procurorilor DNA și DIICOT - OUG nr. 27/2006).</w:t>
      </w:r>
    </w:p>
    <w:p>
      <w:pPr>
        <w:pStyle w:val="ListParagraph"/>
        <w:spacing w:line="240" w:lineRule="auto"/>
        <w:ind w:left="44" w:right="0" w:firstLine="664"/>
        <w:jc w:val="both"/>
        <w:rPr/>
      </w:pPr>
      <w:r>
        <w:rPr>
          <w:sz w:val="24"/>
          <w:szCs w:val="24"/>
        </w:rPr>
        <w:t xml:space="preserve">În motivarea acţiunii, reclamantul a arătat că prin sentința nr. ... din ... pronunțată de Tribunalul ... - Secția ..., în dosarul nr. DC2, definitivă prin Decizia nr.DC3/..., au fost obligați la recalcularea indemnizației de încadrare a reclamantului R1, conform Legii nr. 71/2015 și OUG nr. 20/2016, începând cu 28.05.2016 și in continuare, prin valorificarea coeficientului de multiplicare de 19,00 stabilit in Anexa la Ordonanța de urgență a Guvernului nr. 27/2006, lit. A) pct. 13 și să-i plătească contravaloarea diferenței dintre indemnizația de încadrare stabilită astfel și indemnizația actuală de încadrare, calculată începând cu 28.05.2016 și in continuare, până la plata efectivă a noii indemnizații de încadrare și actualizată cu indicele de inflație, precum </w:t>
      </w:r>
      <w:r>
        <w:rPr>
          <w:sz w:val="24"/>
          <w:szCs w:val="24"/>
          <w:lang w:val="en-US" w:eastAsia="en-US"/>
        </w:rPr>
        <w:t xml:space="preserve">şi </w:t>
      </w:r>
      <w:r>
        <w:rPr>
          <w:sz w:val="24"/>
          <w:szCs w:val="24"/>
        </w:rPr>
        <w:t xml:space="preserve">dobânda legată penalizatoare calculată potrivit prevederilor art. 1 alin. (2) și art. 3 alin. (2) - (4) din Ordonanța Guvernului nr. 13/2011, începând din data de 01.10.2015 și până la data plății efective a debitului principal constând în diferențele dintre indemnizația de încadrare stabilită potrivit celor dispuse și indemnizația actuală de încadrare a reclamantului. </w:t>
        <w:tab/>
        <w:t>Reclamantul a susţinut, în esenţă, că desi a solicitat punerea în executare a acestei sentinţe, în sensul emiterii ordinului de salarizare corespunzător dispozitivului sentinţei, formulând în acest sens plângere prealabilă, pârâtul nu a dat curs acestei solicitări, refuzul pârâtului fiind considerat nejustificat.</w:t>
      </w:r>
    </w:p>
    <w:p>
      <w:pPr>
        <w:pStyle w:val="ListParagraph"/>
        <w:spacing w:line="240" w:lineRule="auto"/>
        <w:ind w:left="44" w:right="0" w:firstLine="664"/>
        <w:jc w:val="both"/>
        <w:rPr>
          <w:rFonts w:eastAsia="Calibri"/>
          <w:sz w:val="24"/>
          <w:szCs w:val="24"/>
          <w:lang w:eastAsia="en-US"/>
        </w:rPr>
      </w:pPr>
      <w:r>
        <w:rPr>
          <w:rFonts w:eastAsia="Calibri"/>
          <w:sz w:val="24"/>
          <w:szCs w:val="24"/>
          <w:lang w:eastAsia="en-US"/>
        </w:rPr>
        <w:t xml:space="preserve">Potrivit art. 8 din Legea nr. 554/2004 privind contenciosul administrativ „Persoana vătămată într-un drept recunoscut de lege sau într-un interes legitim printr-un act administrativ unilateral, nemulţumită de răspunsul primit la plângerea prealabilă sau care nu a primit niciun răspuns în termenul prevăzut la art. 2 alin. (1) lit. h), poate sesiza instanţa de contencios administrativ competentă, pentru a solicita anularea în tot sau în parte a actului, repararea pagubei cauzate şi, eventual, reparaţii pentru daune morale. De asemenea se poate adresa instanţei de contencios administrativ şi cel care se consideră vătămat într-un drept sau interes legitim al său prin nesoluţionarea în termen sau prin refuzul nejustificat de soluţionare a unei cereri, precum şi prin refuzul de efectuare a unei anumite operaţiuni administrative necesare pentru exercitarea sau protejarea dreptului sau interesului legitim. </w:t>
      </w:r>
    </w:p>
    <w:p>
      <w:pPr>
        <w:pStyle w:val="ListParagraph"/>
        <w:spacing w:line="240" w:lineRule="auto"/>
        <w:ind w:left="44" w:right="0" w:firstLine="664"/>
        <w:jc w:val="both"/>
        <w:rPr>
          <w:rFonts w:eastAsia="Calibri"/>
          <w:sz w:val="24"/>
          <w:szCs w:val="24"/>
          <w:lang w:eastAsia="en-US"/>
        </w:rPr>
      </w:pPr>
      <w:r>
        <w:rPr>
          <w:rFonts w:eastAsia="Calibri"/>
          <w:sz w:val="24"/>
          <w:szCs w:val="24"/>
          <w:lang w:eastAsia="en-US"/>
        </w:rPr>
        <w:t>Prin cererea înregistrată la Ministerul Justiţiei, reclamantul a solicitat emiterea unui nou ordin de încadrare, în care indemnizația de încadrare să fie stabilită conform Legii nr. 71/2015 și a OUG nr. 20/2016, începând cu 28.05.2016 și în continuare, și după intrarea in vigoare a Legii cadru de salarizare nr.153/2017, luând in considerare coeficientul de multiplicare 19,000 (diferențe de drepturi salariale in raport de indemnizațiile procurorilor DNA și DIICOT - OUG nr. 27/2006), solicitând astfel punerea în executare a sentinţei nr.D2 pronunțată de Tribunalul ... în dosarul nr.DC2, rămasă definitivă prin decizia nr.DC3/..., pronunțată de Curtea de Apel ...-Secţia ....</w:t>
      </w:r>
    </w:p>
    <w:p>
      <w:pPr>
        <w:pStyle w:val="ListParagraph"/>
        <w:spacing w:line="240" w:lineRule="auto"/>
        <w:ind w:left="44" w:right="0" w:firstLine="664"/>
        <w:jc w:val="both"/>
        <w:rPr/>
      </w:pPr>
      <w:r>
        <w:rPr>
          <w:rFonts w:eastAsia="Calibri"/>
          <w:b/>
          <w:sz w:val="24"/>
          <w:szCs w:val="24"/>
          <w:lang w:eastAsia="en-US"/>
        </w:rPr>
        <w:t>În ceea ce priveşte excepţia inadmisibilităţii acţiunii</w:t>
      </w:r>
      <w:r>
        <w:rPr>
          <w:rFonts w:eastAsia="Calibri"/>
          <w:sz w:val="24"/>
          <w:szCs w:val="24"/>
          <w:lang w:eastAsia="en-US"/>
        </w:rPr>
        <w:t>, invocată de pârât prin întâmpinare, Curtea constată, de asemenea, că nu este fondată, având în vedere că, în speţă, reclamantul nu a investit instanţa de contencios cu o acţiune privind anularea ordinului de reîncadrare, pentru a fi atrasă aplicarea procedurii speciale prevăzută de lege, ci a solicitat obligarea la emiterea unui ordin de încadrare, ca urmare a stabilirii îndreptăţirii sale la aplicarea coeficientului solicitat, în mod definitiv, fiind invocat un refuz nejustificat în susţinerea acţiunii.</w:t>
      </w:r>
    </w:p>
    <w:p>
      <w:pPr>
        <w:pStyle w:val="ListParagraph"/>
        <w:spacing w:line="240" w:lineRule="auto"/>
        <w:ind w:left="44" w:right="0" w:firstLine="664"/>
        <w:jc w:val="both"/>
        <w:rPr/>
      </w:pPr>
      <w:r>
        <w:rPr>
          <w:rFonts w:eastAsia="Calibri"/>
          <w:b/>
          <w:sz w:val="24"/>
          <w:szCs w:val="24"/>
          <w:lang w:eastAsia="en-US"/>
        </w:rPr>
        <w:t>Pe fondul cauzei</w:t>
      </w:r>
      <w:r>
        <w:rPr>
          <w:rFonts w:eastAsia="Calibri"/>
          <w:sz w:val="24"/>
          <w:szCs w:val="24"/>
          <w:lang w:eastAsia="en-US"/>
        </w:rPr>
        <w:t>, Curtea apreciază că acţiunea reclamantului având ca obiect obligarea pârâtului Ministerul Justiţiei la emiterea unui nou ordin de încadrare, începând cu data de 28.05.2016 şi în continuare, cu luarea în considerare a coeficientului de multiplicare de 19, stabilit în Anexa la OUG 27/2006, lit. A), pct. 13(aferent salarizării procurorilor DNA şi DIICOT), este întemeiată pentru următoarele aspecte :</w:t>
      </w:r>
    </w:p>
    <w:p>
      <w:pPr>
        <w:pStyle w:val="ListParagraph"/>
        <w:spacing w:line="240" w:lineRule="auto"/>
        <w:ind w:left="44" w:right="0" w:firstLine="664"/>
        <w:jc w:val="both"/>
        <w:rPr>
          <w:rFonts w:eastAsia="Calibri"/>
          <w:sz w:val="24"/>
          <w:szCs w:val="24"/>
          <w:lang w:eastAsia="en-US"/>
        </w:rPr>
      </w:pPr>
      <w:r>
        <w:rPr>
          <w:rFonts w:eastAsia="Calibri"/>
          <w:sz w:val="24"/>
          <w:szCs w:val="24"/>
          <w:lang w:eastAsia="en-US"/>
        </w:rPr>
        <w:t>Prin sentința nr.... din ... pronunțată de Tribunalul ..., în dosarul nr.DC2, au fost obligaţi pârâţii  la recalcularea indemnizației de încadrare a reclamantului, conform Legii nr. 71/2015 și OUG nr. 20/2016, începând cu 28.05.2016 și in continuare, prin valorificarea coeficientului de multiplicare de 19,00.</w:t>
      </w:r>
    </w:p>
    <w:p>
      <w:pPr>
        <w:pStyle w:val="ListParagraph"/>
        <w:spacing w:line="240" w:lineRule="auto"/>
        <w:ind w:left="44" w:right="0" w:firstLine="664"/>
        <w:jc w:val="both"/>
        <w:rPr/>
      </w:pPr>
      <w:r>
        <w:rPr>
          <w:rFonts w:eastAsia="Times New Roman"/>
          <w:sz w:val="24"/>
          <w:szCs w:val="24"/>
          <w:lang w:eastAsia="en-US"/>
        </w:rPr>
        <w:t xml:space="preserve"> </w:t>
      </w:r>
      <w:r>
        <w:rPr>
          <w:rFonts w:eastAsia="Calibri"/>
          <w:sz w:val="24"/>
          <w:szCs w:val="24"/>
          <w:lang w:eastAsia="en-US"/>
        </w:rPr>
        <w:t xml:space="preserve">Totodată, s-a dispus obligarea pârâților la plata către reclamanți, începând cu data de 28.05.2016 și în continuare, a diferențelor de drepturi salariale dintre venitul calculat potrivit coeficientului de multiplicare 19,000 si venitul efectiv plătit, drepturi actualizate cu indicele de inflație, precum si dobânda legală penalizatoare aferentă, până la data plății efective, constând în diferențele dintre indemnizația de încadrare stabilită potrivit celor dispuse și indemnizația actuală de încadrare a reclamantului. </w:t>
      </w:r>
    </w:p>
    <w:p>
      <w:pPr>
        <w:pStyle w:val="ListParagraph"/>
        <w:spacing w:line="240" w:lineRule="auto"/>
        <w:ind w:left="44" w:right="0" w:firstLine="664"/>
        <w:jc w:val="both"/>
        <w:rPr>
          <w:rFonts w:eastAsia="Calibri"/>
          <w:sz w:val="24"/>
          <w:szCs w:val="24"/>
          <w:lang w:eastAsia="en-US"/>
        </w:rPr>
      </w:pPr>
      <w:r>
        <w:rPr>
          <w:rFonts w:eastAsia="Calibri"/>
          <w:sz w:val="24"/>
          <w:szCs w:val="24"/>
          <w:lang w:eastAsia="en-US"/>
        </w:rPr>
        <w:t>Această sentinţă a intrat în puterea lucrului judecat rămânând definitivă prin decizia DC3 din data de  ..., pronunțată de Curtea de Apel ... .</w:t>
      </w:r>
    </w:p>
    <w:p>
      <w:pPr>
        <w:pStyle w:val="ListParagraph"/>
        <w:spacing w:line="240" w:lineRule="auto"/>
        <w:ind w:left="44" w:right="0" w:firstLine="664"/>
        <w:jc w:val="both"/>
        <w:rPr/>
      </w:pPr>
      <w:r>
        <w:rPr>
          <w:spacing w:val="10"/>
          <w:sz w:val="24"/>
          <w:szCs w:val="24"/>
        </w:rPr>
        <w:tab/>
        <w:t xml:space="preserve">Aşa cum a stabilit </w:t>
      </w:r>
      <w:r>
        <w:rPr>
          <w:sz w:val="24"/>
          <w:szCs w:val="24"/>
        </w:rPr>
        <w:t>Înalta Curte de Casaţie şi Justiţie - Completul pentru dezlegarea unor chestiuni de drept, prin Decizia nr. 36 din 4 iunie 2018</w:t>
      </w:r>
      <w:r>
        <w:rPr>
          <w:b/>
          <w:sz w:val="24"/>
          <w:szCs w:val="24"/>
        </w:rPr>
        <w:t xml:space="preserve">, </w:t>
      </w:r>
      <w:r>
        <w:rPr>
          <w:iCs/>
          <w:sz w:val="24"/>
          <w:szCs w:val="24"/>
        </w:rPr>
        <w:t>în interpretarea şi aplicarea dispoziţiilor art. 1 alin. (5</w:t>
      </w:r>
      <w:r>
        <w:rPr>
          <w:iCs/>
          <w:sz w:val="24"/>
          <w:szCs w:val="24"/>
          <w:vertAlign w:val="superscript"/>
        </w:rPr>
        <w:t>1</w:t>
      </w:r>
      <w:r>
        <w:rPr>
          <w:iCs/>
          <w:sz w:val="24"/>
          <w:szCs w:val="24"/>
        </w:rPr>
        <w:t>) din Ordonanţa de urgentă a Guvernului nr. 83/2014 privind salarizarea personalului plătit din fonduri publice în anul 2015, precum şi alte măsuri în domeniul cheltuielilor publice, aprobată cu modificări şi completări prin Legea nr. 71/2015, cu modificările şi completările ulterioare, soluţia egalizării indemnizaţii/or la nivel maxim are în vedere şi majorările şi indexările recunoscute prin hotărâri judecătoreşti unor magistraţi sau membri ai personalului auxiliar, indiferent dacă ordonatorul de credite a emis sau nu ordine de salarizare corespunzătoare.</w:t>
      </w:r>
    </w:p>
    <w:p>
      <w:pPr>
        <w:pStyle w:val="ListParagraph"/>
        <w:spacing w:line="240" w:lineRule="auto"/>
        <w:ind w:left="44" w:right="0" w:firstLine="664"/>
        <w:jc w:val="both"/>
        <w:rPr>
          <w:iCs/>
          <w:sz w:val="24"/>
          <w:szCs w:val="24"/>
        </w:rPr>
      </w:pPr>
      <w:r>
        <w:rPr>
          <w:iCs/>
          <w:sz w:val="24"/>
          <w:szCs w:val="24"/>
        </w:rPr>
        <w:t>Astfel, a aprecia că nivelul maxim al salarizării nu poate include drepturile obţinute prin hotărâri judecătoreşti definitive decât dacă au fost emise ordine de salarizare, ar însemna să fie lăsată la latitudinea ordonatorilor de credite consecinţa aplicării sau neaplicării prevederilor legale. Cu alte cuvinte, ar însemna ca neexecutarea unei hotărâri judecătoreşti definitive să producă consecinţe juridice în sensul privării unor titulari de drepturile lor specifice.</w:t>
      </w:r>
    </w:p>
    <w:p>
      <w:pPr>
        <w:pStyle w:val="ListParagraph"/>
        <w:spacing w:line="240" w:lineRule="auto"/>
        <w:ind w:left="44" w:right="0" w:firstLine="664"/>
        <w:jc w:val="both"/>
        <w:rPr>
          <w:spacing w:val="10"/>
          <w:sz w:val="24"/>
          <w:szCs w:val="24"/>
        </w:rPr>
      </w:pPr>
      <w:r>
        <w:rPr>
          <w:spacing w:val="10"/>
          <w:sz w:val="24"/>
          <w:szCs w:val="24"/>
        </w:rPr>
        <w:t>Trebuie menţionat că şi în această cauză hotărârile judecătoreşti pronunţate pentru obţinerea unor drepturi salariale deşi au efecte doar între părţile ce au luat parte la judecată, se observă că hotărârile judecătoreşti prin care s-a recunoscut majorarea indemnizaţiei de încadrare, raportat la nivelul de salarizare al procurorilor din cadrul DI1COT si DNA, nu vizează situaţii de fapt particulare, ci aplicarea unor prevederi legale cuprinse în acte normative, care au aplicabilitate generală, astfel cum a reţinut ÎCCJ în decizia mai sus menţionată, iar numărul judecătorilor care beneficiază deja de aceste drepturi este considerabil, raportat la numărul total al celor aflaţi în sistem.</w:t>
      </w:r>
    </w:p>
    <w:p>
      <w:pPr>
        <w:pStyle w:val="ListParagraph"/>
        <w:spacing w:line="240" w:lineRule="auto"/>
        <w:ind w:left="44" w:right="0" w:firstLine="664"/>
        <w:jc w:val="both"/>
        <w:rPr/>
      </w:pPr>
      <w:r>
        <w:rPr>
          <w:spacing w:val="10"/>
          <w:sz w:val="24"/>
          <w:szCs w:val="24"/>
        </w:rPr>
        <w:t xml:space="preserve">In aceste condiţii devin pe deplin valabile concluziile ÎCCJ  potrivit cărora, </w:t>
      </w:r>
      <w:r>
        <w:rPr>
          <w:iCs/>
          <w:sz w:val="24"/>
          <w:szCs w:val="24"/>
        </w:rPr>
        <w:t>dacă s-ar da o altă interpretare, aceasta ar fi contrară scopului şi substanţei normei, s-ar menţine inechităţile salariale în cadrul aceleiaşi categorii de personal şi, în consecinţă, ar persista discriminarea pe care legiuitorul a intenţionat să o elimine prin edictarea acestei reglementări.</w:t>
      </w:r>
    </w:p>
    <w:p>
      <w:pPr>
        <w:pStyle w:val="ListParagraph"/>
        <w:spacing w:line="240" w:lineRule="auto"/>
        <w:ind w:left="44" w:right="0" w:firstLine="664"/>
        <w:jc w:val="both"/>
        <w:rPr>
          <w:rFonts w:eastAsia="Calibri"/>
          <w:bCs/>
          <w:sz w:val="24"/>
          <w:szCs w:val="24"/>
          <w:lang w:eastAsia="en-US"/>
        </w:rPr>
      </w:pPr>
      <w:r>
        <w:rPr>
          <w:rFonts w:eastAsia="Calibri"/>
          <w:bCs/>
          <w:sz w:val="24"/>
          <w:szCs w:val="24"/>
          <w:lang w:eastAsia="en-US"/>
        </w:rPr>
        <w:t>Decizia Înaltei Curţi de Casaţie şi Justiţie - Completul pentru dezlegarea unor chestiuni de drept este obligatorie pentru instanţele judecătoreşti, potrivit dispoziţiilor art. 521 alin. (3) din Codul de procedură civilă.</w:t>
      </w:r>
    </w:p>
    <w:p>
      <w:pPr>
        <w:pStyle w:val="Normal"/>
        <w:autoSpaceDE w:val="false"/>
        <w:spacing w:line="269" w:lineRule="exact"/>
        <w:ind w:right="0" w:firstLine="706"/>
        <w:jc w:val="both"/>
        <w:rPr/>
      </w:pPr>
      <w:r>
        <w:rPr>
          <w:spacing w:val="10"/>
        </w:rPr>
        <w:t>De asemenea, potrivit art. 1 alin. (5</w:t>
      </w:r>
      <w:r>
        <w:rPr>
          <w:spacing w:val="10"/>
          <w:vertAlign w:val="superscript"/>
        </w:rPr>
        <w:t>1</w:t>
      </w:r>
      <w:r>
        <w:rPr>
          <w:spacing w:val="10"/>
        </w:rPr>
        <w:t xml:space="preserve">) din Ordonanţa de urgenţă a Guvernului nr. 83/2014 astfel cum a fost modificată prin </w:t>
      </w:r>
      <w:r>
        <w:rPr>
          <w:iCs/>
        </w:rPr>
        <w:t xml:space="preserve">Legea nr. </w:t>
      </w:r>
      <w:r>
        <w:rPr>
          <w:bCs/>
          <w:iCs/>
        </w:rPr>
        <w:t>71/2015</w:t>
      </w:r>
      <w:r>
        <w:rPr>
          <w:b/>
          <w:bCs/>
          <w:i/>
          <w:iCs/>
        </w:rPr>
        <w:t xml:space="preserve">, </w:t>
      </w:r>
      <w:r>
        <w:rPr>
          <w:spacing w:val="10"/>
        </w:rPr>
        <w:t xml:space="preserve">interpretat prin decizia nr. 23/2016 a Înaltei Curţi de Casaţie şi Justiţie, Completul pentru dezlegarea unor chestiuni de drept,  </w:t>
      </w:r>
      <w:r>
        <w:rPr>
          <w:iCs/>
        </w:rPr>
        <w:t>personalul ... care beneficiază de un cuantum al salariilor de bază şi al sporurilor mai mici decât cele stabilite la nivel maxim în cadrul aceleiaşi instituţii sau autorităţi publice pentru fiecare funcţie/grad, treaptă şi gradaţie, va fi salarizat la nivelul maxim dacă îşi desfăşoară activitatea în aceleaşi condiţii.</w:t>
      </w:r>
    </w:p>
    <w:p>
      <w:pPr>
        <w:pStyle w:val="Normal"/>
        <w:autoSpaceDE w:val="false"/>
        <w:spacing w:line="269" w:lineRule="exact"/>
        <w:ind w:right="0" w:firstLine="552"/>
        <w:jc w:val="both"/>
        <w:rPr/>
      </w:pPr>
      <w:r>
        <w:rPr>
          <w:spacing w:val="10"/>
        </w:rPr>
        <w:t xml:space="preserve">Legea 71/2015 a introdus un nou aliniat 5 </w:t>
      </w:r>
      <w:r>
        <w:rPr>
          <w:spacing w:val="10"/>
          <w:vertAlign w:val="superscript"/>
        </w:rPr>
        <w:t>1</w:t>
      </w:r>
      <w:r>
        <w:rPr>
          <w:spacing w:val="10"/>
        </w:rPr>
        <w:t xml:space="preserve"> al articolului 1, potrivit căruia, </w:t>
      </w:r>
      <w:r>
        <w:rPr>
          <w:iCs/>
        </w:rPr>
        <w:t xml:space="preserve">"prin excepţie de la prevederile alin. (1) şi (2), personalul din aparatul de lucru al Parlamentului şi din celelalte instituţii şi autorităţi publice, salarizat la acelaşi nivel, precum şi personalul din cadrul Consiliului Concurenţei şi al Curţii de Conturi, </w:t>
      </w:r>
      <w:r>
        <w:rPr>
          <w:spacing w:val="10"/>
        </w:rPr>
        <w:t xml:space="preserve">inclusiv personalul prevăzut la art. 5 </w:t>
      </w:r>
      <w:r>
        <w:rPr>
          <w:iCs/>
        </w:rPr>
        <w:t>{respectiv personalul numit/încadrat în aceeaşi instituţie/autoritate publică pe funcţii de acelaşi fel, precum şi pentru personalul promovat în funcţii sau în grade/trepte</w:t>
      </w:r>
      <w:r>
        <w:rPr>
          <w:spacing w:val="10"/>
        </w:rPr>
        <w:t xml:space="preserve">)din aceste instituţii, </w:t>
      </w:r>
      <w:r>
        <w:rPr>
          <w:iCs/>
        </w:rPr>
        <w:t xml:space="preserve">care beneficiază de un cuantum al salariilor de bază şi al sporurilor mai mici decât cele stabilite la nivel maxim în cadrul aceleiaşi instituţii sau autorităţi publice pentru fiecare funcţie/grad/treaptă şi gradaţie, </w:t>
      </w:r>
      <w:r>
        <w:rPr>
          <w:iCs/>
          <w:u w:val="single"/>
        </w:rPr>
        <w:t xml:space="preserve">va </w:t>
      </w:r>
      <w:r>
        <w:rPr>
          <w:iCs/>
          <w:spacing w:val="20"/>
          <w:u w:val="single"/>
        </w:rPr>
        <w:t>fi</w:t>
      </w:r>
      <w:r>
        <w:rPr>
          <w:iCs/>
          <w:u w:val="single"/>
        </w:rPr>
        <w:t xml:space="preserve"> salarizat la nivelul maxim</w:t>
      </w:r>
      <w:r>
        <w:rPr>
          <w:iCs/>
        </w:rPr>
        <w:t xml:space="preserve"> dacă îşi desfăşoară activitatea în aceleaşi condiţii."</w:t>
      </w:r>
    </w:p>
    <w:p>
      <w:pPr>
        <w:pStyle w:val="Normal"/>
        <w:autoSpaceDE w:val="false"/>
        <w:spacing w:line="269" w:lineRule="exact"/>
        <w:ind w:right="0" w:firstLine="720"/>
        <w:jc w:val="both"/>
        <w:rPr/>
      </w:pPr>
      <w:r>
        <w:rPr>
          <w:spacing w:val="10"/>
        </w:rPr>
        <w:t xml:space="preserve">Prin </w:t>
      </w:r>
      <w:r>
        <w:rPr>
          <w:iCs/>
        </w:rPr>
        <w:t>decizia nr.</w:t>
      </w:r>
      <w:r>
        <w:rPr>
          <w:bCs/>
          <w:iCs/>
        </w:rPr>
        <w:t>23/2016</w:t>
      </w:r>
      <w:r>
        <w:rPr>
          <w:b/>
          <w:bCs/>
          <w:iCs/>
        </w:rPr>
        <w:t xml:space="preserve">, </w:t>
      </w:r>
      <w:r>
        <w:rPr>
          <w:spacing w:val="10"/>
        </w:rPr>
        <w:t xml:space="preserve">Înalta Curte de Casaţie şi Justiţie, a statuat că, </w:t>
      </w:r>
      <w:r>
        <w:rPr>
          <w:iCs/>
        </w:rPr>
        <w:t>în interpretarea şi aplicarea dispoziţiilor art. 1 alin. (5</w:t>
      </w:r>
      <w:r>
        <w:rPr>
          <w:iCs/>
          <w:vertAlign w:val="superscript"/>
        </w:rPr>
        <w:t>l</w:t>
      </w:r>
      <w:r>
        <w:rPr>
          <w:iCs/>
        </w:rPr>
        <w:t xml:space="preserve">) din O.U.G. nr. 83/2014 privind salarizarea personalului plătit din fonduri publice în anul 2015, precum şi alte măsuri în domeniul cheltuielilor publice, aprobată cu modificări şi completări prin Legea nr. 71/2015; cu modif. şi compl. ulterioare sintagma „salarizat la acelaşi nivel" are în vedere personalul din cadrul aparatului de lucru al Parlamentului, personalul din cadrul Consiliului Concurenţei, al Curţii de Conturi, precum şi din cadrul celorlalte autorităţi şi instituţii publice enumerate de art. </w:t>
      </w:r>
      <w:r>
        <w:rPr>
          <w:b/>
          <w:bCs/>
          <w:iCs/>
        </w:rPr>
        <w:t xml:space="preserve">2 </w:t>
      </w:r>
      <w:r>
        <w:rPr>
          <w:iCs/>
        </w:rPr>
        <w:t xml:space="preserve">alin. </w:t>
      </w:r>
      <w:r>
        <w:rPr>
          <w:b/>
          <w:bCs/>
          <w:iCs/>
        </w:rPr>
        <w:t xml:space="preserve">(1) </w:t>
      </w:r>
      <w:r>
        <w:rPr>
          <w:iCs/>
        </w:rPr>
        <w:t xml:space="preserve">lit. a) din Legea-cadru nr. </w:t>
      </w:r>
      <w:r>
        <w:rPr>
          <w:b/>
          <w:bCs/>
          <w:iCs/>
        </w:rPr>
        <w:t xml:space="preserve">284/2010 </w:t>
      </w:r>
      <w:r>
        <w:rPr>
          <w:iCs/>
        </w:rPr>
        <w:t>privind salarizarea unitară a personalului plătit din fonduri publice; cu modif. şi compl. ulterioare ; nivelul de salarizare ce va fi avut în vedere în interpretarea şi aplicarea aceleiaşi norme este cel determinat prin aplicarea prevederilor art. 1 alin. (1) şi (2) din O. U.G. nr. 83/2014, aprobată cu modificări şi completări prin Legea nr. 71/2015, cu modificările şi completările ulterioare în cadrul aceleiaşi autorităţi sau instituţii publice.</w:t>
      </w:r>
    </w:p>
    <w:p>
      <w:pPr>
        <w:pStyle w:val="Normal"/>
        <w:ind w:right="0" w:firstLine="720"/>
        <w:jc w:val="both"/>
        <w:rPr/>
      </w:pPr>
      <w:r>
        <w:rPr/>
        <w:t>Prin urmare, având în vedere că s-a făcut dovada că există judecători cărora li s-a recunoscut printr-o hotărâre judecătorească definitivă indemnizaţia de încadrare lunare incluzând coeficientul de multiplicare 19, corespunzător procurorilor din cadrul DNA, DIICOT, urmează ca încadrarea reclamantului să fie calculată prin raportare la aceeaşi indemnizaţie, pentru perioadele solicitate în acțiune, în limitele maxime stabilite de dispoziţiile Legii nr.153/2017.”</w:t>
      </w:r>
    </w:p>
    <w:p>
      <w:pPr>
        <w:pStyle w:val="Normal"/>
        <w:ind w:right="0" w:firstLine="720"/>
        <w:jc w:val="both"/>
        <w:rPr/>
      </w:pPr>
      <w:r>
        <w:rPr>
          <w:rFonts w:eastAsia="Calibri"/>
          <w:lang w:eastAsia="en-US"/>
        </w:rPr>
        <w:t>Raportat la istoricul legislativ în materia salarizării reclamantului, Curtea reţine că potrivit Ordonanţei de urgenţă nr. 27/2006 privind salarizarea şi alte drepturi ale judecătorilor, procurorilor şi altor categorii de personal din sistemul justiţiei „ Art. 1(1) Prezenta ordonanţă de urgenţă reglementează salarizarea şi alte drepturi ale membrilor Consiliului Superior al Magistraturii, ale judecătorilor de la Înalta Curte de Casaţie şi Justiţie, de la curţile de apel, tribunale şi judecătorii, ale procurorilor de la parchetele de pe lângă aceste instanţe, ale magistraţilor-asistenţi de la Înalta Curte de Casaţie şi Justiţie, ale personalului de specialitate juridică asimilat judecătorilor şi procurorilor, potrivit Legii nr. 303/2004 privind statutul judecătorilor şi procurorilor, republicată, cu modificările şi completările ulterioare, precum şi salarizarea şi unele drepturi ale asistenţilor judiciari.(2) Salarizarea şi celelalte drepturi ale judecătorilor şi procurorilor militari se asigură de Ministerul Apărării Naţionale, potrivit prevederilor prezentei ordonanţe de urgenţă şi reglementărilor referitoare la drepturile materiale şi băneşti specifice calităţii de militar activ. Salarizarea şi celelalte drepturi ale procurorilor militari din cadrul Direcţiei Naţionale Anticorupţie se asigură de aceasta, potrivit prevederilor prezentei ordonanţe de urgenţă şi reglementărilor referitoare la drepturile materiale şi băneşti specifice calităţii de militar activ. Art. 2. - Salarizarea şi celelalte drepturi ale judecătorilor, ale procurorilor, ale personalului asimilat acestora şi ale magistraţilor-asistenţi se stabilesc ţinându-se seama de locul şi rolul justiţiei în statul de drept, de răspunderea, complexitatea şi riscurile funcţiei, de incompatibilităţile şi interdicţiile prevăzute de lege pentru aceste categorii de personal. Art. 3. (1) Judecătorii, procurorii, personalul asimilat acestora şi magistraţii-asistenţi au dreptul pentru activitatea desfăşurată la o indemnizaţie de încadrare brută lunară stabilită în raport cu nivelul instanţelor sau parchetelor, cu funcţia deţinută şi cu vechimea în magistratură prevăzută de art. 86 din Legea nr. 303/2004, republicată, cu modificările şi completările ulterioare, pe baza valorii de referinţă sectorială şi a coeficienţilor de multiplicare prevăzuţi în anexa care face parte integrantă din prezenta ordonanţă de urgenţă.( …) Art. 11(1) Procurorii din cadrul Direcţiei Naţionale Anticorupţie şi cei din cadrul Direcţiei de Investigare a Infracţiunilor de Criminalitate Organizată şi Terorism sunt salarizaţi potrivit nr. crt. 6-13 de la lit. A din anexă, în raport cu funcţiile pe care le deţin sau cu care sunt asimilaţi potrivit legii. (…) Art. 40. - Dispoziţiile prezentei ordonanţe de urgenţă se aplică începând cu luna aprilie 2006. ”</w:t>
      </w:r>
    </w:p>
    <w:p>
      <w:pPr>
        <w:pStyle w:val="Normal"/>
        <w:ind w:right="0" w:firstLine="720"/>
        <w:jc w:val="both"/>
        <w:rPr>
          <w:rFonts w:eastAsia="Calibri"/>
          <w:lang w:eastAsia="en-US"/>
        </w:rPr>
      </w:pPr>
      <w:r>
        <w:rPr>
          <w:rFonts w:eastAsia="Calibri"/>
          <w:lang w:eastAsia="en-US"/>
        </w:rPr>
        <w:t>Conform pct 13 din Anexa „ Coeficienţii de multiplicare ”funcţiei de „procuror” din cadrul Parchetului de pe lângă Înalta Curte de Casaţie şi Justiţie îi corespunde coeficientul de multiplicare 19, 000.</w:t>
      </w:r>
    </w:p>
    <w:p>
      <w:pPr>
        <w:pStyle w:val="Normal"/>
        <w:ind w:right="0" w:firstLine="720"/>
        <w:jc w:val="both"/>
        <w:rPr>
          <w:rFonts w:eastAsia="Calibri"/>
          <w:lang w:eastAsia="en-US"/>
        </w:rPr>
      </w:pPr>
      <w:r>
        <w:rPr>
          <w:rFonts w:eastAsia="Calibri"/>
          <w:lang w:eastAsia="en-US"/>
        </w:rPr>
        <w:t>Acelaşi coeficient este prevăzut de pct.14 din Anexa, pentru funcţia de „Preşedinte, Procuror general” din cadrul Curţilor de Apel, Parchetelor de pe lângă Curţile de Apel.</w:t>
      </w:r>
    </w:p>
    <w:p>
      <w:pPr>
        <w:pStyle w:val="Normal"/>
        <w:ind w:right="0" w:firstLine="720"/>
        <w:jc w:val="both"/>
        <w:rPr>
          <w:rFonts w:eastAsia="Calibri"/>
          <w:lang w:eastAsia="en-US"/>
        </w:rPr>
      </w:pPr>
      <w:r>
        <w:rPr>
          <w:rFonts w:eastAsia="Calibri"/>
          <w:lang w:eastAsia="en-US"/>
        </w:rPr>
        <w:t>Ordonanţa de urgenţă nr. 27/2006 a fost abrogata de Legea nr.330/2009 Partea a III-a, Cap.VI, art.48 cu exceptia art.10(8), art.11(4), art.12- 14, art.15(1), art.17, art.22-31, art.31 1 (2), art.32-34 si art.37-41.</w:t>
      </w:r>
    </w:p>
    <w:p>
      <w:pPr>
        <w:pStyle w:val="Normal"/>
        <w:ind w:right="0" w:firstLine="720"/>
        <w:jc w:val="both"/>
        <w:rPr>
          <w:rFonts w:eastAsia="Calibri"/>
          <w:lang w:eastAsia="en-US"/>
        </w:rPr>
      </w:pPr>
      <w:r>
        <w:rPr>
          <w:rFonts w:eastAsia="Calibri"/>
          <w:lang w:eastAsia="en-US"/>
        </w:rPr>
        <w:t>Conform Legii nr.330/2009 „ Art. 1. - (1) Prezenta lege are ca obiect de reglementare stabilirea unui sistem unitar de salarizare pentru personalul din sectorul bugetar plătit din bugetul general consolidat al statului. Art. 12. - (1) Coeficienţii de ierarhizare pe baza cărora se stabilesc salariile de bază, soldele funcţiilor de bază şi indemnizaţiile lunare de încadrare, sporurile şi alte drepturi specifice fiecărui domeniu de activitate sunt prevăzuţi în anexele nr.I...nr. XII.(…) (3) În anul 2010, salariile, soldele şi indemnizaţiile lunare de încadrare se stabilesc potrivit art. 30 alin. (5), fără a fi utilizaţi coeficienţii de ierarhizare prevăzuţi în anexe” . Art .30 (5) „ În anul 2010 , personalul aflat în funcţie la 31 decembrie 2009 îşi va păstra salariul avut, fără a fi afectat de măsurile de reducere a cheltuielilor de personal din luna decembrie 2009, astfel : a) noul salariu de bază, solda funcţiei de bază sau, după caz, indemnizaţia lunară de încadrare va fi cel/cea corespunzătoare funcţiilor din luna decembrie 2009, la care se adaugă sporurile care se introduc în acesta/aceasta potrivit anexelor la prezenta lege; b) sporurile prevăzute în anexele la prezenta lege rămase în afara salariului de bază, soldei funcţiei de bază sau, după caz, indemnizaţiei lunare de încadrare se vor acorda într-un cuantum care să conducă la o valoare egală cu suma calculată pentru luna decembrie 2009. ”</w:t>
      </w:r>
    </w:p>
    <w:p>
      <w:pPr>
        <w:pStyle w:val="Normal"/>
        <w:ind w:right="0" w:firstLine="720"/>
        <w:jc w:val="both"/>
        <w:rPr>
          <w:rFonts w:eastAsia="Calibri"/>
          <w:lang w:eastAsia="en-US"/>
        </w:rPr>
      </w:pPr>
      <w:r>
        <w:rPr>
          <w:rFonts w:eastAsia="Calibri"/>
          <w:lang w:eastAsia="en-US"/>
        </w:rPr>
        <w:t>Conform Legii cadru nr. 284/2010 privind salarizarea unitară a personalului plătit din fonduri publice „ Art. 10. - (1) Salariile de bază, soldele/salariile de funcţie şi indemnizaţiile lunare de încadrare se stabilesc prin înmulţirea coeficienţilor de ierarhizare corespunzători claselor de salarizare cu valoarea de referinţă, rotunjindu-se din leu în leu în favoarea salariatului.(2) Coeficienţii de ierarhizare corespunzători claselor de salarizare sunt următorii: (…) Art. 11. - (1) Clasele de salarizare şi coeficienţii de ierarhizare pe baza cărora se stabilesc salariile de bază, soldele/salariile de funcţie şi indemnizaţiile lunare de încadrare, sporurile şi alte drepturi specifice fiecărui domeniu de activitate corespunzător celor 7 familii ocupaţionale de funcţii bugetare, precum şi pentru  personalul din autorităţile şi instituţiile publice finanţate integral din venituri proprii sunt prevăzuţi în anexele nr. I-VIII. ”</w:t>
      </w:r>
    </w:p>
    <w:p>
      <w:pPr>
        <w:pStyle w:val="Normal"/>
        <w:ind w:right="0" w:firstLine="720"/>
        <w:jc w:val="both"/>
        <w:rPr/>
      </w:pPr>
      <w:r>
        <w:rPr>
          <w:rFonts w:eastAsia="Calibri"/>
          <w:lang w:eastAsia="en-US"/>
        </w:rPr>
        <w:t>Conform Legii nr. 285/2010 privind salarizarea în anul 2011 a personalului plătit din fonduri publice „ Art. 1 (1) Începând cu 1 ianuarie 2011, cuantumul brut al salariilor de bază/soldelor funcţiei de bază/salariilor funcţiei de bază/indemnizaţiilor de încadrare, astfel cum au fost acordate personalului plătit din fonduri publice pentru luna octombrie 2010, se majorează cu 15%. (2) Începând cu 1 ianuarie 2011, cuantumul sporurilor, indemnizaţiilor, compensaţiilor şi al celorlalte elemente ale sistemului de salarizare care fac parte, potrivit legii, din salariul brut, solda lunară brută/salariul lunar brut, indemnizaţia brută de încadrare, astfel cum au fost acordate personalului plătit din fonduri publice pentru luna octombrie 2010, se majorează cu 15%, în măsura în care personalul îşi desfăşoară activitatea în aceleaşi conditii.(…) Art. 4 (…) (2) În anul 2011 nu se aplică valoarea de referinţă şi coeficienţii de ierarhizare corespunzători claselor de salarizare prevăzuţi în anexele la Legea-cadru privind salarizarea unitară a personalului plătit din fonduri publice, denumită în continuare lege-cadru. ”</w:t>
      </w:r>
    </w:p>
    <w:p>
      <w:pPr>
        <w:pStyle w:val="Normal"/>
        <w:ind w:right="0" w:firstLine="720"/>
        <w:jc w:val="both"/>
        <w:rPr>
          <w:rFonts w:eastAsia="Calibri"/>
          <w:lang w:eastAsia="en-US"/>
        </w:rPr>
      </w:pPr>
      <w:r>
        <w:rPr>
          <w:rFonts w:eastAsia="Calibri"/>
          <w:lang w:eastAsia="en-US"/>
        </w:rPr>
        <w:t>Legea nr. 283/2011 privind aprobarea Ordonanţei de urgenţă a Guvernului nr. 80/2010 pentru completarea art.11 din Ordonanţa de urgenţă a Guvernului nr. 37/2008 privind reglementarea unor măsuri financiare în domeniul bugetar 2. După articolul unic, care devine articolul I, se introduce un nou articol, articolul II, cu următorul cuprins:" Art. II. - Pentru anul 2012 se aprobă instituirea unor măsuri financiare în domeniul bugetar, după cum urmează: Art. 1. - (1) În anul 2012, cuantumul brut al salariilor de bază/soldelor funcţiei de bază/salariilor funcţiei de bază/indemnizaţiilor de încadrare se menţine la acelaşi nivel cu cel ce se acordă personalului plătit din fonduri publice pentru luna decembrie 2011.(…)Art. 4(2) În anul 2012 nu se aplică valoarea de referinţă şi coeficienţii de ierarhizare corespunzători claselor de salarizare prevăzuţi în anexele la Legea-cadru nr. 284/2010, cu modificările ulterioare. ”</w:t>
      </w:r>
    </w:p>
    <w:p>
      <w:pPr>
        <w:pStyle w:val="Normal"/>
        <w:ind w:right="0" w:firstLine="720"/>
        <w:jc w:val="both"/>
        <w:rPr>
          <w:rFonts w:eastAsia="Calibri"/>
          <w:lang w:eastAsia="en-US"/>
        </w:rPr>
      </w:pPr>
      <w:r>
        <w:rPr>
          <w:rFonts w:eastAsia="Calibri"/>
          <w:lang w:eastAsia="en-US"/>
        </w:rPr>
        <w:t>Ordonanţa de urgenţă nr. 19/2012 privind aprobarea unor măsuri pentru recuperarea reducerilor salariale „ Art. 1. - (1) Cuantumul brut al salariilor de bază/soldelor funcţiei de bază/salariilor funcţiei de bază/indemnizaţiilor de încadrare de care beneficiază personalul plătit din fonduri publice se majorează în două etape, astfel: a) cu 8%, începând cu data de 1 iunie 2012, faţă de nivelul acordat pentru luna mai 2012; b) cu 7,4%, începând cu data de 1 decembrie 2012, faţă de nivelul acordat pentru luna noiembrie 2012. ”</w:t>
      </w:r>
    </w:p>
    <w:p>
      <w:pPr>
        <w:pStyle w:val="Normal"/>
        <w:ind w:right="0" w:firstLine="720"/>
        <w:jc w:val="both"/>
        <w:rPr>
          <w:rFonts w:eastAsia="Calibri"/>
          <w:lang w:eastAsia="en-US"/>
        </w:rPr>
      </w:pPr>
      <w:r>
        <w:rPr>
          <w:rFonts w:eastAsia="Calibri"/>
          <w:lang w:eastAsia="en-US"/>
        </w:rPr>
        <w:t>Ordonanţa de urgenţă nr. 84/2012 privind stabilirea salariilor personalului din sectorul bugetar în anul 2013, prorogarea unor termene din acte normative, precum şi unele măsuri fiscal-bugetare „ Art. 1. - În anul 2013 se menţin în plată la nivelul acordat pentru luna decembrie 2012 drepturile prevăzute la art. 1 şi art. 3-5 din Ordonanţa de urgenţă a Guvernului nr. 19/2012 privind aprobarea unor măsuri pentru recuperarea reducerilor salariale, aprobată cu modificări prin Legea nr. 182/2012.Art. 2. - Prevederile art. 7 alin. (1) din Ordonanţa de urgenţă a Guvernului nr. 19/2012, aprobată cu modificări prin Legea nr. 182/2012, şi ale art. 1 alin. (4) şi (5), art. 2, 3, art. 4 alin. (1) şi (2), art. 6, 7, 9, 11, art. 12 alin. (2) şi art. 13 ale art. II din Ordonanţa de urgenţă a Guvernului nr. 80/2010 pentru completarea art. 11 din Ordonanţa de urgenţă a Guvernului nr. 37/2008 privind reglementarea unor măsuri financiare în domeniul bugetar, precum şi pentru instituirea altor măsuri financiare în domeniul bugetar, aprobată cu modificări şi completări prin Legea nr. 283/2011, se aplică în mod corespunzător şi în anul 2013. ”</w:t>
      </w:r>
    </w:p>
    <w:p>
      <w:pPr>
        <w:pStyle w:val="Normal"/>
        <w:ind w:right="0" w:firstLine="720"/>
        <w:jc w:val="both"/>
        <w:rPr>
          <w:rFonts w:eastAsia="Calibri"/>
          <w:lang w:eastAsia="en-US"/>
        </w:rPr>
      </w:pPr>
      <w:r>
        <w:rPr>
          <w:rFonts w:eastAsia="Calibri"/>
          <w:lang w:eastAsia="en-US"/>
        </w:rPr>
        <w:t>Ordonanţa de urgenţă nr. 103/2013 privind salarizarea personalului plătit din fonduri publice în anul 2014, precum şi alte măsuri în domeniul cheltuielilor publice „ Art. 1. (1) În anul 2014, cuantumul brut al salariilor de bază/soldelor funcţiei de bază/salariilor funcţiei de bază/indemnizaţiilor de încadrare de care beneficiază personalul plătit din fonduri publice se menţine la acelaşi nivel cu cel ce se acordă pentru luna decembrie 2013 în măsura în care personalul îşi desfăşoară activitatea în aceleaşi condiţii şi nu se aplică valoarea de referinţă şi coeficienţii de ierarhizare corespunzători claselor de salarizare prevăzuţi în anexele la Legea-cadru nr. 284/2010 privind salarizarea unitară a personalului plătit din fonduri publice, cu modificările ulterioare .”</w:t>
      </w:r>
    </w:p>
    <w:p>
      <w:pPr>
        <w:pStyle w:val="Normal"/>
        <w:ind w:right="0" w:firstLine="720"/>
        <w:jc w:val="both"/>
        <w:rPr/>
      </w:pPr>
      <w:r>
        <w:rPr>
          <w:rFonts w:eastAsia="Calibri"/>
          <w:lang w:eastAsia="en-US"/>
        </w:rPr>
        <w:t>Ordonanţa de urgenţă nr. 83/2014 privind salarizarea personalului plătit din fonduri publice în anul 2015, precum şi alte măsuri în domeniul cheltuielilor publice „ Art. 1. (1) În anul 2015, cuantumul brut al salariilor de bază/soldelor funcţiei de bază/salariilor funcţiei de bază/indemnizaţiilor de încadrare de care beneficiază personalul plătit din fonduri publice se menţine la acelaşi nivel cu cel ce se acordă pentru luna decembrie 2014 în măsura în care personalul îşi desfăşoară activitatea în aceleaşi condiţii şi nu se aplică valoarea de referinţă şi coeficienţii de ierarhizare corespunzători claselor de salarizare prevăzuţi în anexele la Legea-cadru nr. 284/2010 privind salarizarea unitară a personalului plătit din fonduri publice, cu modificările ulterioare. ”</w:t>
      </w:r>
    </w:p>
    <w:p>
      <w:pPr>
        <w:pStyle w:val="Normal"/>
        <w:ind w:right="0" w:firstLine="720"/>
        <w:jc w:val="both"/>
        <w:rPr>
          <w:rFonts w:eastAsia="Calibri"/>
          <w:lang w:eastAsia="en-US"/>
        </w:rPr>
      </w:pPr>
      <w:r>
        <w:rPr>
          <w:rFonts w:eastAsia="Calibri"/>
          <w:lang w:eastAsia="en-US"/>
        </w:rPr>
        <w:t>Ordonanţa de urgenţă nr. 57/2015 privind salarizarea personalului plătit din fonduri publice în anul 2016, prorogarea unor termene, precum şi unele măsuri fiscal-bugetare „ 1(1) În anul 2016, cuantumul brut al salariilor de bază/soldelor funcţiei de bază/salariilor funcţiei de bază/indemnizaţiilor de încadrare de care beneficiază personalul plătit din fonduri publice se menţine la acelaşi nivel cu cel ce se acordă pentru luna decembrie 2015, în măsura în care personalul îşi desfăşoară activitatea în aceleaşi condiţii şi nu se aplică valoarea de referinţă şi coeficienţii de ierarhizare corespunzători claselor de salarizare prevăzuţi în anexele la Legea-cadru nr. 284/2010 privind salarizarea unitară a personalului plătit din fonduri publice, cu modificările şi completările ulterioare”.</w:t>
      </w:r>
    </w:p>
    <w:p>
      <w:pPr>
        <w:pStyle w:val="Normal"/>
        <w:ind w:right="0" w:firstLine="720"/>
        <w:jc w:val="both"/>
        <w:rPr>
          <w:rFonts w:eastAsia="Calibri"/>
          <w:lang w:eastAsia="en-US"/>
        </w:rPr>
      </w:pPr>
      <w:r>
        <w:rPr>
          <w:rFonts w:eastAsia="Calibri"/>
          <w:lang w:eastAsia="en-US"/>
        </w:rPr>
        <w:t>Ordonanţa de urgenţă nr. 9/2017 privind unele măsuri bugetare în anul 2017, prorogarea unor termene, precum şi modificarea şi completarea unor acte normative „ Art. 1. - (1) În perioada 1 martie-31 decembrie 2017, se menţin în plată la nivelul acordat pentru luna februarie 2017 cuantumul brut al salariilor de bază/soldelor funcţiei de bază/salariilor funcţiei de bază/indemnizaţiilor de încadrare lunară, precum şi cuantumul sporurilor, indemnizaţiilor, compensaţiilor şi al celorlalte elemente ale sistemului de salarizare care fac parte, potrivit legii, din salariul brut, solda lunară brută/salariul lunar brut, indemnizaţia brută de încadrare de care beneficiază personalul plătit din fonduri publice, în măsura în care îşi desfăşoară activitatea în aceleaşi condiţii şi nu se aplică valoarea de referinţă şi coeficienţii de ierarhizare corespunzători claselor de salarizare prevăzuţi în anexele la Legea-cadru nr. 284/2010 privind salarizarea unitară a personalului plătit din fonduri publice, cu modificările şi completările ulterioare. ”</w:t>
      </w:r>
    </w:p>
    <w:p>
      <w:pPr>
        <w:pStyle w:val="Normal"/>
        <w:ind w:right="0" w:firstLine="720"/>
        <w:jc w:val="both"/>
        <w:rPr>
          <w:rFonts w:eastAsia="Calibri"/>
          <w:lang w:eastAsia="en-US"/>
        </w:rPr>
      </w:pPr>
      <w:r>
        <w:rPr>
          <w:rFonts w:eastAsia="Calibri"/>
          <w:lang w:eastAsia="en-US"/>
        </w:rPr>
        <w:t>Din reglementările enunţate anterior reiese ca în perioada 2010-2017 nu s-au aplicat nici coeficienţii de ierarhizare prevăzuţi de Legea nr. 330/2009 şi nici valoarea de referinţă şi coeficienţii de ierarhizare corespunzători claselor de salarizare prevăzuţi în anexele la Legea-cadru nr. 284/2010.</w:t>
      </w:r>
    </w:p>
    <w:p>
      <w:pPr>
        <w:pStyle w:val="Normal"/>
        <w:ind w:right="0" w:firstLine="720"/>
        <w:jc w:val="both"/>
        <w:rPr>
          <w:rFonts w:eastAsia="Calibri"/>
          <w:lang w:eastAsia="en-US"/>
        </w:rPr>
      </w:pPr>
      <w:r>
        <w:rPr>
          <w:rFonts w:eastAsia="Calibri"/>
          <w:lang w:eastAsia="en-US"/>
        </w:rPr>
        <w:t>La data de 01.07.2017 a intrat in vigoare Legea-cadru nr. 153/2017 privind salarizarea personalului plătit din fonduri publice care prin art. 44 a abrogat Legea-cadru nr. 284/2010 si care a reglementat conform art. 12. Modul de stabilire a salariilor de bază, soldelor de funcţie/salariilor de funcţie, a indemnizaţiilor de încadrare şi a indemnizaţiilor lunare (1) Salariile de bază, soldele de funcţie/salariile de funcţie, soldele de grad/salariile gradului profesional deţinut, gradaţiile, soldele de comandă/salariile de comandă, indemnizaţiile de încadrare şi indemnizaţiile lunare se stabilesc potrivit prevederilor prezentei legi şi anexelor nr. I-IX, astfel încât, împreună cu celelalte elemente ale sistemului de salarizare, să se încadreze în fondurile aprobate de la bugetul de stat, bugetul asigurărilor sociale de stat, bugetele locale şi bugetele fondurilor speciale pentru cheltuielile de personal, în vederea realizării obiectivelor, programelor şi proiectelor stabilite. (2) Începând cu anul 2023, salariile de bază, soldele de funcţie/salariile de funcţie şi indemnizaţiile de încadrare se stabilesc prin înmulţirea coeficienţilor prevăzuţi în anexele nr. I-VIII cu salariul de bază minim brut pe ţară garantat în plată în vigoare. ”</w:t>
      </w:r>
    </w:p>
    <w:p>
      <w:pPr>
        <w:pStyle w:val="Normal"/>
        <w:ind w:right="0" w:firstLine="720"/>
        <w:jc w:val="both"/>
        <w:rPr/>
      </w:pPr>
      <w:r>
        <w:rPr>
          <w:rFonts w:eastAsia="Calibri"/>
          <w:lang w:eastAsia="en-US"/>
        </w:rPr>
        <w:t>Potrivit art. 38. „Aplicarea legii (1) Prevederile prezentei legi se aplică etapizat, începând cu data de 1 iulie 2017. (2) Începând cu data de 1 iulie 2017: a) se menţin în plată la nivelul acordat pentru luna iunie 2017, până la 31 decembrie 2017, cuantumul brut al salariilor de bază, soldelor de funcţie/salariilor de funcţie şi indemnizaţiilor de încadrare, precum şi cuantumul sporurilor, indemnizaţiilor, compensaţiilor, primelor şi al celorlalte elemente ale sistemului de salarizare care fac parte, potrivit legii, din salariul brut lunar, indemnizaţia brută de încadrare, solda lunară de care beneficiază personalul plătit din fonduri publice, în măsura în care personalul ocupă aceeaşi funcţie şi îşi desfăşoară activitatea în aceleaşi condiţii; (…) ( 3) Începând cu data de 1 ianuarie 2018 se acordă următoarele creşteri salariale: a) cuantumul brut al salariilor de bază, soldelor de funcţie/salariilor de funcţie, indemnizaţiilor de încadrare, precum şi cuantumul brut al sporurilor, indemnizaţiilor, compensaţiilor, primelor, premiilor şi al celorlalte elemente ale sistemului de salarizare care fac parte, potrivit legii, din salariul lunar brut, indemnizaţia brută de încadrare, solda lunară/salariul lunar de care beneficiază personalul plătit din fonduri publice se majorează cu 25% faţă de nivelul acordat pentru luna decembrie 2017, fără a depăşi limita prevăzută la art. 25, în măsura în care personalul respectiv îşi desfăşoară activitatea în aceleaşi condiţii; (4) În perioada 2019-2022 se va acorda anual o creştere a salariilor de bază, soldelor de funcţie/salariilor de funcţie, indemnizaţiilor de încadrare, fiecare creştere reprezentând 1/4 din diferenţa dintre salariul de bază, solda de funcţie/salariul de funcţie, indemnizaţia de încadrare prevăzute de lege pentru anul 2022 şi cel/cea din luna decembrie 2018. Creşterea respectivă şi data de aplicare se stabilesc prin legea anuală a bugetului de stat cu respectarea prevederilor art. 6 lit. h) (...) (6) În situaţia în care, începând cu 1 ianuarie 2018, salariile de bază, soldele de funcţie/salariile de funcţie, indemnizaţiile de încadrare sunt mai mari decât cele stabilite potrivit prezentei legi pentru anul 2022 sau devin ulterior mai mari ca urmare a majorărilor salariale reglementate, se acordă cele stabilite pentru anul 2022. (6 ind.1) Începând cu luna mai 2018, în situaţia în care veniturile salariale nete acordate potrivit prevederilor prezentei legi sunt mai mici decât cele aferente lunii februarie 2018, se acordă o sumă compensatorie cu caracter tranzitoriu care să acopere diferenţa, în măsura în care persoana îşi desfăşoară activitatea în aceleaşi condiţii. Suma compensatorie este cuprinsă în salariul lunar şi nu se ia în calcul la determinarea limitei prevăzute la art. 25. Suma compensatorie se determină lunar pe perioada în care se îndeplinesc condiţiile pentru acordarea acesteia. ”</w:t>
      </w:r>
    </w:p>
    <w:p>
      <w:pPr>
        <w:pStyle w:val="Normal"/>
        <w:ind w:right="0" w:firstLine="720"/>
        <w:jc w:val="both"/>
        <w:rPr>
          <w:rFonts w:eastAsia="Calibri"/>
          <w:lang w:eastAsia="en-US"/>
        </w:rPr>
      </w:pPr>
      <w:r>
        <w:rPr>
          <w:rFonts w:eastAsia="Calibri"/>
          <w:lang w:eastAsia="en-US"/>
        </w:rPr>
        <w:t>Astfel, raportat la aceste reglementari, instanta retine că si după data de 01.07.2017 pană in 2023 rămane acelasi mod de determinare al indemnizatiilor pentru judecători şi procurori prin înmulţirea valorii de referinţă sectoriale (stabilită prin lege) cu un coeficient de multiplicare variabil (astfel cum a fost determinat, raportat la fiecare functie, în anexa la O.U.G. 27/2006), stabilit potrivit vechimii (art. 3 alin. 1 O.U.G. 27/2006 ), cu aplicarea etapizata a dispozitiilor din Legea 153/2017. Prin „vechime” se înţelege perioada în care au fost deţinute diferite funcţii juridice (pct. 2 din Nota de la finalul O.U.G. 27/2006, cu trimitere la art. 86 din Legea nr. 303/2004 privind statutul judecătorilor şi procurorilor .</w:t>
      </w:r>
    </w:p>
    <w:p>
      <w:pPr>
        <w:pStyle w:val="Normal"/>
        <w:ind w:right="0" w:firstLine="720"/>
        <w:jc w:val="both"/>
        <w:rPr>
          <w:rFonts w:eastAsia="Calibri"/>
          <w:lang w:eastAsia="en-US"/>
        </w:rPr>
      </w:pPr>
      <w:r>
        <w:rPr>
          <w:rFonts w:eastAsia="Calibri"/>
          <w:lang w:eastAsia="en-US"/>
        </w:rPr>
        <w:t>Instanta mai retine ca prin Legea nr. 71/2015, prin aprobarea Ordonanţei de urgenţă a Guvernului nr. 83/2014 privind salarizarea personalului plătit din fonduri publice în anul 2015, precum şi alte măsuri în domeniul cheltuielilor publice, s-a introdus aliniatul 5 ind.1 la art.1 din O.U.G. nr. 83/2014 cu următorul cuprins: „(5 1 ) Prin excepţie de la prevederile alin. (1) şi (2), personalul din aparatul de lucru al Parlamentului şi din celelalte instituţii şi autorităţi publice, salarizat la acelaşi nivel, precum şi personalul din cadrul Consiliului Concurenţei şi al Curţii de Conturi, inclusiv personalul prevăzut la art. 5 din aceste instituţii, care beneficiază de un cuantum al salariilor de bază şi al sporurilor mai mici decât cele stabilite la nivel maxim în cadrul aceleiaşi instituţii sau autorităţi publice pentru fiecare funcţie/grad/treaptă şi gradaţie, va fi salarizat la nivelul maxim dacă îşi desfăşoară activitatea în aceleaşi condiţii.", astfel ca actul normativ mai sus mentionat a fost reglementat astfel cu scopul de a elimina anomaliile legate de aplicarea dispoziţiilor legilor de salarizare, care au determinat în domeniul justitiei diferenţe de salarizare între  persoane care desfasoară aceeaşi activitate, printre care şi cea care rezultă din aplicarea creşterilor salariale în funcţie de valoarea de referinţa sectorială sau de coeficientul de multiplicare.</w:t>
      </w:r>
    </w:p>
    <w:p>
      <w:pPr>
        <w:pStyle w:val="Normal"/>
        <w:ind w:right="0" w:firstLine="720"/>
        <w:jc w:val="both"/>
        <w:rPr/>
      </w:pPr>
      <w:r>
        <w:rPr>
          <w:rFonts w:eastAsia="Calibri"/>
          <w:lang w:eastAsia="en-US"/>
        </w:rPr>
        <w:t>Înalta Curte de Casaţie şi Justiţie, în complet pentru dezlegarea unor chestiuni de drept, prin decizia nr. 23 din data de 26 septembrie 2016, pronunţată în dosarul nr. 1733/1/2016, publicată în Monitorul Oficial al României, Partea I, nr. 899 din 9 noiembrie 2016, obligatorie de la această dată pentru instanţe, în privinţa chestiunii de drept dezlegate, potrivit dispoziţiilor art. 521 alin. (3) din Codul de procedură civilă, a stabilit că: „În interpretarea şi aplicarea dispoziţiilor art. 1 alin. (5 ind. 1) din Ordonanţa de urgenţă a Guvernului nr. 83/2014 privind salarizarea personalului plătit din fonduri publice în anul 2015, precum şi alte măsuri în domeniul cheltuielilor publice, aprobată cu modificări şi completări prin Legea nr. 71/2015, cu modificările şi completările ulterioare, sintagma „salarizat la acelaşi nivel” are în vedere personalul din cadrul aparatului de lucru al Parlamentului, personalul din cadrul Consiliului Concurenţei, al Curţii de Conturi, precum şi din cadrul celorlalte autorităţi şi instituţii publice enumerate de art. 2 alin. (1) lit. a) din Legea-cadru nr. 284/2010 privind salarizarea unitară a personalului plătit din fonduri publice, cu modificările şi completările ulterioare; nivelul de salarizare ce va fi avut în vedere în interpretarea şi aplicarea aceleiaşi norme este cel determinat prin aplicarea prevederilor art. 1 alin. (1) şi (2) din Ordonanţa de urgenţă a Guvernului nr. 83/2014, aprobată cu modificări şi completări prin Legea nr. 71/2015, cu modificările şi completările ulterioare, în cadrul aceleiaşi autorităţi sau instituţii publice”.</w:t>
      </w:r>
    </w:p>
    <w:p>
      <w:pPr>
        <w:pStyle w:val="Normal"/>
        <w:ind w:right="0" w:firstLine="720"/>
        <w:jc w:val="both"/>
        <w:rPr>
          <w:rFonts w:eastAsia="Calibri"/>
          <w:lang w:eastAsia="en-US"/>
        </w:rPr>
      </w:pPr>
      <w:r>
        <w:rPr>
          <w:rFonts w:eastAsia="Calibri"/>
          <w:lang w:eastAsia="en-US"/>
        </w:rPr>
        <w:t>De asemenea, în ceea ce priveşte discriminarea derivată din diferenţe salariale, pentru înlăturarea acesteia, legiuitorul a adoptat Ordonanţa de urgență nr. 20 din 8 iunie 2016 pentru modificarea şi completarea Ordonanţei de urgenţă a Guvernului nr. 57/2015 privind salarizarea personalului plătit din fonduri publice în anul 2016, prorogarea unor termene, precum şi unele măsuri fiscal-bugetare şi pentru modificarea şi completarea unor acte normative.</w:t>
      </w:r>
    </w:p>
    <w:p>
      <w:pPr>
        <w:pStyle w:val="Normal"/>
        <w:ind w:right="0" w:firstLine="720"/>
        <w:jc w:val="both"/>
        <w:rPr>
          <w:rFonts w:eastAsia="Calibri"/>
          <w:lang w:eastAsia="en-US"/>
        </w:rPr>
      </w:pPr>
      <w:r>
        <w:rPr>
          <w:rFonts w:eastAsia="Calibri"/>
          <w:lang w:eastAsia="en-US"/>
        </w:rPr>
        <w:t>În ceea ce priveşte aplicabilitatea dispoziţiilor Ordonanţei de urgență nr. 20 din 8 iunie 2016 pentru modificarea şi completarea Ordonanţei de urgenţă a Guvernului nr. 57/2015 privind salarizarea personalului plătit din fonduri publice în anul 2016, prorogarea unor termene, precum şi unele măsuri fiscal-bugetare şi pentru modificarea şi completarea unor acte normative, în şedinţa din 23 august 2016, Plenul Consiliului Superior al Magistraturii, cu majoritate de voturi, a adoptat o hotărâre de principiu prin care recomandă ordonatorilor de credite ca în interpretarea acestor dispoziţii legale să aibă în vedere principiul de drept menţionat în expunerea de motive a OUG nr. 20/2016 şi în cuprinsul art. 31 din O.U.G. nr. 57/2015, aşa cum a fost modificată şi completată prin O.U.G nr. 20/2016, în sensul eliminării discrepanţelor salariale existente în sistemul judiciar, astfel încât personalul care beneficiază de aceleaşi condiţii să fie salarizat la nivelul maxim al salariului de bază/indemnizaţiei de încadrare din cadrul instituţiei sau autorităţii în care îşi desfăşoară activitatea.</w:t>
      </w:r>
    </w:p>
    <w:p>
      <w:pPr>
        <w:pStyle w:val="Normal"/>
        <w:ind w:right="0" w:firstLine="720"/>
        <w:jc w:val="both"/>
        <w:rPr>
          <w:rFonts w:eastAsia="Calibri"/>
          <w:lang w:eastAsia="en-US"/>
        </w:rPr>
      </w:pPr>
      <w:r>
        <w:rPr>
          <w:rFonts w:eastAsia="Calibri"/>
          <w:lang w:eastAsia="en-US"/>
        </w:rPr>
        <w:t>Ulterior, a fost adoptată OUG nr. 43/2016 pentru modificarea şi completarea Ordonanţei de urgenţă a Guvernului nr. 57/2015 privind salarizarea personalului plătit din fonduri publice în anul 2016, prorogarea unor termene, precum şi unele măsuri fiscal-bugetare pentru modificarea şi completarea unor acte normative şi pentru aplicarea unitară a dispoziţiilor legale, publicată la data de 31.08.2016, în Monitorul oficial al României nr. 673 din 31 august 2016.</w:t>
      </w:r>
    </w:p>
    <w:p>
      <w:pPr>
        <w:pStyle w:val="Normal"/>
        <w:ind w:right="0" w:firstLine="720"/>
        <w:jc w:val="both"/>
        <w:rPr>
          <w:rFonts w:eastAsia="Calibri"/>
          <w:lang w:eastAsia="en-US"/>
        </w:rPr>
      </w:pPr>
      <w:r>
        <w:rPr>
          <w:rFonts w:eastAsia="Calibri"/>
          <w:lang w:eastAsia="en-US"/>
        </w:rPr>
        <w:t>Prin acest act normativ, la articolul 31 din OUG nr. 57/2015, după alineatul (1) Guvernul a introdus patru noi alineate, alineatele (11)-(14), cu următorul cuprins:,,(11 ) Sintagma «fiecare funcţie» prevăzută la alin. (1) reprezintă funcţiile prevăzute in aceeaşi anexă, capitol, literă, număr şi număr curent in Legea-cadru nr. 284/2010 privind salarizarea unitară a personalului plătit din fonduri publice, cu modificările şi completările ulterioare.</w:t>
      </w:r>
    </w:p>
    <w:p>
      <w:pPr>
        <w:pStyle w:val="Normal"/>
        <w:ind w:right="0" w:firstLine="720"/>
        <w:jc w:val="both"/>
        <w:rPr>
          <w:rFonts w:eastAsia="Calibri"/>
          <w:lang w:eastAsia="en-US"/>
        </w:rPr>
      </w:pPr>
      <w:r>
        <w:rPr>
          <w:rFonts w:eastAsia="Calibri"/>
          <w:lang w:eastAsia="en-US"/>
        </w:rPr>
        <w:t>(12 ) În aplicarea prevederilor alin. (1), pentru stabilirea nivelului maxim al salariului de bază/indemnizaţiei de încadrare din cadrul instituţiei sau autorităţii publice respective, se iau în considerare numai drepturile salariate prevăzute în actele normative privind salarizarea personalului plătit din fonduri publice şi nu se includ drepturile stabilite sau recunoscute prin hotărâri judecătoreşti. (13 ) În aplicarea prevederilor alin. (1), prin instituţie sau autoritate publică se înţelege acea instituţie sau autoritate publică cu personalitate juridică care are patrimoniu propriu, buget propriu de venituri şi cheltuieli, conduce contabilitate proprie, iar conducătorul acesteia are calitatea de ordonator de credite, în cazul instituţiilor sau autorităţilor publice aflate în subordinea aceluiaşi ordonator de credite, având acelaşi scop, îndeplinind aceleaşi funcţii şi atribuţii, aflate la acelaşi nivel de subordonare din punct de vedere financiar, nivelul maxim al salariului de bază indemnizaţiei de încadrare se va stabili la nivelul maxim aflat in plată din cadrul tuturor acestor instituţii sau autorităţi publice subordonate"</w:t>
      </w:r>
    </w:p>
    <w:p>
      <w:pPr>
        <w:pStyle w:val="Normal"/>
        <w:ind w:right="0" w:firstLine="720"/>
        <w:jc w:val="both"/>
        <w:rPr>
          <w:rFonts w:eastAsia="Calibri"/>
          <w:lang w:eastAsia="en-US"/>
        </w:rPr>
      </w:pPr>
      <w:r>
        <w:rPr>
          <w:rFonts w:eastAsia="Calibri"/>
          <w:lang w:eastAsia="en-US"/>
        </w:rPr>
        <w:t>Prin aceste texte introduse prin OUG nr. 43/2016, în cadrul aplicării OUG nr.57/2015 (astfel cum a fost iniţial modificată prin OUG nr. 20/2016), Guvernul a urmărit să elimine din procesul de egalizare a indemnizaţiilor, raportarea la indemnizaţiile stabilite în baza legii, prin hotărâre judecătorească.</w:t>
      </w:r>
    </w:p>
    <w:p>
      <w:pPr>
        <w:pStyle w:val="Normal"/>
        <w:ind w:right="0" w:firstLine="720"/>
        <w:jc w:val="both"/>
        <w:rPr/>
      </w:pPr>
      <w:r>
        <w:rPr>
          <w:rFonts w:eastAsia="Times New Roman"/>
          <w:lang w:eastAsia="en-US"/>
        </w:rPr>
        <w:t xml:space="preserve"> </w:t>
      </w:r>
      <w:r>
        <w:rPr>
          <w:rFonts w:eastAsia="Calibri"/>
          <w:lang w:eastAsia="en-US"/>
        </w:rPr>
        <w:t>Prin Decizia Curţii Constituţionale nr. 794/15.12.2016, publicată în Monitorul Oficial nr. 1029 din 21 decembrie 2016, a fost admisă excepţia de neconstituţionalitate şi s-a constatat că dispoziţiile art. 31 alin. (12) din Ordonanţa de urgenţă a Guvernului nr. 57/2015 privind salarizarea personalului plătit din fonduri publice în anul 2016, prorogarea unor termene, precum şi unele măsuri fiscal-bugetare sunt neconstituţionale.</w:t>
      </w:r>
    </w:p>
    <w:p>
      <w:pPr>
        <w:pStyle w:val="Normal"/>
        <w:ind w:right="0" w:firstLine="720"/>
        <w:jc w:val="both"/>
        <w:rPr>
          <w:rFonts w:eastAsia="Calibri"/>
          <w:lang w:eastAsia="en-US"/>
        </w:rPr>
      </w:pPr>
      <w:r>
        <w:rPr>
          <w:rFonts w:eastAsia="Calibri"/>
          <w:lang w:eastAsia="en-US"/>
        </w:rPr>
        <w:t>Aşadar, Curtea  a constatat că, potrivit Ordonanţei de urgenţă a Guvernului nr. 20/2016, începând cu luna august 2016, pentru fiecare funcţie, grad/treaptă, gradaţie, vechime în funcţie sau în specialitate, salariul de bază sau indemnizaţia de încadrare urma să fie acelaşi, respectiv aceeaşi, stabilită la nivel maxim.</w:t>
      </w:r>
    </w:p>
    <w:p>
      <w:pPr>
        <w:pStyle w:val="Normal"/>
        <w:ind w:right="0" w:firstLine="720"/>
        <w:jc w:val="both"/>
        <w:rPr>
          <w:rFonts w:eastAsia="Calibri"/>
          <w:lang w:eastAsia="en-US"/>
        </w:rPr>
      </w:pPr>
      <w:r>
        <w:rPr>
          <w:rFonts w:eastAsia="Calibri"/>
          <w:lang w:eastAsia="en-US"/>
        </w:rPr>
        <w:t>Prin aceeaşi decizie, Curtea a statuat în sensul că pentru respectarea principiului constituţional al egalităţii în faţa legii, nivelul maxim al salariului de bază/indemnizaţiei de încadrare, prevăzut de Ordonanţa de urgenţă a Guvernului nr. 57/2015, corespunzător fiecărei funcţii, grad/treaptă, gradaţie, vechime în funcţie sau în specialitate, trebuie să includă majorările (indexările) stabilite prin hotărâri judecătoreşti şi să fie acelaşi pentru tot personalul salarizat potrivit dispoziţiilor de lege aplicabile în cadrul aceleiaşi categorii profesionale, respectiv familii ocupaţionale prevăzute de Legea-cadru nr. 284/2010 privind salarizarea unitară a personalului plătit din fonduri publice.</w:t>
      </w:r>
    </w:p>
    <w:p>
      <w:pPr>
        <w:pStyle w:val="Normal"/>
        <w:ind w:right="0" w:firstLine="720"/>
        <w:jc w:val="both"/>
        <w:rPr>
          <w:rFonts w:eastAsia="Calibri"/>
          <w:lang w:eastAsia="en-US"/>
        </w:rPr>
      </w:pPr>
      <w:r>
        <w:rPr>
          <w:rFonts w:eastAsia="Calibri"/>
          <w:lang w:eastAsia="en-US"/>
        </w:rPr>
        <w:t>Curtea Constituţională a concluzionat în sensul că, efectul neconstituţionalităţii art. 31 alin. (12) din Ordonanţa de urgenţă a Guvernului nr. 57/2015 (introdus prin Ordonanţa de urgenţă a Guvernului nr. 43/2016), este acela că ,,nivelul maxim al salariului de bază/indemnizaţiei de încadrare", la care se face egalizarea prevăzută de art. 31 alin. (1) din Ordonanţa de urgenţă a Guvernului nr. 57/2015 (introdus prin Ordonanţa de urgenţă a Guvernului nr. 20/2016), trebuie să includă şi drepturile stabilite sau recunoscute prin hotărâri judecătoreşti. Aşadar, personalul care beneficiază de aceleaşi condiţii trebuie să fie salarizat la nivelul maxim al salariului de bază/indemnizaţiei de încadrare din cadrul aceleiaşi categorii profesionale şi familii ocupaţionale, indiferent de instituţie sau autoritate publică.</w:t>
      </w:r>
    </w:p>
    <w:p>
      <w:pPr>
        <w:pStyle w:val="Normal"/>
        <w:ind w:right="0" w:firstLine="720"/>
        <w:jc w:val="both"/>
        <w:rPr>
          <w:rFonts w:eastAsia="Calibri"/>
          <w:lang w:eastAsia="en-US"/>
        </w:rPr>
      </w:pPr>
      <w:r>
        <w:rPr>
          <w:rFonts w:eastAsia="Calibri"/>
          <w:lang w:eastAsia="en-US"/>
        </w:rPr>
        <w:t>De asemenea, prin decizia nr. 36/2018 a ICCJ- Completul pentru dezlegarea unor chestiuni de drept- s-a stabilit că “În interpretarea şi aplicarea dispoziţiilor art. 1 alin.5 ind.1) din Ordonanţa de urgenţă a Guvernului nr. 83/2014 privind salarizarea personalului plătit din fonduri publice în anul 2015, precum şi alte măsuri în domeniul cheltuielilor publice, aprobată cu modificări şi completări prin Legea nr. 71/2015, cu modificările şi completările ulterioare, soluţia egalizării indemnizaţiilor la nivel maxim are în vedere şi majorările şi indexările recunoscute prin hotărâri judecătoreşti unor magistraţi sau membri ai personalului auxiliar, indiferent dacă ordonatorul de credite a emis sau nu ordine de salarizare corespunzătoare.</w:t>
      </w:r>
    </w:p>
    <w:p>
      <w:pPr>
        <w:pStyle w:val="Normal"/>
        <w:ind w:right="0" w:firstLine="720"/>
        <w:jc w:val="both"/>
        <w:rPr>
          <w:rFonts w:eastAsia="Calibri"/>
          <w:lang w:eastAsia="en-US"/>
        </w:rPr>
      </w:pPr>
      <w:r>
        <w:rPr>
          <w:rFonts w:eastAsia="Calibri"/>
          <w:lang w:eastAsia="en-US"/>
        </w:rPr>
        <w:t>Revenind la considerentele anterior expuse, deduse din reglementarile legislative enuntate, instanta reţine că în masura în care, în cadrul familiei ocupaţionale justiţie existau la data de intrarii în vigoare a Legii nr. 330/2009, magistrati judecători care deţin aceeaşi funcţie cu a reclamanţilor şi indeplinesc aceleasi condiţii de vechime cu ale acestora, si care beneficiau de o indemnizaţie de încadrare stabilită prin raportare la un coeficient de multiplicare 19,000, indiferent dacă ordonatorul de credite a emis sau nu ordine de salarizare corespunzatoare, indemnizaţia de încadrare pentru reclamant trebuie stabilită, la nivelul maxim aflat în plată.</w:t>
      </w:r>
    </w:p>
    <w:p>
      <w:pPr>
        <w:pStyle w:val="Normal"/>
        <w:ind w:right="0" w:firstLine="720"/>
        <w:jc w:val="both"/>
        <w:rPr>
          <w:rFonts w:eastAsia="Calibri"/>
          <w:lang w:eastAsia="en-US"/>
        </w:rPr>
      </w:pPr>
      <w:r>
        <w:rPr>
          <w:rFonts w:eastAsia="Calibri"/>
          <w:lang w:eastAsia="en-US"/>
        </w:rPr>
        <w:t xml:space="preserve">Or, coeficientul de multiplicare 19,000 era la data intrării in vigoare a Legii 330/2009, un drept de natura salarială, recunoscut prin hotărâri judecătoreşti irevocabile în favoarea unor magistraţi judecători care deţin funcţii si condiţii de vechime identice cu ale reclamantului, astfel că acesta trebuia inclus în indemnizaţia brută de încadrare şi după intrarea în vigoare a Legii 330/2009. </w:t>
      </w:r>
    </w:p>
    <w:p>
      <w:pPr>
        <w:pStyle w:val="Normal"/>
        <w:ind w:right="0" w:firstLine="720"/>
        <w:jc w:val="both"/>
        <w:rPr>
          <w:lang w:eastAsia="en-US"/>
        </w:rPr>
      </w:pPr>
      <w:r>
        <w:rPr>
          <w:rFonts w:eastAsia="Times New Roman"/>
          <w:lang w:eastAsia="en-US"/>
        </w:rPr>
        <w:t xml:space="preserve">  </w:t>
      </w:r>
      <w:r>
        <w:rPr>
          <w:rFonts w:eastAsia="Calibri"/>
          <w:lang w:eastAsia="en-US"/>
        </w:rPr>
        <w:t>În acelaşi sens, dar cu privire la alte creşteri salariale s-a pronunţat si ICCJ prin decizia 7/2019 în dosarul nr. 2807/1/2018, raţiunile avute în vedere prin aceasta decizie cu privire la valoarea de referinţa fiind pe deplin aplicabile si pentru coeficientul de multiplicare.</w:t>
      </w:r>
    </w:p>
    <w:p>
      <w:pPr>
        <w:pStyle w:val="Normal"/>
        <w:ind w:right="0" w:firstLine="720"/>
        <w:jc w:val="both"/>
        <w:rPr/>
      </w:pPr>
      <w:r>
        <w:rPr>
          <w:rFonts w:eastAsia="Calibri"/>
          <w:lang w:eastAsia="en-US"/>
        </w:rPr>
        <w:t>În raport de aceste considerente, Curtea constată că apărările formulate de pârâtul Ministerul Justiţiei în prezenta cauză au făcut obiectul analizei şi în cuprinsul sentinței nr.</w:t>
      </w:r>
      <w:r>
        <w:rPr/>
        <w:t xml:space="preserve"> D2, pronunțată de Tribunalul ... în dosarul înregistrat sub nr. DC2</w:t>
      </w:r>
      <w:r>
        <w:rPr>
          <w:rFonts w:eastAsia="Calibri"/>
          <w:lang w:eastAsia="en-US"/>
        </w:rPr>
        <w:t>.</w:t>
      </w:r>
    </w:p>
    <w:p>
      <w:pPr>
        <w:pStyle w:val="Normal"/>
        <w:ind w:right="0" w:firstLine="720"/>
        <w:jc w:val="both"/>
        <w:rPr/>
      </w:pPr>
      <w:r>
        <w:rPr>
          <w:rFonts w:eastAsia="Calibri"/>
          <w:lang w:eastAsia="en-US"/>
        </w:rPr>
        <w:t>În raport de art. 430 din Codul de procedură civilă trebuie recunoscută autoritatea de lucru judecat a motivelor cu valoare decizionala, adică a acelor motive care contin solutii asupra unor puncte litigioase ale procesului de asa maniera incat doar felul in care au fost aduse in fata judecatii (pe cale de aparare ori ca aspecte prealabile cercetarii fondului), face ca astfel de solutii sa nu se regaseasca in dispozitiv.</w:t>
      </w:r>
    </w:p>
    <w:p>
      <w:pPr>
        <w:pStyle w:val="Normal"/>
        <w:ind w:right="0" w:firstLine="720"/>
        <w:jc w:val="both"/>
        <w:rPr>
          <w:rFonts w:eastAsia="Calibri"/>
          <w:lang w:eastAsia="en-US"/>
        </w:rPr>
      </w:pPr>
      <w:r>
        <w:rPr>
          <w:rFonts w:eastAsia="Calibri"/>
          <w:lang w:eastAsia="en-US"/>
        </w:rPr>
        <w:t>Asadar, trebuie recunoscut ca intra in autoritate de lucru judecat, alaturi de dispozitivul care tranșează litigiul, si motivele care sustin solutia, precum si motivele care conțin ele însele soluții pe aspectele litigioase invocate de parti si supuse dezbaterii acestora.</w:t>
      </w:r>
    </w:p>
    <w:p>
      <w:pPr>
        <w:pStyle w:val="Normal"/>
        <w:ind w:right="0" w:firstLine="720"/>
        <w:jc w:val="both"/>
        <w:rPr>
          <w:rFonts w:eastAsia="Calibri"/>
          <w:lang w:eastAsia="en-US"/>
        </w:rPr>
      </w:pPr>
      <w:r>
        <w:rPr>
          <w:rFonts w:eastAsia="Calibri"/>
          <w:lang w:eastAsia="en-US"/>
        </w:rPr>
        <w:t xml:space="preserve">Faţă de aceste considerente, Curtea, raportat la dispoziţiile art. 2 alin. 1 lit. i din Legea nr. 554/2004 constată nejustificat refuzul pârâtului Ministerul Justiţiei de a emite reclamantului un nou ordin de salarizare, astfel încât, în temeiul art. 18 alin. 1 din aceeaşi lege, urmează a admite acţiunea şi a fi obligat pârâtul Ministerul Justiţiei să emită reclamantului un nou ordin de încadrare, începând cu data de 28.05.2016 şi în continuare, cu luarea în considerare a coeficientului de multiplicare de 19, stabilit în Anexa la OUG 27/2006, lit. A), pct. 13 (aferent salarizării procurorilor DNA şi DIICOT). </w:t>
      </w:r>
    </w:p>
    <w:p>
      <w:pPr>
        <w:pStyle w:val="Normal"/>
        <w:jc w:val="center"/>
        <w:rPr>
          <w:rFonts w:eastAsia="Calibri"/>
          <w:lang w:eastAsia="en-US"/>
        </w:rPr>
      </w:pPr>
      <w:r>
        <w:rPr>
          <w:rFonts w:eastAsia="Calibri"/>
          <w:lang w:eastAsia="en-US"/>
        </w:rPr>
      </w:r>
    </w:p>
    <w:p>
      <w:pPr>
        <w:pStyle w:val="Normal"/>
        <w:jc w:val="center"/>
        <w:rPr/>
      </w:pPr>
      <w:r>
        <w:rPr/>
        <w:t>PENTRU ACESTE MOTIVE,</w:t>
        <w:br/>
        <w:t>ÎN NUMELE LEGII</w:t>
      </w:r>
    </w:p>
    <w:p>
      <w:pPr>
        <w:pStyle w:val="Normal"/>
        <w:jc w:val="center"/>
        <w:rPr/>
      </w:pPr>
      <w:r>
        <w:rPr/>
      </w:r>
      <w:r>
        <w:rPr/>
      </w:r>
      <w:r>
        <w:rPr/>
      </w:r>
      <w:r>
        <w:rPr/>
        <w:t>HOTĂRĂŞTE</w:t>
      </w:r>
      <w:r>
        <w:rPr/>
      </w:r>
      <w:r>
        <w:rPr/>
      </w:r>
    </w:p>
    <w:p>
      <w:pPr>
        <w:pStyle w:val="Normal"/>
        <w:rPr/>
      </w:pPr>
      <w:r>
        <w:rPr/>
      </w:r>
    </w:p>
    <w:p>
      <w:pPr>
        <w:pStyle w:val="Normal"/>
        <w:rPr/>
      </w:pPr>
      <w:r>
        <w:rPr/>
        <w:tab/>
        <w:t>Respinge excepţia inadmisibilităţii, invocată de pârâtul Ministerul Justiţiei.</w:t>
      </w:r>
    </w:p>
    <w:p>
      <w:pPr>
        <w:pStyle w:val="Normal"/>
        <w:jc w:val="both"/>
        <w:rPr/>
      </w:pPr>
      <w:r>
        <w:rPr/>
        <w:tab/>
        <w:t xml:space="preserve">Admite acţiunea formulată de reclamantul R1, judecător în cadrul Tribunalului ..., cu domiciliul în Municipiul  ..., în contradictoriu cu pârâtul MINISTERUL JUSTIŢIEI, cu sediul în  ...,  având ca obiect litigiu privind magistraţii. </w:t>
      </w:r>
    </w:p>
    <w:p>
      <w:pPr>
        <w:pStyle w:val="Normal"/>
        <w:jc w:val="both"/>
        <w:rPr/>
      </w:pPr>
      <w:r>
        <w:rPr/>
        <w:tab/>
        <w:t xml:space="preserve">Obligă pârâtul Ministerul Justiţiei la emiterea ordinului de încadrare conform Legii 71/2015 şi OUG nr.20/2016, începând cu 28.05.2016, luând în considerare coeficientul de multiplicare 19. </w:t>
      </w:r>
    </w:p>
    <w:p>
      <w:pPr>
        <w:pStyle w:val="Normal"/>
        <w:jc w:val="both"/>
        <w:rPr/>
      </w:pPr>
      <w:r>
        <w:rPr/>
        <w:tab/>
        <w:t xml:space="preserve">Fără cheltuieli de judecată. </w:t>
      </w:r>
    </w:p>
    <w:p>
      <w:pPr>
        <w:pStyle w:val="Normal"/>
        <w:jc w:val="both"/>
        <w:rPr/>
      </w:pPr>
      <w:r>
        <w:rPr/>
        <w:tab/>
        <w:t xml:space="preserve">Cu recurs în 15 zile de la comunicare,recurs ce se va depune la sediul Curţii de Apel  .... </w:t>
      </w:r>
    </w:p>
    <w:p>
      <w:pPr>
        <w:pStyle w:val="Normal"/>
        <w:jc w:val="both"/>
        <w:rPr/>
      </w:pPr>
      <w:r>
        <w:rPr/>
        <w:tab/>
        <w:t>Pronunţată, azi ..., prin punerea soluţiei la dispoziţia părţilor, de către grefa instanţei, conform art.402 Cod.pr.civilă.</w:t>
      </w:r>
    </w:p>
    <w:p>
      <w:pPr>
        <w:pStyle w:val="Normal"/>
        <w:jc w:val="center"/>
        <w:rPr>
          <w:lang w:val="en-US" w:eastAsia="en-US"/>
        </w:rPr>
      </w:pPr>
      <w:r>
        <w:rPr>
          <w:lang w:val="en-US" w:eastAsia="en-US"/>
        </w:rPr>
      </w:r>
      <w:r>
        <w:rPr>
          <w:lang w:val="en-US" w:eastAsia="en-US"/>
        </w:rPr>
      </w:r>
      <w:r>
        <w:rPr>
          <w:lang w:val="en-US" w:eastAsia="en-US"/>
        </w:rPr>
      </w:r>
      <w:r>
        <w:t>  </w:t>
      </w:r>
      <w:r>
        <w:rPr>
          <w:lang w:val="en-US" w:eastAsia="en-US"/>
        </w:rPr>
      </w:r>
    </w:p>
    <w:tbl>
      <w:tblPr>
        <w:tblW w:w="9286" w:type="dxa"/>
        <w:jc w:val="center"/>
        <w:tblInd w:w="0" w:type="dxa"/>
        <w:tblLayout w:type="fixed"/>
        <w:tblCellMar>
          <w:top w:w="284" w:type="dxa"/>
          <w:left w:w="108" w:type="dxa"/>
          <w:bottom w:w="284" w:type="dxa"/>
          <w:right w:w="108" w:type="dxa"/>
        </w:tblCellMar>
      </w:tblPr>
      <w:tblGrid>
        <w:gridCol w:w="3095"/>
        <w:gridCol w:w="3096"/>
        <w:gridCol w:w="3095"/>
      </w:tblGrid>
      <w:tr>
        <w:trPr/>
        <w:tc>
          <w:tcPr>
            <w:tcW w:w="3095"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lang w:val="en-US" w:eastAsia="en-US"/>
              </w:rPr>
            </w:pPr>
            <w:r>
              <w:rPr>
                <w:lang w:val="en-US" w:eastAsia="en-US"/>
              </w:rPr>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Preşedinte,</w:t>
            </w:r>
          </w:p>
          <w:p>
            <w:pPr>
              <w:pStyle w:val="Normal"/>
              <w:jc w:val="center"/>
              <w:rPr>
                <w:lang w:val="en-US" w:eastAsia="en-US"/>
              </w:rPr>
            </w:pPr>
            <w:r>
              <w:rPr>
                <w:lang w:val="en-US" w:eastAsia="en-US"/>
              </w:rPr>
              <w:t>A0006</w:t>
            </w:r>
          </w:p>
        </w:tc>
        <w:tc>
          <w:tcPr>
            <w:tcW w:w="3095"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lang w:val="en-US" w:eastAsia="en-US"/>
              </w:rPr>
            </w:pPr>
            <w:r>
              <w:rPr>
                <w:lang w:val="en-US" w:eastAsia="en-US"/>
              </w:rPr>
            </w:r>
          </w:p>
        </w:tc>
      </w:tr>
      <w:tr>
        <w:trPr/>
        <w:tc>
          <w:tcPr>
            <w:tcW w:w="3095"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lang w:val="en-US" w:eastAsia="en-US"/>
              </w:rPr>
            </w:pPr>
            <w:r>
              <w:rPr>
                <w:lang w:val="en-US" w:eastAsia="en-US"/>
              </w:rPr>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Grefier,</w:t>
            </w:r>
          </w:p>
          <w:p>
            <w:pPr>
              <w:pStyle w:val="Normal"/>
              <w:jc w:val="center"/>
              <w:rPr>
                <w:lang w:val="en-US" w:eastAsia="en-US"/>
              </w:rPr>
            </w:pPr>
            <w:r>
              <w:rPr>
                <w:lang w:val="en-US" w:eastAsia="en-US"/>
              </w:rPr>
              <w:t>...</w:t>
            </w:r>
          </w:p>
        </w:tc>
        <w:tc>
          <w:tcPr>
            <w:tcW w:w="3095"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lang w:val="en-US" w:eastAsia="en-US"/>
              </w:rPr>
            </w:pPr>
            <w:r>
              <w:rPr>
                <w:lang w:val="en-US" w:eastAsia="en-US"/>
              </w:rPr>
            </w:r>
          </w:p>
        </w:tc>
      </w:tr>
    </w:tbl>
    <w:p>
      <w:pPr>
        <w:pStyle w:val="Normal"/>
        <w:jc w:val="center"/>
        <w:rPr/>
      </w:pPr>
      <w:r>
        <w:rPr>
          <w:lang w:val="en-US" w:eastAsia="en-US"/>
        </w:rPr>
        <w:t>   </w:t>
      </w:r>
      <w:r>
        <w:rPr/>
      </w:r>
      <w:r>
        <w:rPr/>
      </w:r>
    </w:p>
    <w:p>
      <w:pPr>
        <w:pStyle w:val="Normal"/>
        <w:jc w:val="center"/>
        <w:rPr/>
      </w:pPr>
      <w:r>
        <w:rPr/>
      </w:r>
    </w:p>
    <w:p>
      <w:pPr>
        <w:pStyle w:val="Normal"/>
        <w:rPr/>
      </w:pPr>
      <w:r>
        <w:rPr/>
        <w:t>Red.jud.A0006/Tehnored .... 4 ex/...</w:t>
      </w:r>
    </w:p>
    <w:sectPr>
      <w:footerReference w:type="default" r:id="rId2"/>
      <w:type w:val="nextPage"/>
      <w:pgSz w:w="11906" w:h="16838"/>
      <w:pgMar w:top="851" w:right="851" w:bottom="851" w:left="1985" w:header="0" w:footer="72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15</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mirrorMargins/>
  <w:defaultTabStop w:val="709"/>
  <w:autoHyphenation w:val="true"/>
  <w:compat>
    <w:doNotBreakWrappedTables/>
    <w:compatSetting w:name="compatibilityMode" w:uri="http://schemas.microsoft.com/office/word" w:val="12"/>
  </w:compat>
  <w:docVars>
    <w:docVar w:name="url" w:val="http://server3:80/ecris_cdms/document_upload.aspx?id_document=5400000001547354&amp;id_departament=5&amp;id_sesiune=2212579&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ejaVu Sans" w:cs="FreeSans"/>
        <w:sz w:val="24"/>
        <w:szCs w:val="24"/>
        <w:lang w:val="en-US" w:eastAsia="zh-CN" w:bidi="hi-IN"/>
      </w:rPr>
    </w:rPrDefault>
    <w:pPrDefault>
      <w:pPr>
        <w:suppressAutoHyphens w:val="true"/>
      </w:pPr>
    </w:pPrDefault>
  </w:docDefaults>
  <w:style w:type="paragraph" w:styleId="Normal">
    <w:name w:val="Normal"/>
    <w:qFormat/>
    <w:pPr>
      <w:widowControl/>
      <w:kinsoku w:val="true"/>
      <w:overflowPunct w:val="true"/>
      <w:autoSpaceDE w:val="true"/>
      <w:bidi w:val="0"/>
    </w:pPr>
    <w:rPr>
      <w:rFonts w:ascii="Times New Roman" w:hAnsi="Times New Roman" w:eastAsia="Times New Roman" w:cs="Times New Roman"/>
      <w:color w:val="auto"/>
      <w:sz w:val="24"/>
      <w:szCs w:val="24"/>
      <w:lang w:val="ro-RO" w:bidi="ar-SA" w:eastAsia="zh-CN"/>
    </w:rPr>
  </w:style>
  <w:style w:type="paragraph" w:styleId="Heading1">
    <w:name w:val="Heading 1"/>
    <w:basedOn w:val="Normal"/>
    <w:next w:val="Normal"/>
    <w:qFormat/>
    <w:pPr>
      <w:keepNext w:val="true"/>
      <w:numPr>
        <w:ilvl w:val="0"/>
        <w:numId w:val="1"/>
      </w:numPr>
      <w:jc w:val="center"/>
      <w:outlineLvl w:val="0"/>
    </w:pPr>
    <w:rPr>
      <w:b/>
      <w:bCs/>
      <w:sz w:val="28"/>
      <w:szCs w:val="15"/>
      <w:lang w:val="en-US"/>
    </w:rPr>
  </w:style>
  <w:style w:type="character" w:styleId="DefaultParagraphFont">
    <w:name w:val="Default Paragraph Font"/>
    <w:qFormat/>
    <w:rPr/>
  </w:style>
  <w:style w:type="character" w:styleId="HeaderChar">
    <w:name w:val="Header Char"/>
    <w:qFormat/>
    <w:rPr>
      <w:sz w:val="24"/>
      <w:szCs w:val="24"/>
    </w:rPr>
  </w:style>
  <w:style w:type="character" w:styleId="FooterChar">
    <w:name w:val="Footer Char"/>
    <w:qFormat/>
    <w:rPr>
      <w:sz w:val="24"/>
      <w:szCs w:val="24"/>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NoSpacing">
    <w:name w:val="No Spacing"/>
    <w:qFormat/>
    <w:pPr>
      <w:widowControl/>
      <w:kinsoku w:val="true"/>
      <w:overflowPunct w:val="true"/>
      <w:autoSpaceDE w:val="true"/>
      <w:bidi w:val="0"/>
    </w:pPr>
    <w:rPr>
      <w:rFonts w:ascii="Calibri" w:hAnsi="Calibri" w:eastAsia="Calibri" w:cs="Calibri"/>
      <w:color w:val="auto"/>
      <w:sz w:val="22"/>
      <w:szCs w:val="22"/>
      <w:lang w:val="ro-RO" w:bidi="ar-SA" w:eastAsia="zh-CN"/>
    </w:rPr>
  </w:style>
  <w:style w:type="paragraph" w:styleId="ListParagraph">
    <w:name w:val="List Paragraph"/>
    <w:basedOn w:val="Normal"/>
    <w:qFormat/>
    <w:pPr>
      <w:spacing w:lineRule="auto" w:line="256" w:before="0" w:after="160"/>
      <w:ind w:hanging="0" w:left="720" w:right="0"/>
      <w:contextualSpacing/>
    </w:pPr>
    <w:rPr>
      <w:color w:val="000000"/>
      <w:sz w:val="22"/>
      <w:szCs w:val="22"/>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Normal"/>
    <w:pPr>
      <w:tabs>
        <w:tab w:val="clear" w:pos="709"/>
        <w:tab w:val="center" w:pos="4536" w:leader="none"/>
        <w:tab w:val="right" w:pos="9072" w:leader="none"/>
      </w:tabs>
    </w:pPr>
    <w:rPr/>
  </w:style>
  <w:style w:type="paragraph" w:styleId="Footer">
    <w:name w:val="Footer"/>
    <w:basedOn w:val="Normal"/>
    <w:pPr>
      <w:tabs>
        <w:tab w:val="clear" w:pos="709"/>
        <w:tab w:val="center" w:pos="4536" w:leader="none"/>
        <w:tab w:val="right" w:pos="9072" w:leader="none"/>
      </w:tabs>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
  <ap:SharedDoc>false</ap:SharedDoc>
  <ap:LinksUpToDate>false</ap:LinksUpToDate>
  <ap:HyperlinkBase/>
  <ap:Manager/>
  <ap:Company/>
  <ap:TotalTime>41</ap:TotalTime>
  <ap:Application>LibreOffice/24.2.7.2$Linux_X86_64 LibreOffice_project/420$Build-2</ap:Application>
  <ap:AppVersion>15.0000</ap:AppVersion>
  <ap:Pages>15</ap:Pages>
  <ap:Words>9143</ap:Words>
  <ap:Characters>54048</ap:Characters>
  <ap:CharactersWithSpaces>63119</ap:CharactersWithSpaces>
  <ap:Paragraphs>147</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keywords/>
  <dc:language/>
  <lastModifiedBy/>
  <revision/>
  <dc:subject/>
  <dc:title/>
  <category/>
  <contentStatus/>
  <dc:identifier/>
  <version/>
</coreProperties>
</file>