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rPr>
      </w:pPr>
      <w:r>
        <w:rPr>
          <w:rStyle w:val="Fontdeparagrafimplicit"/>
          <w:b/>
        </w:rPr>
        <w:t>Hot. 11</w:t>
      </w:r>
    </w:p>
    <w:p>
      <w:pPr>
        <w:pStyle w:val="Normal"/>
        <w:rPr>
          <w:b/>
        </w:rPr>
      </w:pPr>
      <w:r>
        <w:rPr>
          <w:rStyle w:val="Fontdeparagrafimplicit"/>
          <w:b/>
        </w:rPr>
        <w:t>Dosar nr. D1</w:t>
      </w:r>
    </w:p>
    <w:p>
      <w:pPr>
        <w:pStyle w:val="Normal"/>
        <w:jc w:val="center"/>
        <w:rPr>
          <w:b/>
        </w:rPr>
      </w:pPr>
      <w:r>
        <w:rPr>
          <w:rStyle w:val="Fontdeparagrafimplicit"/>
          <w:b/>
        </w:rPr>
        <w:t>R O M Â N I A</w:t>
      </w:r>
    </w:p>
    <w:p>
      <w:pPr>
        <w:pStyle w:val="Normal"/>
        <w:jc w:val="center"/>
        <w:rPr>
          <w:b/>
        </w:rPr>
      </w:pPr>
      <w:r>
        <w:rPr>
          <w:b/>
        </w:rPr>
      </w:r>
    </w:p>
    <w:p>
      <w:pPr>
        <w:pStyle w:val="Normal"/>
        <w:jc w:val="center"/>
        <w:rPr>
          <w:b/>
        </w:rPr>
      </w:pPr>
      <w:r>
        <w:rPr>
          <w:rStyle w:val="Fontdeparagrafimplicit"/>
          <w:b/>
        </w:rPr>
        <w:t>CURTEA DE APEL ...</w:t>
      </w:r>
    </w:p>
    <w:p>
      <w:pPr>
        <w:pStyle w:val="Normal"/>
        <w:jc w:val="center"/>
        <w:rPr>
          <w:b/>
          <w:lang w:val="en-US"/>
        </w:rPr>
      </w:pPr>
      <w:r>
        <w:rPr>
          <w:rStyle w:val="Fontdeparagrafimplicit"/>
          <w:b/>
        </w:rPr>
        <w:t>SECŢIA ...</w:t>
      </w:r>
    </w:p>
    <w:p>
      <w:pPr>
        <w:pStyle w:val="Normal"/>
        <w:rPr>
          <w:b/>
        </w:rPr>
      </w:pPr>
      <w:r>
        <w:rPr>
          <w:b/>
        </w:rPr>
      </w:r>
    </w:p>
    <w:p>
      <w:pPr>
        <w:pStyle w:val="Normal"/>
        <w:jc w:val="center"/>
        <w:rPr>
          <w:b/>
        </w:rPr>
      </w:pPr>
      <w:r>
        <w:rPr>
          <w:rStyle w:val="Fontdeparagrafimplicit"/>
          <w:b/>
        </w:rPr>
        <w:t>SENTINŢA  Nr. ...</w:t>
      </w:r>
    </w:p>
    <w:p>
      <w:pPr>
        <w:pStyle w:val="Normal"/>
        <w:jc w:val="center"/>
        <w:rPr>
          <w:b/>
        </w:rPr>
      </w:pPr>
      <w:r>
        <w:rPr>
          <w:rStyle w:val="Fontdeparagrafimplicit"/>
          <w:b/>
        </w:rPr>
        <w:t>Ședința </w:t>
      </w:r>
      <w:bookmarkStart w:name="tip_sedinta" w:id="0"/>
      <w:r>
        <w:rPr>
          <w:rStyle w:val="Fontdeparagrafimplicit"/>
          <w:b/>
        </w:rPr>
        <w:t>publică</w:t>
      </w:r>
      <w:bookmarkEnd w:id="0"/>
      <w:r>
        <w:rPr>
          <w:rStyle w:val="Fontdeparagrafimplicit"/>
          <w:b/>
        </w:rPr>
        <w:t xml:space="preserve"> de la ... </w:t>
      </w:r>
    </w:p>
    <w:p>
      <w:pPr>
        <w:pStyle w:val="Normal"/>
        <w:jc w:val="center"/>
        <w:rPr>
          <w:b/>
        </w:rPr>
      </w:pPr>
      <w:r>
        <w:rPr>
          <w:rStyle w:val="Fontdeparagrafimplicit"/>
          <w:b/>
        </w:rPr>
        <w:t>Completul compus din:</w:t>
      </w:r>
    </w:p>
    <w:p>
      <w:pPr>
        <w:pStyle w:val="Normal"/>
        <w:jc w:val="center"/>
        <w:rPr>
          <w:b/>
        </w:rPr>
      </w:pPr>
      <w:r>
        <w:rPr>
          <w:rStyle w:val="Fontdeparagrafimplicit"/>
          <w:b/>
        </w:rPr>
        <w:t>PREŞEDINTE A0006</w:t>
      </w:r>
    </w:p>
    <w:p>
      <w:pPr>
        <w:pStyle w:val="Normal"/>
        <w:jc w:val="center"/>
        <w:rPr>
          <w:b/>
        </w:rPr>
      </w:pPr>
      <w:r>
        <w:rPr>
          <w:rStyle w:val="Fontdeparagrafimplicit"/>
          <w:b/>
        </w:rPr>
        <w:t>Grefier ...</w:t>
      </w:r>
    </w:p>
    <w:p>
      <w:pPr>
        <w:pStyle w:val="Normal"/>
        <w:jc w:val="center"/>
        <w:rPr>
          <w:b/>
        </w:rPr>
      </w:pPr>
      <w:r>
        <w:rPr>
          <w:b/>
        </w:rPr>
      </w:r>
    </w:p>
    <w:p>
      <w:pPr>
        <w:pStyle w:val="Normal"/>
        <w:ind w:firstLine="709"/>
        <w:jc w:val="center"/>
        <w:rPr>
          <w:b/>
        </w:rPr>
      </w:pPr>
      <w:r>
        <w:rPr>
          <w:rStyle w:val="Fontdeparagrafimplicit"/>
          <w:b/>
        </w:rPr>
        <w:t>x.x.x</w:t>
      </w:r>
    </w:p>
    <w:p>
      <w:pPr>
        <w:pStyle w:val="Normal"/>
        <w:ind w:firstLine="709"/>
        <w:jc w:val="center"/>
        <w:rPr>
          <w:b/>
        </w:rPr>
      </w:pPr>
      <w:r>
        <w:rPr>
          <w:b/>
        </w:rPr>
      </w:r>
    </w:p>
    <w:p>
      <w:pPr>
        <w:pStyle w:val="Normal"/>
        <w:ind w:firstLine="851"/>
        <w:jc w:val="both"/>
        <w:rPr/>
      </w:pPr>
      <w:r>
        <w:rPr/>
        <w:t xml:space="preserve">Pe rol rezultatul dezbaterilor din data de ... privind judecarea cauzei de contencios administrativ și fiscal, acțiune formulată  de reclamanta </w:t>
      </w:r>
      <w:r>
        <w:rPr>
          <w:rStyle w:val="Fontdeparagrafimplicit"/>
          <w:b/>
        </w:rPr>
        <w:t>R1</w:t>
      </w:r>
      <w:r>
        <w:rPr/>
        <w:t xml:space="preserve">, cu domiciliul în localitatea ..., satul ..., strada: ..., jud. ... în contradictoriu cu pârâtul </w:t>
      </w:r>
      <w:r>
        <w:rPr>
          <w:rStyle w:val="Robust"/>
        </w:rPr>
        <w:t xml:space="preserve">AGENŢIA NAŢIONALĂ DE INTEGRITATE-INSPECŢIA DE INTEGRITATE </w:t>
      </w:r>
      <w:r>
        <w:rPr/>
        <w:t xml:space="preserve">, ..., având ca obiect </w:t>
      </w:r>
      <w:bookmarkStart w:name="_Hlk31183394" w:id="1"/>
      <w:r>
        <w:rPr/>
        <w:t>contestație act administrativ fiscal</w:t>
      </w:r>
      <w:bookmarkEnd w:id="1"/>
      <w:r>
        <w:rPr/>
        <w:t>.</w:t>
      </w:r>
    </w:p>
    <w:p>
      <w:pPr>
        <w:pStyle w:val="Normal"/>
        <w:ind w:firstLine="851"/>
        <w:jc w:val="both"/>
        <w:rPr>
          <w:b/>
        </w:rPr>
      </w:pPr>
      <w:r>
        <w:rPr/>
        <w:t>Dezbaterile pe fondul  cauzei au avut loc în şedinţa publică din ..., fiind consemnate în încheierea de şedinţă din acea dată, care face parte integrantă din prezenta sentinţă când Curtea, pentru a da posibilitatea părţilor litigante, de a depune concluzii scrise, a amânat pronunţarea pentru azi, ..., când, în aceeaşi componenţă, a hotărât următoarele:</w:t>
      </w:r>
    </w:p>
    <w:p>
      <w:pPr>
        <w:pStyle w:val="Normal"/>
        <w:ind w:firstLine="708"/>
        <w:jc w:val="both"/>
        <w:rPr>
          <w:rStyle w:val="Fontdeparagrafimplicit"/>
        </w:rPr>
      </w:pPr>
      <w:r>
        <w:rPr/>
      </w:r>
    </w:p>
    <w:p>
      <w:pPr>
        <w:pStyle w:val="Normal"/>
        <w:jc w:val="center"/>
        <w:rPr>
          <w:b/>
          <w:lang w:val="en-US"/>
        </w:rPr>
      </w:pPr>
      <w:r>
        <w:rPr>
          <w:rStyle w:val="Fontdeparagrafimplicit"/>
          <w:b/>
          <w:lang w:val="en-US"/>
        </w:rPr>
        <w:t xml:space="preserve">C U R T E A </w:t>
      </w:r>
    </w:p>
    <w:p>
      <w:pPr>
        <w:pStyle w:val="Normal"/>
        <w:ind w:firstLine="708"/>
        <w:jc w:val="both"/>
        <w:rPr>
          <w:lang w:val="en-US"/>
        </w:rPr>
      </w:pPr>
      <w:r>
        <w:rPr>
          <w:rStyle w:val="Fontdeparagrafimplicit"/>
          <w:lang w:val="en-US"/>
        </w:rPr>
        <w:t xml:space="preserve">  </w:t>
      </w:r>
      <w:r>
        <w:rPr>
          <w:rStyle w:val="Fontdeparagrafimplicit"/>
          <w:lang w:val="en-US"/>
        </w:rPr>
        <w:t>Asupra cauzei de față,</w:t>
      </w:r>
    </w:p>
    <w:p>
      <w:pPr>
        <w:pStyle w:val="Normal"/>
        <w:ind w:firstLine="709"/>
        <w:jc w:val="both"/>
        <w:rPr>
          <w:lang w:val="en-US"/>
        </w:rPr>
      </w:pPr>
      <w:r>
        <w:rPr>
          <w:rStyle w:val="Fontdeparagrafimplicit"/>
          <w:lang w:val="en-US"/>
        </w:rPr>
        <w:t xml:space="preserve">  </w:t>
      </w:r>
      <w:r>
        <w:rPr>
          <w:rStyle w:val="Fontdeparagrafimplicit"/>
          <w:lang w:val="en-US"/>
        </w:rPr>
        <w:t>Prin cererea adresată la data de 03.08.2020 şi înregistrată pe rolul instanței sub nr.</w:t>
      </w:r>
      <w:r>
        <w:rPr>
          <w:rStyle w:val="Fontdeparagrafimplicit"/>
          <w:b/>
          <w:lang w:val="en-US"/>
        </w:rPr>
        <w:t xml:space="preserve"> </w:t>
      </w:r>
      <w:r>
        <w:rPr>
          <w:rStyle w:val="Fontdeparagrafimplicit"/>
          <w:lang w:val="en-US"/>
        </w:rPr>
        <w:t>D1, reclamanta R1, în contradictoriu cu pârâtul AGENŢIA NAŢIONALĂ DE INTEGRITATE-INSPECŢIA DE INTEGRITATE ,  a solicitat:anularea Raportului de evaluare Nr....,   raport de evaluare prin care în temeiul art. 87 alin. I lit.g din Legea  nr. 161/2003 s-a constatat starea de incompatibilitate, întrucât în perioada 22.06.2016-04.09.20 funcția de viceprimar al comunei ... i calitatea de comerciant persoană fizică si plata cheltuielilor de judecată.</w:t>
        <w:br/>
        <w:t xml:space="preserve">              Arata că prin Raportul de evaluare nr. …, în  temeiul art.87 alin. I lit.g din Legea nr. 161/ 03 s-a constatat starea de incompatibilitate întrucât in perioada 22.06.2016  04.09.2017 a exercitat simultan funcția de viceprimar al comunei ... și calitatea de comerciant persoană fizică în cadrul R1 persoană fizică autorizată.</w:t>
        <w:br/>
        <w:t xml:space="preserve">              Sustine  că raportul de evaluare prin are a fost constatată starea de incompatibilitate este nelegal deoarece:</w:t>
        <w:br/>
        <w:t xml:space="preserve">             1.În raportul de evaluare este menționată punctul de vedere care nu se reflectă în analiza stării de incompatibilitate rezultând astfel că raportul de evaluare a fost întocmit cu încălcarea principiului contradictorialității și dreptului la apărare, în contextul în care menționarea lui este pur formală și fără niciun fel de efecte sau consecințe în reținerea stării de incompatibilitate imputată.</w:t>
        <w:br/>
        <w:t xml:space="preserve">             Faptul că în perioada 22.06.2016-14.09.2017 a arătat că a deținut funcția de viceprimar al comunei ... și calitatea de comerciant persoană fizică s-a datorat unor motive obiective , fortuite , generate de faptul că soțul său a decedat și era necesară efectuarea operațiunilor de închidere a activității persoanei fizice autorizate, operațiuni pe care le-a făcut tocmai în scopul de a evita această stare.</w:t>
        <w:br/>
        <w:t xml:space="preserve">           2.Având în vedere obiectul de activitate al persoanei fizice autorizate, apreciază că nu există nicio legătură între activitatea  acesteia, activitate în domeniul agricol și calitatea/funcția de viceprimar simplul fapt că a realizat venituri în calitate de persoană fizică autorizată fiind insuficient, nelegal pentru a stabili starea de incompatibilitate prin raportare la  funcția de viceprimar.</w:t>
        <w:br/>
        <w:t xml:space="preserve">          Precizează faptul că în calitate de viceprimar nu a emis niciun act administrativ, nu a încheiat niciun act juridic și nu a participat la luarea niciunei decizii care să vizeze activitatea persoanei fizice autorizate, nu există nicio legătură de nicio natură între cele două   tipuri de activități și calități, situație în care consideră că raportul de   evaluare este nelegal și se impune anularea lui.</w:t>
        <w:br/>
        <w:t xml:space="preserve">           Simpla înregistrare în registrul comerțului a persoanei fizice  autorizate nu echivalează și nu conduce, ab initio, la stabilirea stării de incompatibilitate , în condițiile în care era absolut necesar ca  pârâta să demonstreze prin raportul de evaluare existența unei legături  între cele două calități, influenta uneia din e calități asupra alteia , foloasele obținute, în caz contrar, actul de constatare a stării de  incompatibilitate are un caracter pur formal nelegal și rezultat doar al   unei simple alăturări a două calități care nu au nimic în comun.</w:t>
        <w:br/>
        <w:t xml:space="preserve">         3.Raportul de evaluare, coroborat cu cele menționate anterior, încalcă pe lângă principiul legalității și principiul proporționalității cât și norme de rang constituțional , norme prevăzute de dispozițiile art.41-munca și protecția socială a munci, art. 44-dreptul la proprietate privată, art.45- libertatea economică , dispoziții constituționale care garantează dreptul la muncă, exercitarea n neîngrădită a dreptului de proprietate privată cât și libertatea de a desfășura orice tip de activități care nu sunt prohibite de lege.</w:t>
        <w:br/>
        <w:t xml:space="preserve">               De asemenea consideră că starea de incompatibilitate reținută,  raportat la calitatea de viceprimar și faptul că a desfășurat o activitate agricolă în formele prescrise de lege nu reprezintă în fapt și  în drept nimic altceva decât restrângerea exercițiului unor drepturi , restrângere care, pe de o parte, nu se încadrează în cazurile menționate în mod exhaustiv în dispozițiile art.53 din Constituția României, iar, pe   de altă parte, reprezintă o măsură disproporționată față de situația care a generat-o.</w:t>
        <w:br/>
        <w:t xml:space="preserve">             Față de cele expuse, a solicitat admiterea acțiunii și să se dispună anularea Raportului de evaluare nr.....</w:t>
        <w:br/>
        <w:t xml:space="preserve">              În drept: Legea nr.554/2004, Constituția României, Legea  nr.176/2010.</w:t>
        <w:br/>
        <w:t xml:space="preserve">              Probe: înscrisuri, Raportul de evaluare nr. ....</w:t>
      </w:r>
    </w:p>
    <w:p>
      <w:pPr>
        <w:pStyle w:val="Normal"/>
        <w:ind w:firstLine="851"/>
        <w:jc w:val="both"/>
        <w:rPr>
          <w:lang w:val="en-US"/>
        </w:rPr>
      </w:pPr>
      <w:r>
        <w:rPr>
          <w:rStyle w:val="Fontdeparagrafimplicit"/>
          <w:b/>
          <w:lang w:val="en-US"/>
        </w:rPr>
        <w:t xml:space="preserve">La data de 12.10.2020, </w:t>
      </w:r>
      <w:r>
        <w:rPr>
          <w:rStyle w:val="Fontdeparagrafimplicit"/>
          <w:lang w:val="en-US"/>
        </w:rPr>
        <w:t>AV1, apărător ales al reclamantei R1</w:t>
      </w:r>
      <w:r>
        <w:rPr>
          <w:rStyle w:val="Fontdeparagrafimplicit"/>
          <w:i/>
          <w:lang w:val="en-US"/>
        </w:rPr>
        <w:t xml:space="preserve"> în Dosarul nr. D2</w:t>
      </w:r>
      <w:r>
        <w:rPr>
          <w:rStyle w:val="Fontdeparagrafimplicit"/>
          <w:lang w:val="en-US"/>
        </w:rPr>
        <w:t xml:space="preserve">, aflat pe rolul Curții de Apel …, cu termen de judecată în data de 13.10.2020, în contradictoriu cu Agenția Națională de Integritate-Inspecția de Integritate, … a formulat următoarele: </w:t>
      </w:r>
      <w:r>
        <w:rPr>
          <w:rStyle w:val="Fontdeparagrafimplicit"/>
          <w:b/>
          <w:lang w:val="en-US"/>
        </w:rPr>
        <w:t>concluzii scrise</w:t>
      </w:r>
      <w:r>
        <w:rPr>
          <w:rStyle w:val="Fontdeparagrafimplicit"/>
          <w:lang w:val="en-US"/>
        </w:rPr>
        <w:t>, pPrecizează faptul că în calitate de viceprimar reclamanta nu a emis niciun act administrativ, nu a încheiat niciun act juridic şi nu a participat la luarea niciunei decizii care să vizeze activitatea persoanei fizice autorizate, nu există nicio legătură de nicio natură între cele două tipuri de activități şi calități, situație în care consider că raportul de evaluare este nelegal şi se impune anularea lui.</w:t>
        <w:br/>
        <w:t xml:space="preserve">            Simpla înregistrare în registrul comerțului a persoanei fizice autorizate nu echivalează şi nu conduce, ab initio, la stabilirea stării de incompatibilitate, în condițiile în care era absolut necesar ca pârâta să demonstreze prin raportul de evaluare existența unei legături între cele două calități, influența uneia dintre calități asupra alteia, foloasele obținute, în caz contrar, actul de constatare a stării de incompatibilitate are un caracter pur formal, nelegal şi rezultat doar al unei simple alăturări a două calități care nu au nimic în comun.</w:t>
        <w:br/>
        <w:t xml:space="preserve">            Raportul de evaluare, coroborat cu cele menționate anterior, încalcă pe lângă principiul legalității, principiul proporționalității și norme de rang constituțional, norme prevăzute de dispozițiile art. 41 - munca și protecția socială a muncii, art. 44 - dreptul la proprietate privată, art. 45 - libertatea economică , dispoziții constituționale care garantează dreptul la muncă, exercitarea neîngrădită a dreptului de proprietate privată cât și libertatea de a desfășura orice tip de activități care nu sunt prohibite de lege.</w:t>
        <w:br/>
        <w:t xml:space="preserve">             În plus consideră că starea de incompatibilitate reținută, raportat la calitatea de viceprimar și faptul că reclamanta a desfășurat o activitate agricolă în formele prescrise de lege, nu reprezintă în fapt și în drept nimic altceva decât restrângerea exercițiului unor drepturi, restrângere care, pe de o parte, nu se încadrează în cazurile menționate în mod exhaustiv în dispozițiile art.53 din Constituția României, iar, pe de altă parte, reprezintă o măsură disproporționată față de situația care a generat-o.</w:t>
        <w:br/>
        <w:t xml:space="preserve">            În concluzie,  solicită  admiterea acțiunii și să se dispună anularea Raportului de evaluare nr…...</w:t>
        <w:br/>
        <w:t xml:space="preserve">            </w:t>
      </w:r>
      <w:r>
        <w:rPr>
          <w:rStyle w:val="Fontdeparagrafimplicit"/>
          <w:i/>
          <w:lang w:val="en-US"/>
        </w:rPr>
        <w:t>AGENŢIA NAŢIONALA DE INTEGRITAT</w:t>
      </w:r>
      <w:r>
        <w:rPr>
          <w:rStyle w:val="Fontdeparagrafimplicit"/>
          <w:lang w:val="en-US"/>
        </w:rPr>
        <w:t xml:space="preserve"> a formulat intampinare, prin care solicită respingerea contestației . </w:t>
        <w:br/>
        <w:t xml:space="preserve">            Solicită instanței să respingă cererea de chemare în judecată formulată de reclamanta R1 ca neîntemeiată și nefondată şi să constate că Raportul de evaluare nr. ... este temeinic și legal, fiind emis în vederea executării și aplicării legii la situația privind existența stării de incompatibilitate în care se găsește reclamanta.</w:t>
        <w:br/>
        <w:t xml:space="preserve">             În drept, a întemeiat pe prevederile următoarelor acte normative: Codul de procedură civilă, Legea nr. 176/2010, Legea nr. 161/2003, Ordonanța de urgență a Guvernului nr. 57/2019, Ordonanța de urgență a Guvernului nr. 44/2008.</w:t>
        <w:br/>
        <w:t xml:space="preserve">              În dovedirea celor susținute solicită admiterea probei cu înscrisuri, sens în care depunem copiile actelor care au stat la baza întocmirii Raportului de evaluare contestat.</w:t>
      </w:r>
      <w:r>
        <w:rPr>
          <w:rStyle w:val="Fontdeparagrafimplicit"/>
          <w:b/>
          <w:lang w:val="en-US"/>
        </w:rPr>
        <w:br/>
        <w:t xml:space="preserve">              </w:t>
      </w:r>
      <w:r>
        <w:rPr>
          <w:rStyle w:val="Fontdeparagrafimplicit"/>
          <w:lang w:val="en-US"/>
        </w:rPr>
        <w:t>Legal citată pârâta AGENȚIA JUDETEANĂ A FINANȚELOR PUBLICE ….,  nu a formulat întâmpinare.</w:t>
        <w:br/>
        <w:t xml:space="preserve">             </w:t>
      </w:r>
      <w:r>
        <w:rPr>
          <w:rStyle w:val="Fontdeparagrafimplicit"/>
          <w:b/>
          <w:color w:val="000000"/>
          <w:u w:val="single"/>
          <w:lang w:val="en-US"/>
        </w:rPr>
        <w:t>Curtea constata</w:t>
      </w:r>
      <w:r>
        <w:rPr>
          <w:rStyle w:val="Fontdeparagrafimplicit"/>
          <w:lang w:val="en-US"/>
        </w:rPr>
        <w:br/>
        <w:t xml:space="preserve">              La 21.08.2017, Agenția Națională de Integritate a fost sesizată de către o persoană fizică în lucrarea nr. …, cu privire la respectarea regimului incompatibilităților de către R1, viceprimarul comunei ..., județul ....</w:t>
        <w:br/>
        <w:t xml:space="preserve">             Activitatea de evaluare privind respectarea regimului juridic al incompatibilităților  s-a efectuat pentru mandatul de viceprimar al comunei ..., în perioada 22.06.2016 (data validării mandatului de viceprimar) - 28.12.2017 (data adresei ONRC).</w:t>
        <w:br/>
        <w:t xml:space="preserve">             Potrivit  art. 11 alin. 1 din Legea nr. 176/2010 privind integritatea în exercitarea funcțiilor şi demnităților publice, activitatea de evaluare a averii în perioada exercitării funcțiilor ori demnităților publice, precum şi cea de evaluare a conflictelor de interese şi a incompatibilităților se efectuează atât pe durata exercitării funcțiilor ori demnităților publice, cât şi în decursul a 3 ani după încetarea acestora.</w:t>
        <w:br/>
        <w:t xml:space="preserve">            Reclamanta  R1 face parte din categoria de persoane prevăzută de art. 1 alin. (1) pct. 30 din Legea nr. 176/2010 : „Dispozițiile prezentei legi se aplică următoarelor categorii de persoane, care au obligația declarării averii şi a intereselor: (...) aleșii locali".</w:t>
        <w:br/>
        <w:t xml:space="preserve">            Desi reclamanta invoca in actiune incalcarea drepturilor sale procedurale cu privire la consemnarea obiectiunilor si incalcarea dreptului la aparare, Curtea constata ca au fost îndeplinite prevederile art. 20 din Legea nr. 176/2010 potrivit carora  ”dacă, în urma evaluării declarației de interese, precum şi a altor date şi informații, inspectorul de integritate identifică elemente în sensul existenței unui conflict de interese sau a unei incompatibilități, informează despre aceasta persoana în cauză şi are obligația de o invita pentru a prezenta un punct de vedere”.</w:t>
        <w:br/>
        <w:t xml:space="preserve">            Astfel, Curtea constata ca reclamanta R1 a fost informată despre declanșarea activității de evaluare privind respectarea regimului juridic al incompatibilităților, prin  adresa nr. …, iar  prin adresa nr. ….  i s-a comunicar  faptul că au fost identificate elemente în sensul existenței unei stări de incompatibilitate.</w:t>
        <w:br/>
        <w:t xml:space="preserve">            Reclamanta a comunicat punctul de vedere prin  adresa înregistrată la Agenția Națională de Integritate sub nr. …. .</w:t>
        <w:br/>
        <w:t xml:space="preserve">            Raportul de evaluare nr. ... a fost comunicat prin adresa nr. …..</w:t>
        <w:br/>
        <w:t xml:space="preserve">             Reclamanta  R1 sustine, în esență, faptul că nu a încălcat regimul incompatibilităților, deoarece a avut calitatea de comerciant persoană fizică pe o perioadă determinată de timp, motivat de necesitatea efectuării unor operațiuni de închidere a activității, precum și pentru că nu există o legătură între activitatea efectuată în calitate de persoană fizică si cea de viceprimar.</w:t>
        <w:br/>
        <w:t xml:space="preserve">           Raportul de evaluare a fost intocmit pe baza documentației transmise de Direcția pentru Evidența Persoanelor și Administrarea Bazelor de Date; Primăria comunei ..., județul ...; Oficiul National al Registrului Comerțului; Administrația Județeană a Finanțelor Publice ... si punctul de vedere al persoanei evaluate.</w:t>
        <w:br/>
        <w:t xml:space="preserve">             Reclamanta R1 deține funcția de viceprimar al comunei ..., județul ..., începând cu data de 22.06.2016 aspect necontestat.</w:t>
        <w:br/>
        <w:t xml:space="preserve">             Potrivit informațiilor furnizate de către Oficiul National al Registrului Comerțului,  a deținut calitatea de persoană fizică autorizată în cadrul R1 PFA, număr de ordine la ORC …, CUI …, începând cu data de 28.06.2011, iar în perioada 04.09.2017 -03.09.2020, societatea figurează cu întrerupere temporară de activitate, solicitare efectuată prin Declarația Nr. .., introdusă de către persoana evaluată la data de 04.09.2017 la Oficiul National al Registrului Comerțului;</w:t>
        <w:br/>
        <w:t xml:space="preserve">             Din datele furnizate de către Administrația Județeană a Finanțelor Publice ...,  R1 în calitate de persoană fizică autorizată, a depus Declarații privind veniturile din activitățile agricole impuse pa baza de norme de venit în anul 2016, precum şi o cerere privind reducerea venitului anual în data de 04.01.2017;</w:t>
        <w:br/>
        <w:t xml:space="preserve">             Desi reclamanta consideră că starea de incompatibilitate reținută, raportat la calitatea de viceprimar și faptul că  a desfășurat o activitate agricolă în formele prescrise de lege, nu reprezintă în fapt și în drept nimic altceva decât restrângerea exercițiului unor drepturi, restrângere care, pe de o parte, nu se încadrează în cazurile menționate în mod exhaustiv în dispozițiile art.53 din Constituția României, iar, pe de altă parte, reprezintă o măsură disproporționată față de situația care a generat-o, Curtea Constitutionala unanim in jurisprudenta sa a statuat ca in ceea ce priveşte pretinsa încălcare a dreptului constituţional la munca si a celui prevazut de art. 53 ,  stabilirea prin lege a unor condiţii şi incompatibilităţi  reprezintă aplicarea dispoziţiilor art. 53 din Constituţie, republicată, la o categorie profesională distinctă, aceste restrangeri fiind compatibile si necesare intr -o societate democratica, ele fiind garantul astfel al exercitarii respectivelor functii in conditiile legii, cu respectarea principiului transparenței în exercitarea demnităților publice, a funcțiilor publice şi în mediul de afaceri, respectiv transparență în modul de administrare şi utilizare a bunurilor publice, în exercitarea atribuțiilor prevăzute de lege, .</w:t>
        <w:br/>
        <w:t xml:space="preserve">             Reclamanta R1 a exercitat simultan atât funcția de simultan atât funcția de viceprimar al comunei ... cât și funcția de comerciant persoană fizică autorizată la R1 Persoană Fizică Autorizată … în perioada 22.06.2016 - data validării mandatului de viceprimar-28.12.2017 (data adresei ONRC).</w:t>
        <w:br/>
        <w:t xml:space="preserve">            Vazand  dispozițiile din Legea nr. 161/2003 "Art. 87 (1) Funcția de primar și viceprimar, primar general şi viceprimar al municipiului București, președinte si vicepreședinte al consiliului județean este incompatibilă cu exercitarea următoarelor funcții g) calitatea de comerciant persoană fizică; (...)"</w:t>
        <w:br/>
        <w:t xml:space="preserve">             Potrivit art. 2 din OUG nr. 44/2008 " În sensul prezentei ordonanțe de urgență, termenii și expresiile de mai jos au următoarele semnificații: a) activitate economică - activitate cu scop lucrativ, constând în producerea, administrarea ori înstrăinarea de bunuri sau în prestarea de servicii;(...) i) persoană fizică autorizată - întreprinderea economică, fără personalitate juridică, organizată de o persoană fizică ce folosește, în principal, forța sa de muncă;(...) Art. V</w:t>
        <w:br/>
        <w:t xml:space="preserve">            Un punct de vedere comun este acela ca reclamanta R1 nu a contestat inexistența calității de comerciant persoană fizică în R1 Persoană Fizică Autorizată, insa partile au interpretari dihotomice asupra dispozițiilor art. 87 alin. (1) lit. g) din Legea nr. 161/2003 cu modificările şi completările ulterioare, care sunt de strictă interpretare și aplicare.</w:t>
        <w:br/>
        <w:t xml:space="preserve">            Pentru ca starea de incompatibilitate să fi încetat sau să nu fi existat, potrivit art. 91 alin. (3) din Legea nr. 161/2003, reclamanta trebuia să renunțe la calitatea de comerciant persoană fizică înainte de a fi aleasă ca viceprimar în mandatul 2016 sau în cel mult 15 zile de la numirea sa,  suspendarea activității la Oficiul National al Registrului Comerțului intervenind  la  04.09.2017, cu depasirea termenului instituit de art. 91 alin. (3), ori potrivit principiului nemo censetur ignorare legem, partile nu se pot prevala de necunoasterea legii.</w:t>
        <w:br/>
        <w:t xml:space="preserve">             Pentru existența stării de incompatibilitate, conform art. 87 alin. (1) lit.g.) din Legea nr. 161/2003 cu modificările şi completările ulterioare, este suficient ca persoana evaluată să dețină simultan cel puțin două funcții incompatibile, condiție îndeplinită în cauza dedusă judecății.</w:t>
        <w:br/>
        <w:t xml:space="preserve">             Textul legal nu circumstantiaza  ponderea sau relevanta activattilor exercitate, incat prin simpla exercitare a celor doua functii , fara a interveni o desistare in termenul prevazut de lege, atrage ope legis starea de incompatibiltate, in acest sens fiind si jurisprudenta Inaltei Curți de Casație şi Justiție , decizia nr. 337 2016, dec. nr. 1740 2018. </w:t>
        <w:br/>
        <w:t xml:space="preserve">             Pentru motivele expuse se va dispune respingerea actiunii ca nefondate.</w:t>
      </w:r>
    </w:p>
    <w:p>
      <w:pPr>
        <w:pStyle w:val="Normal"/>
        <w:ind w:firstLine="851"/>
        <w:jc w:val="both"/>
        <w:rPr>
          <w:lang w:val="en-US"/>
        </w:rPr>
      </w:pPr>
      <w:r>
        <w:rPr>
          <w:lang w:val="en-US"/>
        </w:rPr>
      </w:r>
    </w:p>
    <w:p>
      <w:pPr>
        <w:pStyle w:val="Normal"/>
        <w:jc w:val="center"/>
        <w:rPr>
          <w:b/>
        </w:rPr>
      </w:pPr>
      <w:r>
        <w:rPr>
          <w:rStyle w:val="Fontdeparagrafimplicit"/>
          <w:b/>
        </w:rPr>
        <w:t>PENTRU ACESTE MOTIVE,</w:t>
        <w:br/>
        <w:t>ÎN NUMELE LEGII</w:t>
      </w:r>
    </w:p>
    <w:p>
      <w:pPr>
        <w:pStyle w:val="Normal"/>
        <w:jc w:val="center"/>
        <w:rPr>
          <w:b/>
        </w:rPr>
      </w:pPr>
      <w:r>
        <w:rPr>
          <w:rStyle w:val="Fontdeparagrafimplicit"/>
          <w:b/>
        </w:rPr>
        <w:t>DISPUNE</w:t>
      </w:r>
    </w:p>
    <w:p>
      <w:pPr>
        <w:pStyle w:val="Normal"/>
        <w:jc w:val="center"/>
        <w:rPr>
          <w:b/>
        </w:rPr>
      </w:pPr>
      <w:r>
        <w:rPr>
          <w:b/>
        </w:rPr>
      </w:r>
    </w:p>
    <w:p>
      <w:pPr>
        <w:pStyle w:val="Normal"/>
        <w:ind w:firstLine="851"/>
        <w:jc w:val="both"/>
        <w:rPr>
          <w:color w:val="0B3857"/>
        </w:rPr>
      </w:pPr>
      <w:r>
        <w:rPr/>
        <w:t xml:space="preserve">Respinge acțiunea formulată  de reclamanta </w:t>
      </w:r>
      <w:r>
        <w:rPr>
          <w:rStyle w:val="Fontdeparagrafimplicit"/>
          <w:b/>
        </w:rPr>
        <w:t>R1</w:t>
      </w:r>
      <w:r>
        <w:rPr/>
        <w:t xml:space="preserve">, cu domiciliul în localitatea ..., satul ..., strada: ..., jud. ... în contradictoriu cu pârâtul </w:t>
      </w:r>
      <w:r>
        <w:rPr>
          <w:rStyle w:val="Robust"/>
          <w:color w:val="0B3857"/>
        </w:rPr>
        <w:t xml:space="preserve">AGENŢIA NAŢIONALĂ DE INTEGRITATE-INSPECŢIA DE INTEGRITATE </w:t>
      </w:r>
      <w:r>
        <w:rPr>
          <w:rStyle w:val="Fontdeparagrafimplicit"/>
          <w:color w:val="0B3857"/>
        </w:rPr>
        <w:t>, ...</w:t>
      </w:r>
      <w:r>
        <w:rPr/>
        <w:t xml:space="preserve">, având ca obiect </w:t>
      </w:r>
      <w:r>
        <w:rPr>
          <w:rStyle w:val="Fontdeparagrafimplicit"/>
          <w:color w:val="0B3857"/>
        </w:rPr>
        <w:t>contestație act administrativ fiscal.</w:t>
      </w:r>
    </w:p>
    <w:p>
      <w:pPr>
        <w:pStyle w:val="Normal"/>
        <w:ind w:firstLine="708"/>
        <w:rPr/>
      </w:pPr>
      <w:r>
        <w:rPr/>
        <w:t>Cu recurs în 15 zile de la comunicare.</w:t>
      </w:r>
    </w:p>
    <w:p>
      <w:pPr>
        <w:pStyle w:val="Normal"/>
        <w:ind w:firstLine="708"/>
        <w:rPr/>
      </w:pPr>
      <w:r>
        <w:rPr/>
        <w:t xml:space="preserve">Pronunțată în ședința </w:t>
      </w:r>
      <w:bookmarkStart w:name="tip_sedinta_copie_2" w:id="2"/>
      <w:r>
        <w:rPr/>
        <w:t>publică</w:t>
      </w:r>
      <w:bookmarkEnd w:id="2"/>
      <w:r>
        <w:rPr/>
        <w:t xml:space="preserve"> de la ...</w:t>
      </w:r>
    </w:p>
    <w:p>
      <w:pPr>
        <w:pStyle w:val="Normal"/>
        <w:rPr/>
      </w:pPr>
      <w:r>
        <w:rPr/>
      </w:r>
    </w:p>
    <w:p>
      <w:pPr>
        <w:pStyle w:val="Normal"/>
        <w:jc w:val="center"/>
        <w:rPr>
          <w:b/>
        </w:rPr>
      </w:pPr>
      <w:r>
        <w:rPr/>
      </w:r>
      <w:bookmarkStart w:name="completul_1" w:id="3"/>
      <w:bookmarkStart w:name="completul_1" w:id="4"/>
      <w:bookmarkEnd w:id="4"/>
    </w:p>
    <w:tbl>
      <w:tblPr>
        <w:tblW w:w="9288" w:type="dxa"/>
        <w:jc w:val="center"/>
        <w:tblInd w:w="0" w:type="dxa"/>
        <w:tblLayout w:type="fixed"/>
        <w:tblCellMar>
          <w:top w:w="284" w:type="dxa"/>
          <w:left w:w="108" w:type="dxa"/>
          <w:bottom w:w="284" w:type="dxa"/>
          <w:right w:w="108" w:type="dxa"/>
        </w:tblCellMar>
      </w:tblPr>
      <w:tblGrid>
        <w:gridCol w:w="3096"/>
        <w:gridCol w:w="3096"/>
        <w:gridCol w:w="3096"/>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rStyle w:val="Fontdeparagrafimplicit"/>
                <w:b/>
              </w:rPr>
              <w:t>Preşedinte,</w:t>
            </w:r>
          </w:p>
          <w:p>
            <w:pPr>
              <w:pStyle w:val="Normal"/>
              <w:jc w:val="center"/>
              <w:rPr>
                <w:b/>
              </w:rPr>
            </w:pPr>
            <w:r>
              <w:rPr>
                <w:rStyle w:val="Fontdeparagrafimplicit"/>
                <w:b/>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rStyle w:val="Fontdeparagrafimplicit"/>
                <w:b/>
              </w:rPr>
              <w:t>Grefier,</w:t>
            </w:r>
          </w:p>
          <w:p>
            <w:pPr>
              <w:pStyle w:val="Normal"/>
              <w:jc w:val="center"/>
              <w:rPr>
                <w:b/>
              </w:rPr>
            </w:pPr>
            <w:r>
              <w:rPr>
                <w:rStyle w:val="Fontdeparagrafimplicit"/>
                <w:b/>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r>
    </w:tbl>
    <w:p>
      <w:pPr>
        <w:pStyle w:val="Normal"/>
        <w:jc w:val="center"/>
        <w:rPr>
          <w:rStyle w:val="Fontdeparagrafimplicit"/>
        </w:rPr>
      </w:pPr>
      <w:r>
        <w:rPr/>
      </w:r>
      <w:bookmarkStart w:name="completul_1" w:id="5"/>
      <w:bookmarkStart w:name="completul_1" w:id="6"/>
      <w:bookmarkEnd w:id="6"/>
    </w:p>
    <w:p>
      <w:pPr>
        <w:pStyle w:val="Normal"/>
        <w:jc w:val="center"/>
        <w:rPr>
          <w:rStyle w:val="Fontdeparagrafimplicit"/>
        </w:rPr>
      </w:pPr>
      <w:r>
        <w:rPr/>
      </w:r>
    </w:p>
    <w:p>
      <w:pPr>
        <w:pStyle w:val="Normal"/>
        <w:ind w:firstLine="851"/>
        <w:jc w:val="both"/>
        <w:rPr/>
      </w:pPr>
      <w:r>
        <w:rPr/>
        <w:t>Red.jud. A0006.</w:t>
      </w:r>
    </w:p>
    <w:p>
      <w:pPr>
        <w:pStyle w:val="Normal"/>
        <w:ind w:firstLine="851"/>
        <w:jc w:val="both"/>
        <w:rPr/>
      </w:pPr>
      <w:r>
        <w:rPr/>
        <w:t>Tehn. 2 ex./...</w:t>
      </w:r>
    </w:p>
    <w:p>
      <w:pPr>
        <w:pStyle w:val="Normal"/>
        <w:ind w:firstLine="708"/>
        <w:rPr/>
      </w:pPr>
      <w:r>
        <w:rPr/>
        <w:t xml:space="preserve"> </w:t>
      </w:r>
      <w:r>
        <w:rPr/>
        <w:t>...</w:t>
      </w:r>
    </w:p>
    <w:sectPr>
      <w:footerReference w:type="default" r:id="rId2"/>
      <w:type w:val="nextPage"/>
      <w:pgSz w:w="11906" w:h="16838"/>
      <w:pgMar w:top="851" w:right="851" w:bottom="851" w:left="1701"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ubsol"/>
      <w:jc w:val="center"/>
      <w:rPr/>
    </w:pPr>
    <w:r>
      <w:rPr/>
      <w:fldChar w:fldCharType="begin"/>
    </w:r>
    <w:r>
      <w:rPr/>
      <w:instrText xml:space="preserve"> PAGE </w:instrText>
    </w:r>
    <w:r>
      <w:rPr/>
      <w:fldChar w:fldCharType="separate"/>
    </w:r>
    <w:r>
      <w:rPr/>
      <w:t>5</w:t>
    </w:r>
    <w:r>
      <w:rPr/>
      <w:fldChar w:fldCharType="end"/>
    </w:r>
  </w:p>
  <w:p>
    <w:pPr>
      <w:pStyle w:val="Subsol"/>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19.48.53:80/ecris_cdms/document_upload.aspx?id_document=5400000001405534&amp;id_departament=5&amp;id_sesiune=1938962&amp;id_user=29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en-GB" w:eastAsia="en-GB"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en-GB" w:bidi="ar-SA"/>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Fontdeparagrafimplicit">
    <w:name w:val="Font de paragraf implicit"/>
    <w:qFormat/>
    <w:rPr/>
  </w:style>
  <w:style w:type="character" w:styleId="AntetCaracter">
    <w:name w:val="Antet Caracter"/>
    <w:link w:val="Antet"/>
    <w:qFormat/>
    <w:rPr/>
  </w:style>
  <w:style w:type="character" w:styleId="SubsolCaracter">
    <w:name w:val="Subsol Caracter"/>
    <w:link w:val="Subsol"/>
    <w:qFormat/>
    <w:rPr/>
  </w:style>
  <w:style w:type="character" w:styleId="Robust">
    <w:name w:val="Robust"/>
    <w:qFormat/>
    <w:rPr>
      <w:b/>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lu1">
    <w:name w:val="Titlu 1"/>
    <w:basedOn w:val="Normal"/>
    <w:next w:val="Normal"/>
    <w:qFormat/>
    <w:pPr>
      <w:keepNext w:val="true"/>
      <w:numPr>
        <w:ilvl w:val="0"/>
        <w:numId w:val="0"/>
      </w:numPr>
      <w:jc w:val="center"/>
      <w:outlineLvl w:val="0"/>
    </w:pPr>
    <w:rPr>
      <w:b/>
      <w:sz w:val="28"/>
      <w:lang w:val="en-US"/>
    </w:rPr>
  </w:style>
  <w:style w:type="paragraph" w:styleId="NormalWeb">
    <w:name w:val="Normal (Web)"/>
    <w:basedOn w:val="Normal"/>
    <w:qFormat/>
    <w:pPr>
      <w:spacing w:before="280" w:after="280"/>
    </w:pPr>
    <w:rPr/>
  </w:style>
  <w:style w:type="paragraph" w:styleId="Antet">
    <w:name w:val="Antet"/>
    <w:basedOn w:val="Normal"/>
    <w:link w:val="AntetCaracter"/>
    <w:qFormat/>
    <w:pPr>
      <w:tabs>
        <w:tab w:val="clear" w:pos="720"/>
        <w:tab w:val="center" w:pos="4536" w:leader="none"/>
        <w:tab w:val="right" w:pos="9072" w:leader="none"/>
      </w:tabs>
    </w:pPr>
    <w:rPr/>
  </w:style>
  <w:style w:type="paragraph" w:styleId="Subsol">
    <w:name w:val="Subsol"/>
    <w:basedOn w:val="Normal"/>
    <w:link w:val="SubsolCaracter"/>
    <w:qFormat/>
    <w:pPr>
      <w:tabs>
        <w:tab w:val="clear" w:pos="720"/>
        <w:tab w:val="center" w:pos="4536" w:leader="none"/>
        <w:tab w:val="right" w:pos="9072" w:leader="none"/>
      </w:tabs>
    </w:pPr>
    <w:rPr/>
  </w:style>
  <w:style w:type="paragraph" w:styleId="HeaderandFooter">
    <w:name w:val="Header and Footer"/>
    <w:basedOn w:val="Normal"/>
    <w:qFormat/>
    <w:pPr/>
    <w:rPr/>
  </w:style>
  <w:style w:type="paragraph" w:styleId="Footer">
    <w:name w:val="Footer"/>
    <w:basedOn w:val="HeaderandFooter"/>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15</ap:TotalTime>
  <ap:Application>LibreOffice/24.2.7.2$Linux_X86_64 LibreOffice_project/420$Build-2</ap:Application>
  <ap:AppVersion>15.0000</ap:AppVersion>
  <ap:Pages>2</ap:Pages>
  <ap:Words>2492</ap:Words>
  <ap:Characters>14371</ap:Characters>
  <ap:CharactersWithSpaces>17448</ap:CharactersWithSpaces>
  <ap:Paragraphs>30</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