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B348EF" w14:paraId="718F33A7" w14:textId="77777777">
      <w:pPr>
        <w:jc w:val="center"/>
      </w:pPr>
      <w:r>
        <w:t>R O M Â N I A</w:t>
      </w:r>
    </w:p>
    <w:p w:rsidR="00B348EF" w14:paraId="1DBD9404" w14:textId="0DFD281E">
      <w:pPr>
        <w:jc w:val="center"/>
      </w:pPr>
      <w:r>
        <w:t xml:space="preserve">CURTEA DE APEL </w:t>
      </w:r>
      <w:r w:rsidR="00E14666">
        <w:t xml:space="preserve">........... </w:t>
      </w:r>
    </w:p>
    <w:p w:rsidR="00B348EF" w14:paraId="0CE42B28" w14:textId="6123023C">
      <w:pPr>
        <w:jc w:val="center"/>
      </w:pPr>
      <w:r>
        <w:t xml:space="preserve">SECŢIA </w:t>
      </w:r>
      <w:r w:rsidR="00E14666">
        <w:t xml:space="preserve">........... </w:t>
      </w:r>
    </w:p>
    <w:p w:rsidR="00B348EF" w14:paraId="28585EDF" w14:textId="51B2F17B">
      <w:pPr>
        <w:jc w:val="center"/>
      </w:pPr>
      <w:r>
        <w:t xml:space="preserve">Complet </w:t>
      </w:r>
      <w:r w:rsidR="00E14666">
        <w:t xml:space="preserve">........... </w:t>
      </w:r>
    </w:p>
    <w:p w:rsidR="00B348EF" w14:paraId="613C5379" w14:textId="77777777"/>
    <w:p w:rsidRPr="00E14666" w:rsidR="00B348EF" w14:paraId="625B2737" w14:textId="77777777">
      <w:pPr>
        <w:rPr>
          <w:rStyle w:val="Fontdeparagrafimplicit"/>
          <w:b/>
          <w:lang w:val="pt-PT"/>
        </w:rPr>
      </w:pPr>
    </w:p>
    <w:p w:rsidRPr="00E14666" w:rsidR="00B348EF" w14:paraId="5DFC5626" w14:textId="6F07B38C">
      <w:pPr>
        <w:rPr>
          <w:rStyle w:val="Fontdeparagrafimplicit"/>
          <w:b/>
          <w:lang w:val="pt-PT"/>
        </w:rPr>
      </w:pPr>
      <w:r w:rsidRPr="00E14666">
        <w:rPr>
          <w:rStyle w:val="Fontdeparagrafimplicit"/>
          <w:b/>
          <w:lang w:val="pt-PT"/>
        </w:rPr>
        <w:t>Cod ECLI    ECLI:RO:</w:t>
      </w:r>
      <w:r w:rsidR="00E14666">
        <w:rPr>
          <w:rStyle w:val="Fontdeparagrafimplicit"/>
          <w:b/>
          <w:lang w:val="pt-PT"/>
        </w:rPr>
        <w:t xml:space="preserve">........... </w:t>
      </w:r>
    </w:p>
    <w:p w:rsidRPr="00E14666" w:rsidR="00B348EF" w14:paraId="3481E299" w14:textId="7BA1B316">
      <w:pPr>
        <w:rPr>
          <w:rStyle w:val="Fontdeparagrafimplicit"/>
          <w:b/>
          <w:lang w:val="pt-PT"/>
        </w:rPr>
      </w:pPr>
      <w:r w:rsidRPr="00E14666">
        <w:rPr>
          <w:rStyle w:val="Fontdeparagrafimplicit"/>
          <w:b/>
          <w:lang w:val="pt-PT"/>
        </w:rPr>
        <w:t xml:space="preserve">Dosar nr. </w:t>
      </w:r>
      <w:r w:rsidR="00E14666">
        <w:rPr>
          <w:rStyle w:val="Fontdeparagrafimplicit"/>
          <w:b/>
          <w:lang w:val="pt-PT"/>
        </w:rPr>
        <w:t>11</w:t>
      </w:r>
    </w:p>
    <w:p w:rsidRPr="00E14666" w:rsidR="00B348EF" w14:paraId="75DEC58B" w14:textId="77777777">
      <w:pPr>
        <w:rPr>
          <w:rStyle w:val="Fontdeparagrafimplicit"/>
          <w:b/>
          <w:lang w:val="pt-PT"/>
        </w:rPr>
      </w:pPr>
    </w:p>
    <w:p w:rsidRPr="00E14666" w:rsidR="00B348EF" w14:paraId="7E4D6E03" w14:textId="05C699DF">
      <w:pPr>
        <w:jc w:val="center"/>
        <w:rPr>
          <w:rStyle w:val="Fontdeparagrafimplicit"/>
          <w:b/>
          <w:lang w:val="pt-PT"/>
        </w:rPr>
      </w:pPr>
      <w:r w:rsidRPr="00E14666">
        <w:rPr>
          <w:rStyle w:val="Fontdeparagrafimplicit"/>
          <w:b/>
          <w:lang w:val="pt-PT"/>
        </w:rPr>
        <w:t xml:space="preserve">DECIZIA CIVILĂ Nr. </w:t>
      </w:r>
      <w:r w:rsidR="00E14666">
        <w:rPr>
          <w:rStyle w:val="Fontdeparagrafimplicit"/>
          <w:b/>
          <w:lang w:val="pt-PT"/>
        </w:rPr>
        <w:t>11</w:t>
      </w:r>
    </w:p>
    <w:p w:rsidR="00B348EF" w14:paraId="7B82677E" w14:textId="4BB3071B">
      <w:pPr>
        <w:jc w:val="center"/>
      </w:pPr>
      <w:r>
        <w:t xml:space="preserve">Şedinţa publică din data de </w:t>
      </w:r>
      <w:r w:rsidR="00E14666">
        <w:t xml:space="preserve">............ </w:t>
      </w:r>
    </w:p>
    <w:p w:rsidR="00B348EF" w14:paraId="54C93719" w14:textId="77777777">
      <w:pPr>
        <w:jc w:val="center"/>
      </w:pPr>
      <w:r>
        <w:t>Instanţa constituită din:</w:t>
      </w:r>
    </w:p>
    <w:p w:rsidR="00B348EF" w14:paraId="46538A55" w14:textId="19CA6095">
      <w:pPr>
        <w:jc w:val="center"/>
      </w:pPr>
      <w:r>
        <w:t xml:space="preserve">PREŞEDINTE: </w:t>
      </w:r>
      <w:r w:rsidR="00E14666">
        <w:t>A0019</w:t>
      </w:r>
    </w:p>
    <w:p w:rsidR="00B348EF" w14:paraId="0DEEA6F7" w14:textId="2B3CC580">
      <w:pPr>
        <w:jc w:val="center"/>
      </w:pPr>
      <w:r>
        <w:t xml:space="preserve">JUDECĂTOR:  </w:t>
      </w:r>
      <w:r w:rsidR="00E14666">
        <w:t xml:space="preserve">................ </w:t>
      </w:r>
    </w:p>
    <w:p w:rsidR="00B348EF" w14:paraId="1787FB2B" w14:textId="450C8497">
      <w:pPr>
        <w:jc w:val="center"/>
      </w:pPr>
      <w:r>
        <w:t xml:space="preserve">GREFIER: </w:t>
      </w:r>
      <w:r w:rsidR="00E14666">
        <w:t xml:space="preserve">................ </w:t>
      </w:r>
    </w:p>
    <w:p w:rsidR="00B348EF" w14:paraId="56BB6541" w14:textId="77777777">
      <w:pPr>
        <w:jc w:val="center"/>
      </w:pPr>
    </w:p>
    <w:p w:rsidR="00B348EF" w14:paraId="6E285723" w14:textId="1C2602A9">
      <w:pPr>
        <w:ind w:firstLine="720"/>
        <w:jc w:val="both"/>
      </w:pPr>
      <w:r>
        <w:t xml:space="preserve">S-a luat în examinare apelul declarat de pârâta CASA JUDEŢEANĂ DE PENSII </w:t>
      </w:r>
      <w:r w:rsidR="00E14666">
        <w:t xml:space="preserve">................ </w:t>
      </w:r>
      <w:r>
        <w:t xml:space="preserve">împotriva sentinţei civile nr. </w:t>
      </w:r>
      <w:r w:rsidR="00E14666">
        <w:t xml:space="preserve">.......... </w:t>
      </w:r>
      <w:r>
        <w:t xml:space="preserve">din </w:t>
      </w:r>
      <w:r w:rsidR="00E14666">
        <w:t xml:space="preserve">........... </w:t>
      </w:r>
      <w:r>
        <w:t xml:space="preserve"> pronunţate de Tribunalul </w:t>
      </w:r>
      <w:r w:rsidR="00E14666">
        <w:t xml:space="preserve">................ </w:t>
      </w:r>
      <w:r>
        <w:t xml:space="preserve">în dosarul nr. </w:t>
      </w:r>
      <w:r w:rsidR="00E14666">
        <w:t>11</w:t>
      </w:r>
      <w:r>
        <w:t xml:space="preserve">, privind şi pe intimata reclamantă </w:t>
      </w:r>
      <w:r w:rsidR="00E14666">
        <w:t xml:space="preserve">1 </w:t>
      </w:r>
      <w:r>
        <w:t>, având ca obiect  acţiune în constatare.</w:t>
      </w:r>
    </w:p>
    <w:p w:rsidR="00B348EF" w14:paraId="1CA3C278" w14:textId="73BF4C4C">
      <w:pPr>
        <w:ind w:firstLine="720"/>
        <w:jc w:val="both"/>
      </w:pPr>
      <w:r>
        <w:t xml:space="preserve">La apelul nominal se prezintă reclamanta </w:t>
      </w:r>
      <w:r w:rsidR="00E14666">
        <w:t xml:space="preserve">1 </w:t>
      </w:r>
      <w:r>
        <w:t xml:space="preserve"> şi martorii </w:t>
      </w:r>
      <w:r w:rsidR="00E14666">
        <w:t>2</w:t>
      </w:r>
      <w:r>
        <w:t xml:space="preserve"> şi </w:t>
      </w:r>
      <w:r w:rsidR="00E14666">
        <w:t>3</w:t>
      </w:r>
      <w:r>
        <w:t>, legal citaţi.</w:t>
      </w:r>
    </w:p>
    <w:p w:rsidR="00B348EF" w14:paraId="516826AC" w14:textId="77777777">
      <w:pPr>
        <w:ind w:firstLine="720"/>
      </w:pPr>
      <w:r>
        <w:t>Procedura de citare este legal îndeplinită.</w:t>
      </w:r>
    </w:p>
    <w:p w:rsidR="00B348EF" w14:paraId="23A06D5A" w14:textId="77777777">
      <w:pPr>
        <w:ind w:firstLine="720"/>
        <w:jc w:val="both"/>
      </w:pPr>
      <w:r>
        <w:t>S-a făcut referatul cauzei, după care sunt audiaţi sub prestare de jurământ martorii prezenţi, ale căror declaraţii sunt consemnate în procesele-verbale ataşate la dosar.</w:t>
      </w:r>
    </w:p>
    <w:p w:rsidR="00B348EF" w14:paraId="5C8FD981" w14:textId="554096B2">
      <w:pPr>
        <w:ind w:firstLine="720"/>
        <w:jc w:val="both"/>
      </w:pPr>
      <w:r>
        <w:t xml:space="preserve">După audierea martorilor, având cuvântul, reclamanta solicită păstrarea sentinţei pronunţate de Tribunalul </w:t>
      </w:r>
      <w:r w:rsidR="00E14666">
        <w:t xml:space="preserve">.............. </w:t>
      </w:r>
      <w:r>
        <w:t>.</w:t>
      </w:r>
    </w:p>
    <w:p w:rsidR="00B348EF" w14:paraId="15981277" w14:textId="77777777">
      <w:pPr>
        <w:ind w:firstLine="720"/>
        <w:jc w:val="both"/>
      </w:pPr>
      <w:r>
        <w:t>Curtea reţine cauza în pronunţare.</w:t>
      </w:r>
    </w:p>
    <w:p w:rsidRPr="00E14666" w:rsidR="00B348EF" w14:paraId="06092897" w14:textId="77777777">
      <w:pPr>
        <w:ind w:firstLine="720"/>
        <w:jc w:val="center"/>
        <w:rPr>
          <w:rStyle w:val="Fontdeparagrafimplicit"/>
          <w:b/>
          <w:lang w:val="pt-PT"/>
        </w:rPr>
      </w:pPr>
    </w:p>
    <w:p w:rsidRPr="00E14666" w:rsidR="00B348EF" w14:paraId="2866D5AA" w14:textId="77777777">
      <w:pPr>
        <w:jc w:val="center"/>
        <w:rPr>
          <w:rStyle w:val="Fontdeparagrafimplicit"/>
          <w:b/>
          <w:lang w:val="pt-PT"/>
        </w:rPr>
      </w:pPr>
      <w:r w:rsidRPr="00E14666">
        <w:rPr>
          <w:rStyle w:val="Fontdeparagrafimplicit"/>
          <w:b/>
          <w:lang w:val="pt-PT"/>
        </w:rPr>
        <w:t>C U R T E A</w:t>
      </w:r>
    </w:p>
    <w:p w:rsidRPr="00E14666" w:rsidR="00B348EF" w14:paraId="0C1FA610" w14:textId="77777777">
      <w:pPr>
        <w:jc w:val="center"/>
        <w:rPr>
          <w:rStyle w:val="Fontdeparagrafimplicit"/>
          <w:lang w:val="pt-PT"/>
        </w:rPr>
      </w:pPr>
    </w:p>
    <w:p w:rsidR="00B348EF" w14:paraId="35327C58" w14:textId="5625E1C9">
      <w:pPr>
        <w:ind w:firstLine="720"/>
        <w:jc w:val="both"/>
      </w:pPr>
      <w:r>
        <w:t xml:space="preserve">Prin cererea de chemare în judecată înregistrată pe rolul Tribunalului </w:t>
      </w:r>
      <w:r w:rsidR="00E14666">
        <w:t xml:space="preserve">................ </w:t>
      </w:r>
      <w:r>
        <w:t xml:space="preserve">cu nr. </w:t>
      </w:r>
      <w:r w:rsidR="00E14666">
        <w:t>11</w:t>
      </w:r>
      <w:r>
        <w:t xml:space="preserve"> reclamanta</w:t>
      </w:r>
      <w:r w:rsidRPr="00E14666">
        <w:rPr>
          <w:rStyle w:val="Fontdeparagrafimplicit"/>
          <w:b/>
          <w:lang w:val="pt-PT"/>
        </w:rPr>
        <w:t xml:space="preserve"> </w:t>
      </w:r>
      <w:r w:rsidR="00E14666">
        <w:t xml:space="preserve">1 </w:t>
      </w:r>
      <w:r w:rsidRPr="00E14666">
        <w:rPr>
          <w:rStyle w:val="Fontdeparagrafimplicit"/>
          <w:b/>
          <w:lang w:val="pt-PT"/>
        </w:rPr>
        <w:t xml:space="preserve"> </w:t>
      </w:r>
      <w:r>
        <w:t xml:space="preserve">a solicitat, în contradictoriu cu Casa Judeţeană de Pensii </w:t>
      </w:r>
      <w:r w:rsidR="00E14666">
        <w:t xml:space="preserve">................ </w:t>
      </w:r>
      <w:r>
        <w:t xml:space="preserve">constatarea faptului că în perioada 06.09.1985– 23.02.2002  în care a fost angajată în cadrul fostei societăţi </w:t>
      </w:r>
      <w:r w:rsidR="00E14666">
        <w:t xml:space="preserve">4 </w:t>
      </w:r>
      <w:r>
        <w:t xml:space="preserve"> a desfăşurat activitatea în grupa a II-a de muncă.</w:t>
      </w:r>
    </w:p>
    <w:p w:rsidR="00B348EF" w14:paraId="6CD90F36" w14:textId="5F26F6C8">
      <w:pPr>
        <w:ind w:firstLine="708"/>
        <w:jc w:val="both"/>
      </w:pPr>
      <w:r w:rsidRPr="00E14666">
        <w:rPr>
          <w:rStyle w:val="Fontdeparagrafimplicit"/>
          <w:i/>
          <w:lang w:val="ro-RO"/>
        </w:rPr>
        <w:t xml:space="preserve">Prin sentinţa civilă nr. </w:t>
      </w:r>
      <w:r w:rsidR="00E14666">
        <w:rPr>
          <w:rStyle w:val="Fontdeparagrafimplicit"/>
          <w:i/>
          <w:lang w:val="ro-RO"/>
        </w:rPr>
        <w:t xml:space="preserve">.......... </w:t>
      </w:r>
      <w:r w:rsidRPr="00E14666">
        <w:rPr>
          <w:rStyle w:val="Fontdeparagrafimplicit"/>
          <w:i/>
          <w:lang w:val="ro-RO"/>
        </w:rPr>
        <w:t xml:space="preserve">din </w:t>
      </w:r>
      <w:r w:rsidR="00E14666">
        <w:rPr>
          <w:rStyle w:val="Fontdeparagrafimplicit"/>
          <w:i/>
          <w:lang w:val="ro-RO"/>
        </w:rPr>
        <w:t xml:space="preserve">........... </w:t>
      </w:r>
      <w:r w:rsidRPr="00E14666">
        <w:rPr>
          <w:rStyle w:val="Fontdeparagrafimplicit"/>
          <w:i/>
          <w:lang w:val="ro-RO"/>
        </w:rPr>
        <w:t xml:space="preserve"> a Tribunalului </w:t>
      </w:r>
      <w:r w:rsidR="00E14666">
        <w:rPr>
          <w:rStyle w:val="Fontdeparagrafimplicit"/>
          <w:i/>
          <w:lang w:val="ro-RO"/>
        </w:rPr>
        <w:t xml:space="preserve">.............. </w:t>
      </w:r>
      <w:r w:rsidRPr="00E14666">
        <w:rPr>
          <w:rStyle w:val="Fontdeparagrafimplicit"/>
          <w:i/>
          <w:lang w:val="ro-RO"/>
        </w:rPr>
        <w:t xml:space="preserve">, pronunţată în dosarul nr. </w:t>
      </w:r>
      <w:r w:rsidR="00E14666">
        <w:rPr>
          <w:rStyle w:val="Fontdeparagrafimplicit"/>
          <w:i/>
          <w:lang w:val="ro-RO"/>
        </w:rPr>
        <w:t>11</w:t>
      </w:r>
      <w:r w:rsidRPr="00E14666">
        <w:rPr>
          <w:rStyle w:val="Fontdeparagrafimplicit"/>
          <w:i/>
          <w:lang w:val="ro-RO"/>
        </w:rPr>
        <w:t>,</w:t>
      </w:r>
      <w:r>
        <w:t xml:space="preserve"> s-a admis  excepţia prematurităţii cererii de recalculare a pensiei, invocată de către pârâtă şi în consecinţă s-a  respins ca prematur formulată această cerere.</w:t>
      </w:r>
    </w:p>
    <w:p w:rsidR="00B348EF" w14:paraId="5E298340" w14:textId="5D143000">
      <w:pPr>
        <w:ind w:firstLine="708"/>
        <w:jc w:val="both"/>
      </w:pPr>
      <w:r>
        <w:t xml:space="preserve">S-a respins ca neîntemeiată excepţia lipsei calităţii procesuale pasive a pârâtei Casa Judeţeană de Pensii </w:t>
      </w:r>
      <w:r w:rsidR="00E14666">
        <w:t xml:space="preserve">.............. </w:t>
      </w:r>
      <w:r>
        <w:t>, excepţie invocată de aceasta.</w:t>
      </w:r>
    </w:p>
    <w:p w:rsidR="00B348EF" w14:paraId="799D192B" w14:textId="232F5097">
      <w:pPr>
        <w:ind w:firstLine="708"/>
        <w:jc w:val="both"/>
      </w:pPr>
      <w:r>
        <w:t xml:space="preserve">S-a admis în parte cererea în constatare formulată de reclamanta </w:t>
      </w:r>
      <w:r w:rsidR="00E14666">
        <w:t xml:space="preserve">1 </w:t>
      </w:r>
      <w:r>
        <w:t xml:space="preserve"> în contradictoriu cu pârâta CASA JUDEŢEANĂ DE PENSII </w:t>
      </w:r>
      <w:r w:rsidR="00E14666">
        <w:t xml:space="preserve">.............. </w:t>
      </w:r>
      <w:r>
        <w:t>.</w:t>
      </w:r>
    </w:p>
    <w:p w:rsidR="00B348EF" w14:paraId="1ADB8E8B" w14:textId="5DD20FD7">
      <w:pPr>
        <w:ind w:firstLine="708"/>
        <w:jc w:val="both"/>
      </w:pPr>
      <w:r>
        <w:t xml:space="preserve">S-a constatat că reclamanta </w:t>
      </w:r>
      <w:r w:rsidR="00E14666">
        <w:t xml:space="preserve">1 </w:t>
      </w:r>
      <w:r>
        <w:t xml:space="preserve"> a desfăşurat activitate în grupa a II-a de muncă, în perioadele 06.09.1985-01.05.1991 în procent de 100%, 01.05.1991-01.04.2001 în procent de 70%.</w:t>
      </w:r>
    </w:p>
    <w:p w:rsidR="00B348EF" w14:paraId="73F83127" w14:textId="7ECA24E0">
      <w:pPr>
        <w:ind w:firstLine="708"/>
        <w:jc w:val="both"/>
      </w:pPr>
      <w:r>
        <w:t xml:space="preserve">Reclamanta a fost obligată la plata diferenţei de 100 lei onorariu expert în favoarea d-lui expert </w:t>
      </w:r>
      <w:r w:rsidR="00E14666">
        <w:t>5</w:t>
      </w:r>
      <w:r>
        <w:t xml:space="preserve">. </w:t>
      </w:r>
    </w:p>
    <w:p w:rsidR="00B348EF" w14:paraId="13828A06" w14:textId="6FEA8A78">
      <w:pPr>
        <w:ind w:firstLine="720"/>
        <w:jc w:val="both"/>
      </w:pPr>
      <w:r>
        <w:t xml:space="preserve">Pentru a hotărî astfel, prima instanţă a reţinut, în esenţă, că din analiza datelor din carnetul de muncă rezultă că reclamanta a desfăşurat efectiv activitate în cadrul Întreprinderii </w:t>
      </w:r>
      <w:r w:rsidR="00E14666">
        <w:t>6</w:t>
      </w:r>
      <w:r>
        <w:t xml:space="preserve">, </w:t>
      </w:r>
      <w:r w:rsidR="00E14666">
        <w:t xml:space="preserve">......... </w:t>
      </w:r>
      <w:r>
        <w:t xml:space="preserve"> în perioada 06.09.1985 – 23.02.2002, având meseria de lăcătuş până în data de 01.05.1991 şi ulterior desfăşurând activitate de primitor-distribuitor şi recepţioner. </w:t>
      </w:r>
    </w:p>
    <w:p w:rsidR="00B348EF" w14:paraId="11F5CE8A" w14:textId="77777777">
      <w:pPr>
        <w:ind w:firstLine="720"/>
        <w:jc w:val="both"/>
      </w:pPr>
      <w:r>
        <w:t>Analizând completarea raportului de expertiză transmisă la dosar la solicitarea instanţei s-a reţinut faptul că la stabilirea procentului în care reclamanta poate beneficia de încadrare în grupa de muncă expertul a ţinut cont de natura activităţii acestuia coroborată cu procentul de timp în care, teoretic, ar fi trebuit să fie efectiv în secţie.</w:t>
      </w:r>
      <w:r w:rsidRPr="00E14666">
        <w:rPr>
          <w:rStyle w:val="Fontdeparagrafimplicit"/>
          <w:b/>
          <w:lang w:val="ro-RO"/>
        </w:rPr>
        <w:t xml:space="preserve"> </w:t>
      </w:r>
      <w:r>
        <w:t xml:space="preserve">Perioadele pentru care expertul a considerat că se poate beneficia de încadrarea în grupă de muncă în procent de 70% </w:t>
      </w:r>
      <w:r>
        <w:t>au fost acele perioade în care reclamanta a desfăşurat activităţi specifice funcţiilor de primitor-distribuitor şi respectiv de recepţioner.</w:t>
      </w:r>
    </w:p>
    <w:p w:rsidR="00B348EF" w14:paraId="1E014D1E" w14:textId="77777777">
      <w:pPr>
        <w:ind w:firstLine="720"/>
        <w:jc w:val="both"/>
      </w:pPr>
      <w:r>
        <w:t>Datorită condiţiilor de muncă, reclamanta ca şi alţi colegi în situaţii similare au beneficiat de sporuri la salariul de  bază pentru condiţii deosebite începând cu data de 01.01.1990 dar nu au beneficiat de reducerea vârstei de pensionare prin încadrarea în grupa II de muncă pentru perioada anterioară datei de 01.04.2001 deşi, aşa cum rezultă din documentele depuse la dosar şi-a desfăşurat activitatea în aceleaşi condiţii pentru care alţi colegi au beneficiat de acest drept.</w:t>
      </w:r>
    </w:p>
    <w:p w:rsidR="00B348EF" w14:paraId="32F8283A" w14:textId="77777777">
      <w:pPr>
        <w:ind w:firstLine="720"/>
        <w:jc w:val="both"/>
      </w:pPr>
      <w:r>
        <w:t>Înalta Curte de Casaţie şi Justiţie, completul competent să judece recursul în interesul legii prin Decizie nr. 9/2016  din 16/05/2016  a statuat faptul că: În interpretarea şi aplicarea unitară a dispoziţiilor pct. 6-8 şi 12 din Ordinul Ministerului Muncii şi Protecţiei Sociale nr. 50/1990, instanţele de judecată au posibilitatea analizării şi constatării pe cale judiciară, ulterior abrogării acestui act normativ, a încadrării muncii prestate în perioada 18 martie 1969-1 aprilie 2001, după caz, în grupele I sau II de muncă, decizie obligatorie pentru instantele de judecată, potrivit art. 517 alin. (4) din Codul de procedură civilă.</w:t>
      </w:r>
    </w:p>
    <w:p w:rsidR="00B348EF" w14:paraId="752C18FA" w14:textId="22A8EC91">
      <w:pPr>
        <w:ind w:firstLine="720"/>
        <w:jc w:val="both"/>
      </w:pPr>
      <w:r>
        <w:t xml:space="preserve">În speţă, din ansamblul materialului probator administrat în cauză, tribunalul reţine că fostul angajator SC </w:t>
      </w:r>
      <w:r w:rsidR="00E14666">
        <w:t xml:space="preserve">4 </w:t>
      </w:r>
      <w:r>
        <w:t xml:space="preserve"> a considerat că activitatea de desfăşurată de reclamant la locul de muncă  din unitate nu îndeplineşte condiţiile prevăzute de Ordinul 50/1990 pentru a fi încadrată în grupa a II-a de muncă deşi, pentru alte activităţi cum sunt cele de vopsitor, sudor, lăcătuş şlefuitor, astfel cum reiese din anexele contractelor colective de muncă depuse la dosar,  desfăşurate în cadrul aceleiaşi secţii şi inclusiv în aceiaşi incintă, s-a efectuat încadrarea în grupa superioară de muncă.</w:t>
      </w:r>
    </w:p>
    <w:p w:rsidR="00B348EF" w14:paraId="37C71BD8" w14:textId="77777777">
      <w:pPr>
        <w:ind w:firstLine="720"/>
        <w:jc w:val="both"/>
      </w:pPr>
      <w:r>
        <w:t>La poziţia 33 din Anexa II a Ordinului 50/1950, cu modificările aduse prin avizele din 31 august 1994 sunt menţionate următoarele activităţi: activitatea în turnătoriile de fontă, oţel sau materiale neferoase, cu producţie industrială continuă ale căror operaţii de dezbatere sau curăţare a pieselor turnate se execută în ateliere complet separate, amplasate în afara halei turnătoriei (…).</w:t>
      </w:r>
    </w:p>
    <w:p w:rsidR="00B348EF" w14:paraId="6C83EC08" w14:textId="77777777">
      <w:pPr>
        <w:ind w:firstLine="720"/>
        <w:jc w:val="both"/>
      </w:pPr>
      <w:r>
        <w:t>Iar în ceea ce priveşte formularea din cuprinsul poz.33 din Ordinul 50/1990: Activitatea în turnatoriile (...) ale căror operaţii de dezbatere sau curăţare a pieselor turnate se execută în ateliere complet separate, amplasate în afara halei turnătoriei, acesta este una generică, care în opinia instanţei înglobează toate activităţile legate de producerea pieselor turnate atâta timp cât aceste se desfăşoară în aceleaşi ateliere, hale cu activităţile de dezbatere şi curăţare, principalele procedee de obţinere a pieselor finite, din punct de vedere al gradului de emanare a noxelor specifice materialelor prime utilizate.</w:t>
      </w:r>
    </w:p>
    <w:p w:rsidR="00B348EF" w14:paraId="1C02E273" w14:textId="77777777">
      <w:pPr>
        <w:ind w:firstLine="720"/>
        <w:jc w:val="both"/>
      </w:pPr>
      <w:r>
        <w:t>Analizând cuprinsul celor două anexe ale Ordinului 50/1990, se reţine faptul că în privinţa activităţilor specifice turnatoriilor de fonta, oţel şi metale neferoase, legiuitorul le-a grupat în activităţi care se încadrează în grupa I de muncă, la poziţia 25 din anexa I: Activitatea în turnatoriile de fonta, oţel sau metale neferoase, cu producţie industrială continua în care se execută şi operaţiile de dezbatere sau curăţare a pieselor în hală de turnare şi activităţi care se încadrează în grupa II, la poziţia 33, mai sus citată, distincţia fiind dată de locul în care se desfăşoară activităţile respective, în hala turnătoriei, respectiv în cazul grupei a II în ateliere complet separate, amplasate în afara halei turnătoriei.</w:t>
      </w:r>
    </w:p>
    <w:p w:rsidR="00B348EF" w14:paraId="35B60CDA" w14:textId="6D2118BF">
      <w:pPr>
        <w:ind w:firstLine="720"/>
        <w:jc w:val="both"/>
      </w:pPr>
      <w:r>
        <w:t xml:space="preserve">Astfel, în ceea ce priveşte activităţile desfăşurate în cadrul „Întreprinderii </w:t>
      </w:r>
      <w:r w:rsidR="00E14666">
        <w:t>6</w:t>
      </w:r>
      <w:r>
        <w:t xml:space="preserve"> </w:t>
      </w:r>
      <w:r w:rsidR="00E14666">
        <w:t xml:space="preserve">......... </w:t>
      </w:r>
      <w:r>
        <w:t>”  având în vedere faptul că acestea constau în proiectarea, producerea şi comercializarea armăturilor industriale din fontă, oţel şi neferoase, fitingurilor din fontă maleabilă, maşinilor agregat pentru prelucrarea armăturilor, se impunea ca activităţile ce se desfăşurau în ateliere în care se efectuau şi operaţiunile de debatere şi curăţare  precum şi cele expres enumerate prevăzute la poziţia 34 din anexa II:  să fie încadrate în una din cele două grupe de muncă, conform distincţiei mai sus arătate.</w:t>
      </w:r>
    </w:p>
    <w:p w:rsidR="00B348EF" w14:paraId="2417CE14" w14:textId="77777777">
      <w:pPr>
        <w:ind w:firstLine="720"/>
        <w:jc w:val="both"/>
      </w:pPr>
      <w:r>
        <w:t>Esenţiale pentru încadrarea în grupele de muncă, respectiv pentru stabilirea condiţiilor nocive de muncă, apar aici a fi materialele utilizate, respectiv fontă, oţel şi materiale neferoase, materiale care prin acţionarea asupra lor degajă noxe specifice astfel cum a evidenţiat şi expertul desemnat în prezenta cauză în lucrarea de specialitate, în urma analizei specificului activităţilor în cadrul întreprinderilor care utilizau aceste materii prime.</w:t>
      </w:r>
    </w:p>
    <w:p w:rsidR="00B348EF" w14:paraId="4049A8A9" w14:textId="77777777">
      <w:pPr>
        <w:ind w:firstLine="720"/>
        <w:jc w:val="both"/>
      </w:pPr>
      <w:r>
        <w:t>În plus, instanţa a avut în vedere şi prevederile art.3 ale Ordinului 50/1990 care stipulează faptul că: Beneficiază de încadrarea în grupele I şi II de munca, potrivit celor menţionate, fără limitarea numărului, personalul care este în activitate: muncitori, ingineri, subingineri, maiştri, tehnicieni, personal de întreţinere şi reparaţii, controlori tehnici de calitate, precum şi alte categorii de personal care lucrează efectiv la locurile de munca şi activităţile prevăzute în anexele nr. 1 şi 2.</w:t>
      </w:r>
    </w:p>
    <w:p w:rsidR="00B348EF" w14:paraId="64D83B9A" w14:textId="77777777">
      <w:pPr>
        <w:ind w:firstLine="720"/>
        <w:jc w:val="both"/>
      </w:pPr>
      <w:r>
        <w:t>Or, în cauza dedusă judecăţii, deşi meseria de lăcătuş nu este menţionată expres în anexa II a Ordinului 50/1990, de altfel acest act normativ având în vedere activităţii concrete şi locuri de muncă, nu meserii, reclamanta a desfăşurat activitate într-un domeniu de activitate nominalizat expres şi anume producţia de piese turnate din fontă ( pct. 25 anexa I şi punctul 33 anexa II) în condiţiile concrete descrise în ceea ce-l priveşte pe reclamant la pct.33, respectiv în turnătoriile de fontă, oţel sau materiale neferoase, cu producţie industrială continuă ale căror operaţii de dezbatere sau curăţare a pieselor turnate se execută în ateliere complet separate, amplasate în afara halei turnătoriei (…).</w:t>
      </w:r>
    </w:p>
    <w:p w:rsidR="00B348EF" w14:paraId="5673657A" w14:textId="767141F5">
      <w:pPr>
        <w:ind w:firstLine="720"/>
        <w:jc w:val="both"/>
      </w:pPr>
      <w:r>
        <w:t xml:space="preserve">Pentru toate aceste considerente, tribunalul a admis în parte cererea în constatare formulată de reclamanta </w:t>
      </w:r>
      <w:r w:rsidR="00E14666">
        <w:t xml:space="preserve">1 </w:t>
      </w:r>
      <w:r>
        <w:t xml:space="preserve"> în contradictoriu cu pârâta Casa Judeţeană de Pensii </w:t>
      </w:r>
      <w:r w:rsidR="00E14666">
        <w:t xml:space="preserve">.............. </w:t>
      </w:r>
      <w:r>
        <w:t>.</w:t>
      </w:r>
    </w:p>
    <w:p w:rsidR="00B348EF" w14:paraId="2408CDB1" w14:textId="06CA53F4">
      <w:pPr>
        <w:ind w:firstLine="708"/>
        <w:jc w:val="both"/>
      </w:pPr>
      <w:r>
        <w:t xml:space="preserve">În baza art.339 alin.2 instanţa de fond a obligat reclamantul la plata sumei de 100 lei onorariu expert în favoarea d-lui expert </w:t>
      </w:r>
      <w:r w:rsidR="00E14666">
        <w:t>5</w:t>
      </w:r>
      <w:r>
        <w:t xml:space="preserve">. </w:t>
      </w:r>
    </w:p>
    <w:p w:rsidRPr="00E14666" w:rsidR="00B348EF" w14:paraId="00C7C703" w14:textId="08E3C476">
      <w:pPr>
        <w:ind w:firstLine="708"/>
        <w:jc w:val="both"/>
        <w:rPr>
          <w:rStyle w:val="Fontdeparagrafimplicit"/>
          <w:color w:val="000000"/>
          <w:lang w:val="pt-PT"/>
        </w:rPr>
      </w:pPr>
      <w:r w:rsidRPr="00E14666">
        <w:rPr>
          <w:rStyle w:val="Fontdeparagrafimplicit"/>
          <w:i/>
          <w:lang w:val="pt-PT"/>
        </w:rPr>
        <w:tab/>
        <w:t xml:space="preserve">Împotriva acestor hotărâri a declarat apel pârâta CASA JUDEŢEANĂ DE PENSII </w:t>
      </w:r>
      <w:r w:rsidR="00E14666">
        <w:rPr>
          <w:rStyle w:val="Fontdeparagrafimplicit"/>
          <w:i/>
          <w:lang w:val="pt-PT"/>
        </w:rPr>
        <w:t xml:space="preserve">................ </w:t>
      </w:r>
      <w:r>
        <w:t>solicitând anularea în totalitate a hotărârii atacate şi trimiterea cauzei spre rejudecare primei instanţe.</w:t>
      </w:r>
    </w:p>
    <w:p w:rsidR="00B348EF" w14:paraId="0B2A6B0D" w14:textId="77BE8C6E">
      <w:pPr>
        <w:ind w:firstLine="708"/>
        <w:jc w:val="both"/>
      </w:pPr>
      <w:r>
        <w:t xml:space="preserve">În motivarea apelului, apelanta a invocat excepţia prematurităţii introducerii acţiunii împotriva Casei Judeţene de Pensii </w:t>
      </w:r>
      <w:r w:rsidR="00E14666">
        <w:t xml:space="preserve">.............. </w:t>
      </w:r>
      <w:r>
        <w:t>, în condiţiile în care reclamantul nu s-a adresat instituţiei cu o cerere de acordare sau recalculare a drepturilor de pensie în conformitate cu prevederile art.107 alin.3 din Legea nr.263/2010 privind sistemul unitar de pensii publice, în baza unui document care să ateste că acesta şi-a desfăşurat activitatea în grupa superioară de muncă.</w:t>
      </w:r>
    </w:p>
    <w:p w:rsidR="00B348EF" w14:paraId="75598499" w14:textId="13CF06B9">
      <w:pPr>
        <w:ind w:firstLine="708"/>
        <w:jc w:val="both"/>
      </w:pPr>
      <w:r>
        <w:t>Cu privire la excepţia lipsei calităţii procesuale pasive invocată în faţa instanţei de fond şi respinsă de către aceasta în mod nejustificat, apelanta a apreciat că se impune admiterea acestei excepţii potrivit dispoziţiilor Deciziei nr.2/2016 pronunţată de Î.C.C.J. prin care s-a statuat în interpretarea şi aplicarea dispoziţiilor art. 34 alin. 5 şi art. 40 alin. 2 lit. h din Legea nr. 53/2003 privind Codul Muncii, republicată, cu modificările şi completările ulterioare, cu referire la art.18 din Legea nr. 16/1996, republicată, „în cazul existenţei documentelor primare, persoana interesată, care nu posedă dovezi privind vechimea în muncă sau activitatea desfăşurată în anumite grupe de muncă, are deschisă calea unei acţiuni în realizare - obligaţie de a face - având ca obiect obligarea deţinătorului de arhivă de a elibera adeverinţa constatatoare a vechimii în muncă/încadrării în grupele superioare de muncă....Toate aceste persoane juridice dobândesc, în raport cu data preluării arhivei şi forma legii în vigoare la momentul respectiv, calitate procesuală pasivă în cadrul unui litigiu având ca obiect eliberarea unei adeverinţe constatatoare a raportului de muncă (acţiune vizând obligaţia de a face)”.</w:t>
      </w:r>
      <w:r w:rsidR="00E14666">
        <w:t xml:space="preserve"> </w:t>
      </w:r>
      <w:r>
        <w:t>Per a contario, casele teritoriale de pensii justifică legitimare procesuală pasivă doar în ipoteza în care nu există documente primare.</w:t>
      </w:r>
    </w:p>
    <w:p w:rsidR="00B348EF" w14:paraId="0640D3BD" w14:textId="77777777">
      <w:pPr>
        <w:ind w:firstLine="708"/>
        <w:jc w:val="both"/>
      </w:pPr>
      <w:r>
        <w:t>În contextul considerentelor şi în temeiul dispoziţiilor legale mai sus arătate, având în vedere şi dispoziţiile art. 517 alin. 4 C. pr. civ., potrivit cărora dezlegarea dată problemelor de drept judecate în recurs în interesul legii este obligatorie pentru instanţe de la data publicării deciziei în Monitorul Oficial, apelanta a apreciat că, instituţia nu are calitate procesuală pasivă în cauză, considerând totodată că, instanţa de fond în mod vădit nu a respectat acestă prevedere legală.</w:t>
      </w:r>
    </w:p>
    <w:p w:rsidR="00B348EF" w14:paraId="0007B5FB" w14:textId="6B609798">
      <w:pPr>
        <w:ind w:firstLine="708"/>
        <w:jc w:val="both"/>
      </w:pPr>
      <w:r>
        <w:t xml:space="preserve">Acest punct de vedere, a calităţii procesuale pasive a deţinătorului fondului arhivistic, fiind împărtăşit şi de către Curtea de Apel </w:t>
      </w:r>
      <w:r w:rsidR="00E14666">
        <w:t xml:space="preserve">........... </w:t>
      </w:r>
      <w:r>
        <w:t xml:space="preserve"> prin Decizia civilă nr. </w:t>
      </w:r>
      <w:r w:rsidR="00460362">
        <w:t>A</w:t>
      </w:r>
      <w:r>
        <w:t xml:space="preserve">/2016 pronunţată în dosarul nr. </w:t>
      </w:r>
      <w:r w:rsidR="00460362">
        <w:t>11.2</w:t>
      </w:r>
      <w:r>
        <w:t>.</w:t>
      </w:r>
    </w:p>
    <w:p w:rsidR="00B348EF" w14:paraId="42DD1A20" w14:textId="225846FB">
      <w:pPr>
        <w:ind w:firstLine="708"/>
        <w:jc w:val="both"/>
      </w:pPr>
      <w:r>
        <w:t xml:space="preserve">Apelanta a apreciat că, din punctul lor de vedere s-ar crea un precedent periculos dacă o parte importantă dintre foştii salariaţii ai S.C. </w:t>
      </w:r>
      <w:r w:rsidR="00E14666">
        <w:t xml:space="preserve">4 </w:t>
      </w:r>
      <w:r>
        <w:t xml:space="preserve">S.A. </w:t>
      </w:r>
      <w:r w:rsidR="00E14666">
        <w:t xml:space="preserve">......... </w:t>
      </w:r>
      <w:r>
        <w:t xml:space="preserve">, care nu au fost încadraţi de către angajator în grupe superioare de muncă, s-ar adresa ulterior instanţei cu cereri similare, </w:t>
      </w:r>
      <w:r>
        <w:t xml:space="preserve">pentru a obliga Casa Judeţeană de Pensii </w:t>
      </w:r>
      <w:r w:rsidR="00E14666">
        <w:t xml:space="preserve">................ </w:t>
      </w:r>
      <w:r>
        <w:t>să fie parte în astfel de litigii, afectând buna desfăşurare a activităţii instituţiei lor, care potrivit cadrului legal în vigoare, respectiv Legea nr.263/2010 privind sistemul unitar de pensii publice nu are ca şi atribuţii încadrarea în grupe superioare de muncă. Totodată a considerat că, şi bugetul asigurărilor sociale de stat din care se plătesc drepturile de pensie este afectat datorită faptului că, în speţa de faţă angajatorul nefăcând încadrarea în grupe superioare de muncă nu au fost virate contribuţiile aferente acestor condiţii de muncă. Prin urmare, apelanta a apreciat că, acolo unde angajatorul nu a făcut încadrarea în grupe superioare de muncă s-a datorat faptului că, nu a existat cadrul legal pentru încadrarea în acele condiţii, atâta timp cât unitatea a făcut astfel de încadrări acolo unde se justificau.</w:t>
      </w:r>
    </w:p>
    <w:p w:rsidR="00B348EF" w14:paraId="37402374" w14:textId="77777777">
      <w:pPr>
        <w:ind w:firstLine="708"/>
        <w:jc w:val="both"/>
      </w:pPr>
      <w:r>
        <w:t>Apelanta a mai arătat că întreprinderea fostă angajatoare, a fost desfiinţată iar, în atare situaţie, reclamantul este îndreptăţit să-şi valorifice dreptul în opoziţie cu deţinătorul arhivei acestui angajator, acesta fiind persoana juridică în a cărei păstrare se afla documentele în baza cărora se poate întocmi şi elibera adeverinţa necesară şi doveditoare privind condiţiile de muncă, iar instanţa de judecată dacă apreciază că acesta îndeplineşte toate condiţiile de conţinut şi formă şi din coroborare cu celelalte probe administrate, poate da satisfacţie cererilor şi susţinerilor reclamantului.</w:t>
      </w:r>
    </w:p>
    <w:p w:rsidR="00B348EF" w14:paraId="329CFAD9" w14:textId="2AC2CA33">
      <w:pPr>
        <w:ind w:firstLine="708"/>
        <w:jc w:val="both"/>
      </w:pPr>
      <w:r>
        <w:t xml:space="preserve">Acest punct de vedere fiind împărtăşit şi de Arhivele Naţionale a României prin Serviciul Judeţean al Arhivelor Naţionale </w:t>
      </w:r>
      <w:r w:rsidR="00E14666">
        <w:t xml:space="preserve">................ </w:t>
      </w:r>
      <w:r>
        <w:t xml:space="preserve">şi exprimat prin întâmpinarea depusă la dosarul nr. </w:t>
      </w:r>
      <w:r w:rsidR="00E14666">
        <w:t>11.1</w:t>
      </w:r>
      <w:r w:rsidR="00716984">
        <w:t xml:space="preserve"> </w:t>
      </w:r>
      <w:r>
        <w:t xml:space="preserve">„...la data de 02.11.2004, </w:t>
      </w:r>
      <w:r w:rsidR="00E14666">
        <w:t xml:space="preserve">7 </w:t>
      </w:r>
      <w:r>
        <w:t xml:space="preserve">S.R.L. a cumpărat prin licitaţie publica S.C. </w:t>
      </w:r>
      <w:r w:rsidR="00E14666">
        <w:t xml:space="preserve">4 </w:t>
      </w:r>
      <w:r>
        <w:t xml:space="preserve"> </w:t>
      </w:r>
      <w:r w:rsidR="00E14666">
        <w:t xml:space="preserve">......... </w:t>
      </w:r>
      <w:r>
        <w:t xml:space="preserve">, societate aflata în procedura de lichidare voluntara. Prin contractul de vânzare-cumpărare încheiat, art.4 pct. c, cumpărătorul s-a asumat şi obligaţia de a prelua arhiva societăţii achiziţionate. Radierea S.C. </w:t>
      </w:r>
      <w:r w:rsidR="00E14666">
        <w:t xml:space="preserve">4 </w:t>
      </w:r>
      <w:r>
        <w:t xml:space="preserve"> S.A. a avut ca efect dispariţia personalităţii juridice a acestei societăţi comerciale care a încetat să mai existe ca subiect de drept.... La nivelul anului 2004, lichidatorul judiciar ori </w:t>
      </w:r>
      <w:r w:rsidR="00E14666">
        <w:t xml:space="preserve">7 </w:t>
      </w:r>
      <w:r>
        <w:t xml:space="preserve">S.R.L., în calitate de cumpărător, nu a solicitat preluarea de către Serviciul Judeţean </w:t>
      </w:r>
      <w:r w:rsidR="00E14666">
        <w:t xml:space="preserve">................ </w:t>
      </w:r>
      <w:r>
        <w:t xml:space="preserve">al Arhivelor Naţionale a documentelor cu valoare istorică şi nici nu a predat Casei Judeţene de Pensii </w:t>
      </w:r>
      <w:r w:rsidR="00E14666">
        <w:t xml:space="preserve">................ </w:t>
      </w:r>
      <w:r>
        <w:t>documentele cu valoare practică.</w:t>
      </w:r>
    </w:p>
    <w:p w:rsidR="00B348EF" w14:paraId="4B502B47" w14:textId="77777777">
      <w:pPr>
        <w:ind w:firstLine="708"/>
        <w:jc w:val="both"/>
      </w:pPr>
      <w:r>
        <w:t xml:space="preserve">Apelanta a mai invocat considerentele Deciziei nr.9/2016 a Î.C.C.J. </w:t>
      </w:r>
    </w:p>
    <w:p w:rsidR="00B348EF" w14:paraId="5D991177" w14:textId="77777777">
      <w:pPr>
        <w:ind w:firstLine="708"/>
        <w:jc w:val="both"/>
      </w:pPr>
      <w:r>
        <w:t>Având în vedere aspectele mai sus precizate, apelanta a apreciat utilă proba cu expertiza tehnică, în condiţiile în care instanţa de fond nu a avut în vedere următoarele:</w:t>
      </w:r>
    </w:p>
    <w:p w:rsidR="00B348EF" w14:paraId="543FF7CB" w14:textId="77777777">
      <w:pPr>
        <w:ind w:firstLine="708"/>
        <w:jc w:val="both"/>
      </w:pPr>
      <w:r>
        <w:t>- aspectul referitor la perioada îndelungată trecută de la data desfăşurării activităţii angajatului şi efectuarea expertizei cu privire la condiţiile de muncă, prin prisma posibilelor modificări survenite în timp la acel loc de muncă.</w:t>
      </w:r>
    </w:p>
    <w:p w:rsidR="00B348EF" w14:paraId="3512005C" w14:textId="77777777">
      <w:pPr>
        <w:ind w:firstLine="708"/>
        <w:jc w:val="both"/>
      </w:pPr>
      <w:r>
        <w:t>- ulterior anului 1990, în conformitate cu prevederile art.14 alin.2 din Ordinul nr.50/1990, a intervenit drept condiţie de încadrare în grupe superioare de muncă, existenţa unui nivel de noxe peste nivelul maxim admis de normele de protecţie a muncii. Or, o expertiză în domeniul protecţiei muncii, care nu ar mai putea verifica, în concret, situaţia condiţiilor de muncă din perioada anterioară anului 2001, ci cuprinde doar o evaluare teoretică a riscurilor potenţiale în considerarea naturii activităţii, apreciază că nu reprezintă o proba pertinentă şi utilă în baza căruia s-a făcut încadrarea reclamantului în grupa superioară de muncă.</w:t>
      </w:r>
    </w:p>
    <w:p w:rsidR="00B348EF" w14:paraId="0EA4AC8E" w14:textId="4FF44594">
      <w:pPr>
        <w:ind w:firstLine="708"/>
        <w:jc w:val="both"/>
      </w:pPr>
      <w:r w:rsidRPr="00E14666">
        <w:rPr>
          <w:rStyle w:val="Fontdeparagrafimplicit"/>
          <w:i/>
          <w:lang w:val="ro-RO"/>
        </w:rPr>
        <w:t xml:space="preserve">Reclamanta </w:t>
      </w:r>
      <w:r w:rsidR="00E14666">
        <w:rPr>
          <w:rStyle w:val="Fontdeparagrafimplicit"/>
          <w:i/>
          <w:lang w:val="ro-RO"/>
        </w:rPr>
        <w:t xml:space="preserve">1 </w:t>
      </w:r>
      <w:r w:rsidRPr="00E14666">
        <w:rPr>
          <w:rStyle w:val="Fontdeparagrafimplicit"/>
          <w:i/>
          <w:lang w:val="ro-RO"/>
        </w:rPr>
        <w:t xml:space="preserve"> a înregistrat la dosar în data de 17.11.2017  întâmpinare</w:t>
      </w:r>
      <w:r>
        <w:t xml:space="preserve"> prin care a solicitat respingerea apelului ca nefondat, menţinerea sentinţei primei instanţe ca fiind temeinică şi legală, reiterând în esenţă susţinerile din acţiunea introductivă de instanţă.</w:t>
      </w:r>
    </w:p>
    <w:p w:rsidRPr="00E14666" w:rsidR="00B348EF" w14:paraId="5E7C82F9" w14:textId="77777777">
      <w:pPr>
        <w:ind w:firstLine="720"/>
        <w:jc w:val="both"/>
        <w:rPr>
          <w:rStyle w:val="Fontdeparagrafimplicit"/>
          <w:i/>
          <w:lang w:val="pt-PT"/>
        </w:rPr>
      </w:pPr>
      <w:r w:rsidRPr="00E14666">
        <w:rPr>
          <w:rStyle w:val="Fontdeparagrafimplicit"/>
          <w:i/>
          <w:lang w:val="pt-PT"/>
        </w:rPr>
        <w:t>Examinând sentinţa apelată prin prisma motivelor de apel invocate şi a apărărilor formulate, Curtea de Apel reţine următoarele:</w:t>
      </w:r>
    </w:p>
    <w:p w:rsidR="00B348EF" w14:paraId="69B97DEB" w14:textId="77777777">
      <w:pPr>
        <w:ind w:firstLine="708"/>
        <w:jc w:val="both"/>
      </w:pPr>
      <w:r>
        <w:t>Apelul este nefondat şi urmează a fi respins ca atare.</w:t>
      </w:r>
    </w:p>
    <w:p w:rsidR="00B348EF" w14:paraId="0C209D0E" w14:textId="77777777">
      <w:pPr>
        <w:ind w:firstLine="708"/>
        <w:jc w:val="both"/>
      </w:pPr>
      <w:r>
        <w:t xml:space="preserve">Se constată, în acest sens, faptul că prin dezlegările Înaltei Curţi de Casaţie şi Justiţie date în decizia nr. 2/2016, pronunţată în soluţionarea unui recurs în interesul legii, se statuează în sensul că „pentru acţiunile privind constatarea încadrării activităţii desfăşurate în grupele I şi a II-a de muncă (…) atunci când angajatorul nu mai există din punct de vedere juridic (lichidat, radiat), justifică legitimare procesuală pasivă casele teritoriale de pensii, în situaţia în care nu există documente primare”, cu specificarea că „în cazul existenţei documentelor primare, persoana interesată, care nu posedă dovezi privind vechimea în muncă </w:t>
      </w:r>
      <w:r>
        <w:t>sau activitatea desfăşurată în anumite grupe de muncă, are deschisă calea unei acţiuni în realizare - obligaţie de a face - având ca obiect obligarea deţinătorului de arhivă de a elibera adeverinţa constatatoare a vechimii în muncă/încadrării în grupele superioare de muncă”.</w:t>
      </w:r>
    </w:p>
    <w:p w:rsidR="00B348EF" w14:paraId="5A35DF27" w14:textId="77777777">
      <w:pPr>
        <w:ind w:firstLine="720"/>
        <w:jc w:val="both"/>
      </w:pPr>
      <w:r>
        <w:t>Sensul sintagmei „existenţa documentelor primare” nu este pe deplin lămurit în decizia în interesul legii invocată, prin aceea că nu se specifică dacă se consideră că există documente primare în situaţia în care aceste documente, ce au aparţinut fostului angajator, vizează situaţia încadrării în grupele de muncă la nivelul acelui angajator, însă nu se referă la un angajat care, cum este cazul reclamantei, nu a mai continuat să lucreze în acea întreprindere până la momentul când s-a efectuat încadrarea în grupe a categoriei profesionale de care acel angajat a aparţinut.</w:t>
      </w:r>
    </w:p>
    <w:p w:rsidR="00B348EF" w14:paraId="5FBEB66E" w14:textId="77777777">
      <w:pPr>
        <w:ind w:firstLine="720"/>
        <w:jc w:val="both"/>
      </w:pPr>
      <w:r>
        <w:t>Este de înţeles această omisiune în clarificările pe care Înalta Curte de Casaţie şi Justiţie le aduce problemei juridice, neputând fi imaginate toate situaţiile practice care pot să apară în legătură cu chestiunea juridică în discuţie.</w:t>
      </w:r>
    </w:p>
    <w:p w:rsidR="00B348EF" w14:paraId="32697CF1" w14:textId="77777777">
      <w:pPr>
        <w:ind w:firstLine="720"/>
        <w:jc w:val="both"/>
      </w:pPr>
      <w:r>
        <w:t>Or, interpretând sensul dezlegărilor date de Înalta Curte de Casaţie şi Justiţie, se înţelege că s-a avut în vedere necesitatea de a se da o soluţie practică situaţiei inedite când au rămas unele aspecte neclarificate, legate de activitatea profesională a cetăţenilor, după încetarea existenţei angajatorului, impunându-se crearea unui cadru legal în care aceştia să poată discuta, în instanţă, drepturile lor legate de corecta încadrare în grupele de muncă.</w:t>
      </w:r>
    </w:p>
    <w:p w:rsidR="00B348EF" w14:paraId="13EB015F" w14:textId="77777777">
      <w:pPr>
        <w:ind w:firstLine="720"/>
        <w:jc w:val="both"/>
      </w:pPr>
      <w:r>
        <w:t>Ca atare, pentru situaţia în care nu mai există documente primare, se impune împrocesuarea Casei Judeţene de Pensii, iar pentru situaţia în care aceste documente primare există, judecata se va face în contradictoriu cu deţinătorul arhivei. Interesul practic este de a fi atrase în proces instituţia sau persoana juridică ce se află în posesia înscrisurilor relevante pentru corecta încadrare în grupele de muncă a activităţii foştilor angajaţi, aceasta fiind cea care justifică calitatea procesuală pasivă, fiind prin faptul deţinerii acestor înscrisuri cel (cea) obligat(ă) în cadrul raportului juridic.</w:t>
      </w:r>
    </w:p>
    <w:p w:rsidR="00B348EF" w14:paraId="39A0487E" w14:textId="77777777">
      <w:pPr>
        <w:ind w:firstLine="720"/>
        <w:jc w:val="both"/>
      </w:pPr>
      <w:r>
        <w:t>Doar în măsura în care aceste înscrisuri nu există, revine Casei Judeţene de Pensii calitatea procesuală pasivă, ca fiind instituţia care justifică interes în a formula opoziţii la solicitările foştilor angajaţi de a li se recunoaşte grupa de muncă, prin aceea că, potrivit dispoziţiilor art. 4 alin. 2 şi 3 din Legea nr. 263/2010, asigură administrarea sistemului public de pensii, funcţionând în subordinea CNPP.</w:t>
      </w:r>
    </w:p>
    <w:p w:rsidR="00B348EF" w14:paraId="5509DF57" w14:textId="0AF55F74">
      <w:pPr>
        <w:ind w:firstLine="720"/>
        <w:jc w:val="both"/>
      </w:pPr>
      <w:r>
        <w:t xml:space="preserve">Situaţia din prezenta cauză nu poate fi încadrată pe deplin în nici una din cele două ipoteze de lucru cu care operează decizia în interesul legii nr. 2/2016, întrucât există documente primare, care sunt deţinute de </w:t>
      </w:r>
      <w:r w:rsidR="00E14666">
        <w:t xml:space="preserve">7 </w:t>
      </w:r>
      <w:r>
        <w:t>SRL, însă acestea nu îl vizează nominal pe reclamant, ci doar pe colegii cu care acesta a lucrat pe secţie.</w:t>
      </w:r>
    </w:p>
    <w:p w:rsidR="00B348EF" w14:paraId="76C9F713" w14:textId="77777777">
      <w:pPr>
        <w:ind w:firstLine="720"/>
        <w:jc w:val="both"/>
      </w:pPr>
      <w:r>
        <w:t>Or, Curtea constată că nu se poate reţine lipsa calităţii procesuale pasive a pârâtei apelante.</w:t>
      </w:r>
    </w:p>
    <w:p w:rsidR="00B348EF" w14:paraId="3D189860" w14:textId="77777777">
      <w:pPr>
        <w:ind w:firstLine="720"/>
        <w:jc w:val="both"/>
      </w:pPr>
      <w:r>
        <w:t>Chiar dacă ipoteza de lucru dată de existenţa documentelor primare nu poate fi întâlnită practic decât în măsura în care acestea sunt într-o oarecare măsură imperfecte, altfel nefiind clar de ce ar mai fi nevoit fostul angajat să solicite concursul instanţei pentru a obţine atestarea încadrării sale în grupele de muncă, dacă aceasta ar exista atestată pe deplin prin documentele primare deţinute de deţinătorul de arhivă, interpretarea raţională a acestor dezlegări date de Înalta Curte de Casaţie şi Justiţie trebuie făcută cu luarea în considerare a sensului practic pe care înalta curte l-a avut în vedere, chestiunea calităţii procesuale pasive fiind reglementată, în ambele ipoteze, mai mult din perspectiva necesităţii asigurării unui cadru procesual în care să se discute dreptul la încadrarea în grupa de muncă, deci ca un reflex de soluţionare practică a situaţiei create, în definitiv, în ambele situaţii, pârâtul fiind un reprezentant al intereselor statului, fie din perspectiva îndatoririlor legale aferente calităţii de deţinător de documente cu valoare practică, fie din cea a gestionării problemelor legate de drepturile de asigurări sociale de stat. Cu alte cuvinte, în definitiv, statul este cel care, prin aceste persoane juridice şi în cadrul atribuţiilor lor legale, complineşte rolul de pârât, neexistând o diferenţă esenţială între cele două soluţii pe care Înalta Curte de Casaţie şi Justiţie le instituie, ci doar una de formă.</w:t>
      </w:r>
    </w:p>
    <w:p w:rsidR="00B348EF" w14:paraId="739A7A1B" w14:textId="77777777">
      <w:pPr>
        <w:ind w:firstLine="720"/>
        <w:jc w:val="both"/>
      </w:pPr>
      <w:r>
        <w:t xml:space="preserve">Ca urmare, nu se poate considera că pârâta nu ar avea calitate procesuală pasivă, dată fiind activitatea sa de specialitate în stabilirea şi calculul pensiilor de stat, astfel încât prima </w:t>
      </w:r>
      <w:r>
        <w:t>care are un interes opus reclamantului în cauză este chiar apelanta pârâtă, cum de altfel o dezvăluie aceasta prin motivele de apel formulate sub aspectul soluţionării pe fond a cauzei.</w:t>
      </w:r>
    </w:p>
    <w:p w:rsidR="00B348EF" w14:paraId="084B58D8" w14:textId="77777777">
      <w:pPr>
        <w:ind w:firstLine="720"/>
        <w:jc w:val="both"/>
      </w:pPr>
      <w:r>
        <w:t xml:space="preserve">În consecinţă, urmează a se înlătura şi argumentele aduse în raport de afectarea activităţii sale prin solicitarea de a face faţă unui eventual val de litigii, în contextul în care decizia Înaltei Curţi de Casaţie şi Justiţie este obligatorie, indiferent de efortul practic pe care îl impune instituţiilor de stat implicate (cum este cazul pârâtei apelante) (art. 517 alin. 4 Noul Cod de Procedură Civilă). </w:t>
      </w:r>
    </w:p>
    <w:p w:rsidR="00B348EF" w14:paraId="4D9C13D6" w14:textId="77777777">
      <w:pPr>
        <w:ind w:firstLine="708"/>
        <w:jc w:val="both"/>
      </w:pPr>
      <w:r>
        <w:t xml:space="preserve">Dezlegarea făcută de Înalta Curte a avut în vedere, desigur, chiar atribuţiile pe care Legea nr. 263/2010 le aşează în sarcina apelantei, reţinând în paragraful 29 din decizie: „chiar dacă nu este debitor în raportul juridic de drept substanţial, întrucât nu este parte în raportul juridic de muncă şi nu are, printre atribuţiile stabilite în sarcina sa prin </w:t>
      </w:r>
      <w:r w:rsidRPr="00E14666">
        <w:rPr>
          <w:rStyle w:val="Fontdeparagrafimplicit"/>
          <w:vanish/>
          <w:lang w:val="ro-RO"/>
        </w:rPr>
        <w:t>&lt;LLNK 12010   263 10 202 139 31&gt;</w:t>
      </w:r>
      <w:r>
        <w:t>art. 139 din Legea nr. 263/2010, cu modificările şi completările ulterioare, şi pe cea a recunoaşterii vechimii în muncă, casa teritorială de pensii reprezintă singura entitate chemată să valorifice aspectele ce ţin de vechimea în muncă în procesul de stabilire a drepturilor de pensie”.</w:t>
      </w:r>
    </w:p>
    <w:p w:rsidR="00B348EF" w14:paraId="77B1C983" w14:textId="77777777">
      <w:pPr>
        <w:ind w:firstLine="708"/>
        <w:jc w:val="both"/>
      </w:pPr>
      <w:r>
        <w:t xml:space="preserve">În ceea ce priveşte motivele de apel prin care s-a criticat modul de soluţionare a fondului cauzei, se reţine că prin decizia nr. 9/16.05.2016, pronunţată de Înalta Curte de Casaţie şi Justiţiei în soluţionarea unui recurs în interesul legii s-a statuat, cu caracter obligatoriu conform art. 517 alin. 4 NCPC că „în interpretarea şi aplicarea unitară a dispoziţiilor pct. 6-8 şi 12 din </w:t>
      </w:r>
      <w:r w:rsidRPr="00E14666">
        <w:rPr>
          <w:rStyle w:val="Fontdeparagrafimplicit"/>
          <w:vanish/>
          <w:lang w:val="ro-RO"/>
        </w:rPr>
        <w:t>&lt;LLNK 11990    50 501201   0 61&gt;</w:t>
      </w:r>
      <w:r>
        <w:t>Ordinul Ministerului Muncii şi Protecţiei Sociale nr. 50/1990, instanţele de judecată au posibilitatea analizării şi constatării pe cale judiciară, ulterior abrogării acestui act normativ, a încadrării muncii prestate în perioada 18 martie 1969-1 aprilie 2001, după caz, în grupele I sau II de muncă”.</w:t>
      </w:r>
    </w:p>
    <w:p w:rsidR="00B348EF" w14:paraId="7A8C9F72" w14:textId="77777777">
      <w:pPr>
        <w:jc w:val="both"/>
      </w:pPr>
      <w:r>
        <w:tab/>
        <w:t>Întrucât prin această decizie s-au făcut dezlegări obligatorii cu privire la criticile invocate prin memoriul de apel, Curtea urmează să redea în extras considerentele reţinute de Înalta Curte de Casaţie şi Justiţie în legătură cu aspectele invocate de părţi.</w:t>
      </w:r>
    </w:p>
    <w:p w:rsidR="00B348EF" w14:paraId="7FCDD82A" w14:textId="77777777">
      <w:pPr>
        <w:jc w:val="both"/>
      </w:pPr>
      <w:r>
        <w:tab/>
        <w:t xml:space="preserve">Astfel, în legătură cu procedura prevăzută de pct. 6-8 din Ordinul 50/1990, s-a reţinut că (paragraf 44) „instanţele de judecată au posibilitatea analizării şi constatării pe cale judiciară, ulterior abrogării </w:t>
      </w:r>
      <w:r w:rsidRPr="00E14666">
        <w:rPr>
          <w:rStyle w:val="Fontdeparagrafimplicit"/>
          <w:vanish/>
          <w:lang w:val="ro-RO"/>
        </w:rPr>
        <w:t>&lt;LLNK 11990    50 501201   0 21&gt;</w:t>
      </w:r>
      <w:r>
        <w:t>Ordinului nr. 50/1990, a încadrării muncii prestate în perioada 18 martie 1969-1 aprilie 2001, după caz, în grupa I sau a II-a de muncă.</w:t>
      </w:r>
    </w:p>
    <w:p w:rsidR="00B348EF" w14:paraId="16EAB7ED" w14:textId="77777777">
      <w:pPr>
        <w:jc w:val="both"/>
      </w:pPr>
      <w:r>
        <w:t xml:space="preserve"> </w:t>
      </w:r>
      <w:r>
        <w:tab/>
        <w:t xml:space="preserve">45. Acţiunile sunt admisibile din perspectiva faptului că nu li se opune o procedură administrativă cu caracter obligatoriu reglementată prin </w:t>
      </w:r>
      <w:r w:rsidRPr="00E14666">
        <w:rPr>
          <w:rStyle w:val="Fontdeparagrafimplicit"/>
          <w:vanish/>
          <w:lang w:val="ro-RO"/>
        </w:rPr>
        <w:t>&lt;LLNK 11990    50 501201   0 19&gt;</w:t>
      </w:r>
      <w:r>
        <w:t>Ordinul nr. 50/1990 sau printr-un alt act normativ în vigoare la acea dată care să creeze competenţe exclusive în sarcina unor organe sau instituţii abilitate ale statului în constatarea respectivei situaţii de fapt, cu efecte constitutive de drept în planul raporturilor juridice de muncă şi de asigurări sociale…</w:t>
      </w:r>
    </w:p>
    <w:p w:rsidR="00B348EF" w14:paraId="459EAB88" w14:textId="77777777">
      <w:pPr>
        <w:jc w:val="both"/>
      </w:pPr>
      <w:r>
        <w:t xml:space="preserve"> </w:t>
      </w:r>
      <w:r>
        <w:tab/>
        <w:t xml:space="preserve"> 48. Cum prin </w:t>
      </w:r>
      <w:r w:rsidRPr="00E14666">
        <w:rPr>
          <w:rStyle w:val="Fontdeparagrafimplicit"/>
          <w:vanish/>
          <w:lang w:val="ro-RO"/>
        </w:rPr>
        <w:t>&lt;LLNK 12000    19 10 201   0 17&gt;</w:t>
      </w:r>
      <w:r>
        <w:t xml:space="preserve">Legea nr. 19/2000 au fost abrogate expres </w:t>
      </w:r>
      <w:r w:rsidRPr="00E14666">
        <w:rPr>
          <w:rStyle w:val="Fontdeparagrafimplicit"/>
          <w:vanish/>
          <w:lang w:val="ro-RO"/>
        </w:rPr>
        <w:t>&lt;LLNK 11990    50 501201   0 19&gt;</w:t>
      </w:r>
      <w:r>
        <w:t xml:space="preserve">Ordinul nr. 50/1990 şi </w:t>
      </w:r>
      <w:r w:rsidRPr="00E14666">
        <w:rPr>
          <w:rStyle w:val="Fontdeparagrafimplicit"/>
          <w:vanish/>
          <w:lang w:val="ro-RO"/>
        </w:rPr>
        <w:t>&lt;LLNK 11990   125 501201   0 20&gt;</w:t>
      </w:r>
      <w:r>
        <w:t xml:space="preserve">Ordinul nr. 125/1990, dându-se o reglementare nouă activităţii desfăşurate în alte condiţii de muncă decât cele normale, se pune problema dacă aspectele de fond pe care le reglementează </w:t>
      </w:r>
      <w:r w:rsidRPr="00E14666">
        <w:rPr>
          <w:rStyle w:val="Fontdeparagrafimplicit"/>
          <w:vanish/>
          <w:lang w:val="ro-RO"/>
        </w:rPr>
        <w:t>&lt;LLNK 11990    50 501201   0 19&gt;</w:t>
      </w:r>
      <w:r>
        <w:t xml:space="preserve">Ordinul nr. 50/1990 referitoare la activităţile încadrabile în grupele superioare de muncă pot fi aplicate ignorându-se abrogarea procedurii efective de încadrare, în condiţiile în care dreptul la acordarea unui asemenea beneficiu nu este reglementat </w:t>
      </w:r>
      <w:r w:rsidRPr="00E14666">
        <w:rPr>
          <w:rStyle w:val="Fontdeparagrafimplicit"/>
          <w:i/>
          <w:lang w:val="ro-RO"/>
        </w:rPr>
        <w:t>ope legis</w:t>
      </w:r>
      <w:r>
        <w:t xml:space="preserve">, doar prin simpla identificare a tipului de activitate desfăşurată de salariat în lista celor ce au potenţial dăunător, ci, potrivit ordinului, urma a fi obţinut în urma derulării unei proceduri cuprinse în metodologia comună reglementată de </w:t>
      </w:r>
      <w:r w:rsidRPr="00E14666">
        <w:rPr>
          <w:rStyle w:val="Fontdeparagrafimplicit"/>
          <w:vanish/>
          <w:lang w:val="ro-RO"/>
        </w:rPr>
        <w:t>&lt;LLNK 11990    50 501201   0 19&gt;</w:t>
      </w:r>
      <w:r>
        <w:t>Ordinul nr. 50/1990, cu efecte juridice pentru toată perioada (1969-2001).</w:t>
      </w:r>
    </w:p>
    <w:p w:rsidR="00B348EF" w14:paraId="73274F3A" w14:textId="77777777">
      <w:pPr>
        <w:jc w:val="both"/>
      </w:pPr>
      <w:r>
        <w:t xml:space="preserve"> </w:t>
      </w:r>
      <w:r>
        <w:tab/>
        <w:t xml:space="preserve"> 49. Prin urmare, nu se poate vorbi de un drept recunoscut de lege unui salariat doar prin regăsirea în anexa legii a tipului de activitate pe care l-a desfăşurat, pentru ca acesta să poată pretinde o recunoaştere directă a beneficiului lucrului în grupa superioară de muncă, constituirea dreptului efectuându-se în cadrul unei proceduri în care se prevedea îndeplinirea unor atribuţii specifice de către partenerii sociali (angajator/sindicatele ca reprezentanţi ai salariaţilor) şi verificări concrete cu sprijinul unor instituţii ale statului (medicale, de protecţie a muncii).</w:t>
      </w:r>
    </w:p>
    <w:p w:rsidR="00B348EF" w14:paraId="46176792" w14:textId="77777777">
      <w:pPr>
        <w:jc w:val="both"/>
      </w:pPr>
      <w:r>
        <w:t xml:space="preserve"> </w:t>
      </w:r>
      <w:r>
        <w:tab/>
        <w:t>50. În măsura în care aceste verificări pot fi substituite prin actul jurisdicţional al instanţei, aceasta poate face încadrarea activităţii unei persoane în grupa superioară de muncă.</w:t>
      </w:r>
    </w:p>
    <w:p w:rsidR="00B348EF" w14:paraId="0AED1D7D" w14:textId="77777777">
      <w:pPr>
        <w:jc w:val="both"/>
      </w:pPr>
      <w:r>
        <w:t xml:space="preserve"> </w:t>
      </w:r>
      <w:r>
        <w:tab/>
        <w:t xml:space="preserve"> 51. Premisa derulării acestei proceduri în faţa instanţei este ca tipul de activitate să se regăsească în anexele 1 şi 2 ale variantei consolidate a ordinului. Aceasta conferă celui care a desfăşurat activitatea respectivă dreptul de a obţine recunoaşterea pentru sine a faptului că a lucrat în condiţii deosebite faţă de cele normale, astfel că efortul suplimentar depus în aceste condiţii creează o vocaţie la acordarea unor facilităţi la deschiderea drepturilor de pensie.</w:t>
      </w:r>
    </w:p>
    <w:p w:rsidR="00B348EF" w14:paraId="459108E5" w14:textId="77777777">
      <w:pPr>
        <w:jc w:val="both"/>
      </w:pPr>
      <w:r>
        <w:t xml:space="preserve"> </w:t>
      </w:r>
      <w:r>
        <w:tab/>
        <w:t>52. Pasivitatea partenerilor sociali care nu au iniţiat procedura de verificare a locurilor de muncă încadrabile şi nu au nominalizat persoanele care lucrau efectiv în astfel de locuri poate permite, în condiţiile în care ordinul nu instituie în mod expres condiţia parcurgerii procedurii administrative cu caracter obligatoriu, celui care a ocupat acest loc de muncă să solicite instanţei recunoaşterea respectivelor condiţii.</w:t>
      </w:r>
    </w:p>
    <w:p w:rsidR="00B348EF" w14:paraId="680F13C7" w14:textId="77777777">
      <w:pPr>
        <w:jc w:val="both"/>
      </w:pPr>
      <w:r>
        <w:t xml:space="preserve"> </w:t>
      </w:r>
      <w:r>
        <w:tab/>
        <w:t xml:space="preserve">53. Etapele unei proceduri prin care trebuia evaluată o situaţie de fapt, ce avea drept consecinţă juridică încadrarea salariatului într-o grupă superioară de muncă, pot fi refăcute în cadrul unui litigiu la instanţa de drept comun în materia conflictelor de muncă, dat fiind că legiuitorul nu a conferit, prin pct. 6-8 din </w:t>
      </w:r>
      <w:r w:rsidRPr="00E14666">
        <w:rPr>
          <w:rStyle w:val="Fontdeparagrafimplicit"/>
          <w:vanish/>
          <w:lang w:val="ro-RO"/>
        </w:rPr>
        <w:t>&lt;LLNK 11990    50 501201   0 19&gt;</w:t>
      </w:r>
      <w:r>
        <w:t>Ordinul nr. 50/1990, un caracter constitutiv de drept, ci doar probator, avizelor tehnice cerute în derularea procedurii. Accesul la instanţa de drept comun ridică, distinct, problema dovedirii în instanţă a condiţiilor deosebite de muncă (de reţinut că, după cum s-a menţionat, existenţa condiţiilor deosebite la locurile de muncă implica la nivelul anului 1990 determinarea nivelului de noxe existente efectuată de către organele Ministerului Sănătăţii sau de laboratoarele de specialitate proprii ale unităţilor confirmate de către inspectorii de stat teritoriali, rezultatul acestei determinări fiind prezumat acelaşi şi pentru perioada anterioară, motiv pentru care s-a prevăzut că nu sunt necesare determinări de noxe pentru perioada anterioară; cu alte cuvinte, nu se condiţiona încadrarea retroactivă a salariaţilor în grupe de existenţa unor determinări de noxe care să fi fost făcute la momente de timp anterioare, potrivit art. 14, respectiv pentru perioada anterioară anului 1990, ci numai pentru stabilirea condiţiilor de muncă de la momentul aplicării ordinului, prezumându-se existenţa lor anterioară).</w:t>
      </w:r>
    </w:p>
    <w:p w:rsidR="00B348EF" w14:paraId="2576AA49" w14:textId="77777777">
      <w:pPr>
        <w:jc w:val="both"/>
      </w:pPr>
      <w:r>
        <w:t xml:space="preserve"> </w:t>
      </w:r>
      <w:r>
        <w:tab/>
        <w:t xml:space="preserve"> 54. În măsura în care aceste prevederi nu au fost puse în aplicare în unităţi de către angajator şi sindicate, până la abrogarea ordinului, salariatul dispune de un drept material individual pe care îl poate valorifica oricând, pe cale judiciară, solicitând, în faţa instanţei de judecată, recunoaşterea acestor condiţii. Nefiind reglementată în cuprinsul ordinului o procedură jurisdicţională specială, aplicabilă cu prioritate, care să garanteze posibilitatea verificării legalităţii aplicării sale, instanţa de drept comun este abilitată a statua asupra încadrării unei activităţi concrete a unui salariat în grupa superioară de muncă (inclusiv în ceea ce priveşte stabilirea existenţei şi naturii condiţiilor vătămătoare din perioada respectivă, precum şi a timpului efectiv de lucru în aceste condiţii)”.</w:t>
      </w:r>
    </w:p>
    <w:p w:rsidR="00B348EF" w14:paraId="546F8910" w14:textId="77777777">
      <w:pPr>
        <w:jc w:val="both"/>
      </w:pPr>
      <w:r>
        <w:tab/>
        <w:t>Drept urmare, în conformitate cu statuările obligatorii ale instanţei supreme, procedura prevăzută de pct. 6 - 8 din Ordinul nr. 50/1990 poate fi suplinită pe cale jurisdicţională, de un litigiu promovat de fostul salariat în contradictoriu cu angajatorul sau cu casa judeţeană de pensii.</w:t>
      </w:r>
    </w:p>
    <w:p w:rsidR="00B348EF" w14:paraId="55E9FCC8" w14:textId="77777777">
      <w:pPr>
        <w:jc w:val="both"/>
      </w:pPr>
      <w:r>
        <w:tab/>
        <w:t xml:space="preserve">De asemenea, Înalta Curte de Casaţie şi Justiţie a reţinut că accesul la instanţă ridică în mod distinct problema dovedirii condiţiilor deosebite în care şi-au desfăşurat activitatea salariaţii, premisa derulării acestei proceduri în faţa instanţei fiind ca tipul de activitate să se regăsească în anexele 1 şi 2 ale variantei consolidate a Ordinului nr. 50/1990. </w:t>
      </w:r>
    </w:p>
    <w:p w:rsidR="00B348EF" w14:paraId="0C9379EC" w14:textId="77777777">
      <w:pPr>
        <w:jc w:val="both"/>
      </w:pPr>
      <w:r>
        <w:tab/>
        <w:t xml:space="preserve"> Acest aspect a fost reiterat de instanţa supremă şi în paragraful 62 din decizia nr. 9/2016, prin care s-a statuat că „nu pot fi adăugate, pe cale pretoriană, alte activităţi şi locuri de muncă faţă de cele din anexe, chiar dacă îndeplinesc aceleaşi condiţii de muncă posibil vătămătoare. Puteau fi nominalizate, prin asimilare, în temeiul dispoziţiilor art. 3, alte categorii de personal în activitate ale aceluiaşi angajator decât cele enumerate expres, după criteriul: muncitori, ingineri, subingineri etc., cu condiţia generală de a lucra efectiv (acele categorii de personal care au lucrat efectiv) în locuri de muncă sau în activităţile nominalizate în anexă şi aplicate acelui angajator (alin. 1 al pct. 3) sau personalul muncitor care a realizat anumite tipuri de lucrări expres nominalizate în ordin (respectiv extinderi, modernizări sau reparaţii ale capacităţilor de producţie) în respectivele unităţi ce au făcut obiectul încadrării, acesta fiind motivul pentru care îşi desfăşoară activitatea în aceleaşi condiţii (alin. 2 al pct. 3). </w:t>
      </w:r>
      <w:r>
        <w:t xml:space="preserve">Sintagma „aceleaşi condiţii”, contrar opiniei celor care au împărtăşit soluţia extinderii domeniului de aplicare a </w:t>
      </w:r>
      <w:r w:rsidRPr="00E14666">
        <w:rPr>
          <w:rStyle w:val="Fontdeparagrafimplicit"/>
          <w:vanish/>
          <w:lang w:val="ro-RO"/>
        </w:rPr>
        <w:t>&lt;LLNK 11990    50 501201   0 21&gt;</w:t>
      </w:r>
      <w:r>
        <w:t>Ordinului nr. 50/1990, nu se referă la condiţiile generale de muncă nefavorabile privind nivelul de noxe, microclimat, suprasolicitare fizică sau psihică, riscuri de explozii, iradiere etc. ale altor salariaţi aflaţi în raport de muncă cu alţi angajatori în domenii ce nu au fost indicate în anexe, ci la condiţiile concrete descrise de alin. 1 şi 2 ale pct. 3 dintr-un anumit domeniu de activitate nominalizat expres în anexe”.</w:t>
      </w:r>
    </w:p>
    <w:p w:rsidR="00B348EF" w14:paraId="10B9107A" w14:textId="77777777">
      <w:pPr>
        <w:jc w:val="both"/>
      </w:pPr>
      <w:r>
        <w:tab/>
        <w:t>Având în vedere aceste dezlegări obligatorii ale instanţei supreme, Curtea reţine, pe de o parte, că este posibilă încadrarea retroactivă a activităţii desfăşurate în grupa I sau a II-a de muncă de către instanţa de judecată, dacă din probele administrate în cauză rezultă că tipul de activitate desfăşurată de salariaţi se regăseşte în Anexele I şi II din Ordinul 50/1990, în varianta consolidată, iar pe de altă parte, că este posibilă această încadrare şi în situaţia în care se regăsesc condiţiile reglementate la art. 3 din Ordinul nr. 50/1990, anume, prin asimilare, în cazul altor categorii de personal ale aceluiaşi angajator, cu condiţia de a lucra efectiv în locuri de muncă sau în activităţi nominalizate în anexă şi aplicate acelui angajator.</w:t>
      </w:r>
    </w:p>
    <w:p w:rsidR="00B348EF" w14:paraId="26B9E593" w14:textId="77777777">
      <w:pPr>
        <w:jc w:val="both"/>
      </w:pPr>
      <w:r>
        <w:tab/>
        <w:t>Or, tribunalul a enumerat pe larg probele care au condus la constatarea acestor împrejurări ce justifică încadrarea în grupa a II-a de muncă a activităţii reclamantului, fiind indicat pe larg contextul în care reclamantul a lucrat practic în acelaşi loc de muncă, aceeaşi hală, în care lucra personalul ce a fost încadrat, în cadrul aceluiaşi angajator, în grupa a II-a de muncă.</w:t>
      </w:r>
    </w:p>
    <w:p w:rsidR="00B348EF" w14:paraId="44A8F64B" w14:textId="77777777">
      <w:pPr>
        <w:ind w:firstLine="708"/>
        <w:jc w:val="both"/>
      </w:pPr>
      <w:r>
        <w:t>Se mai formulează critici în apel cu privire la admisibilitatea şi utilitatea efectuării expertizei judiciare în cauză. Cu privire la acest aspect, Curtea reţine că în decizia nr. 9/2016 Înalta Curte de Casaţie şi Justiţie a reţinut că problema admisibilităţii probei cu expertiza în cauzele având ca obiect constatarea încadrării activităţii în grupa I sau a II-a nu va primi o soluţionare pe calea recursului în interesul legii, întrucât nu reprezintă o veritabilă problemă de drept (paragrafele 57 şi 58).</w:t>
      </w:r>
    </w:p>
    <w:p w:rsidR="00B348EF" w14:paraId="20FD7670" w14:textId="77777777">
      <w:pPr>
        <w:jc w:val="both"/>
      </w:pPr>
      <w:r>
        <w:tab/>
        <w:t>În paragraful 58 din decizia nr. 9/2016, instanţa supremă a statuat în sensul celor invocate de apelantă „că evaluarea utilităţii unei probe cu expertiză în domeniul protecţiei muncii, care nu ar mai putea verifica, în concret, situaţia condiţiilor de muncă din perioada anterioară anului 2001, ci ar cuprinde doar o evaluare teoretică a riscurilor potenţiale în considerarea naturii activităţii, nu reprezintă o veritabilă problemă de drept ce trebuie interpretată, ci una de apreciere cu privire la probaţiune, în raport cu situaţia concretă din fiecare cauză”.</w:t>
      </w:r>
    </w:p>
    <w:p w:rsidR="00B348EF" w14:paraId="36B55C56" w14:textId="77777777">
      <w:pPr>
        <w:jc w:val="both"/>
      </w:pPr>
      <w:r>
        <w:tab/>
        <w:t>Criticile apelantei cu privire la aspectele relevate prin expertiză sunt generale şi teoretice, nereferindu-se la situaţia particulară a intimatului, respectiv la condiţiile concrete în care acesta şi-a desfăşurat activitatea. Pe de altă parte, aşa cum a indicat chiar apelanta, care a redat în memoriul de apel paragrafele 59 şi 60 din decizia nr. 9/2016, dispoziţiile art. 272 din Codul muncii, care prevăd că sarcina probei aparţine angajatorului în litigiile de muncă, sunt aplicabile şi în ceea ce priveşte dovedirea condiţiilor de muncă şi a timpului util. Or, chiar dacă nu este angajatorul intimatului, justificând legitimare procesuală pasivă, apelantei îi incumbă în cauză obligaţiile fostului angajator al intimatului inclusiv cu privire la sarcina probei, sau cel puţin sarcini legate de a face obiecţiuni concrete în raport de probaţiunea administrată de reclamant.</w:t>
      </w:r>
    </w:p>
    <w:p w:rsidR="00B348EF" w14:paraId="66A42B2D" w14:textId="77777777">
      <w:pPr>
        <w:jc w:val="both"/>
      </w:pPr>
      <w:r>
        <w:tab/>
        <w:t>Or, apelanta nu a solicitat administrarea unor probe care să dovedească o stare de fapt diferită de cea reţinută de prima instanţă, care a analizat riguros, pe baza tuturor probelor administrate în cauză, activitatea concretă desfăşurată de intimat şi a ajuns la concluzia că aceasta poate fi încadrată în grupa a II-a de muncă în conformitate cu pct. 34 din Anexa II la Ordinul 50/1990.</w:t>
      </w:r>
    </w:p>
    <w:p w:rsidR="00B348EF" w14:paraId="431958AE" w14:textId="77777777">
      <w:pPr>
        <w:ind w:firstLine="708"/>
        <w:jc w:val="both"/>
      </w:pPr>
      <w:r>
        <w:t xml:space="preserve">Cât priveşte critica vizând faptul că bugetul asigurărilor sociale de stat din care se plătesc drepturile de pensie ar fi afectat datorita faptului că, în speţa de faţă, angajatorul nefăcând încadrarea în grupe superioare de muncă, nu au fost virate contribuţiile aferente acestor condiţii de muncă, Curtea reţine că dreptul angajaţilor la corecta încadrare în grupele de muncă nu trebuie analizat din perspectiva obligaţiilor pe care statul le va avea în consecinţă, în cadrul stabilirii drepturilor de pensie, ci analiza trebuie făcută doar din perspectiva corectei încadrări în grupele de muncă a activităţii salariaţilor, pentru a nu-i </w:t>
      </w:r>
      <w:r>
        <w:t>supune unei situaţii nedrepte, de discriminare faţă de colegii cu care au lucrat în condiţii similare şi cărora le-au fost recunoscute aceste drepturi. Cât despre contribuţiile la sistemul asigurărilor sociale de stat, acestea erau aşezate, în perioada vizată prin acţiune, în sarcina angajatorului, într-un procent unic, indiferent de încadrarea în grupele de muncă, de 15 % asupra câştigului brut realizat de personalul lor salariat, abia prin Legea nr. 49/1992 fiind diferenţiată contribuţia de asigurări sociale de stat în funcţie de grupele de muncă, la 35% asupra câştigului brut realizat de salariaţii încadraţi în grupa I de muncă; 30% asupra câştigului brut realizat de salariaţii încadraţi în grupa a II-a de muncă şi în fine, 25% asupra câştigului realizat de celelalte categorii de salariaţi.</w:t>
      </w:r>
    </w:p>
    <w:p w:rsidR="00B348EF" w14:paraId="3E6BE44D" w14:textId="77777777">
      <w:pPr>
        <w:ind w:firstLine="708"/>
        <w:jc w:val="both"/>
      </w:pPr>
      <w:r>
        <w:t>Nici invocarea caracterului expertizei de evaluare teoretică a riscurilor potenţiale de la locul de muncă al reclamantului nu poate conduce la admiterea apelului, în condiţiile în care întreaga probaţiune a dovedit caracterul practic al acestei expertize, prin stabilirea cu claritate a locului unde şi-a desfăşurat activitatea reclamantul, anume, în clădiri tip hale industriale monobloc necompartimentate, alături de alţi angajaţi care au primit recunoaşterea grupei de muncă pentru noxe ce existau în întreaga hală, iar tribunalul a concluzionat corect în sensul că aceste depăşiri de norme în ce priveşte noxele existente au existat, din moment ce au fost încadraţi în grupa de muncă ceilalţi angajaţi, ce desfăşurau în aceleaşi hale activitatea.</w:t>
      </w:r>
    </w:p>
    <w:p w:rsidR="00B348EF" w14:paraId="4C2236B0" w14:textId="6D94829C">
      <w:pPr>
        <w:ind w:firstLine="708"/>
        <w:jc w:val="both"/>
      </w:pPr>
      <w:r>
        <w:t xml:space="preserve">De altfel, Curtea a administrat probe testimoniale, fiind audiaţi martorii </w:t>
      </w:r>
      <w:r w:rsidR="00E14666">
        <w:t>2</w:t>
      </w:r>
      <w:r>
        <w:t xml:space="preserve"> şi </w:t>
      </w:r>
      <w:r w:rsidR="00E14666">
        <w:t>3</w:t>
      </w:r>
      <w:r>
        <w:t xml:space="preserve">, fiind de asemenea ataşate la dosarul cauzei declaraţiile martorilor </w:t>
      </w:r>
      <w:r w:rsidR="00007A34">
        <w:t>8</w:t>
      </w:r>
      <w:r>
        <w:t xml:space="preserve">, </w:t>
      </w:r>
      <w:r w:rsidR="00007A34">
        <w:t xml:space="preserve">9 </w:t>
      </w:r>
      <w:r>
        <w:t xml:space="preserve">şi </w:t>
      </w:r>
      <w:r w:rsidR="00007A34">
        <w:t>10</w:t>
      </w:r>
      <w:r>
        <w:t xml:space="preserve">, foşti angajaţi ai </w:t>
      </w:r>
      <w:r w:rsidR="00E14666">
        <w:t xml:space="preserve">4 </w:t>
      </w:r>
      <w:r>
        <w:t xml:space="preserve">, care, conform precizărilor martorilor, a fost preluată de </w:t>
      </w:r>
      <w:r w:rsidR="00007A34">
        <w:t xml:space="preserve">11 </w:t>
      </w:r>
      <w:r>
        <w:t xml:space="preserve">prin </w:t>
      </w:r>
      <w:r w:rsidR="00007A34">
        <w:t xml:space="preserve">7 ........ </w:t>
      </w:r>
      <w:r>
        <w:t xml:space="preserve">, unde aceştia sunt angajaţi în continuare, precum şi martorul </w:t>
      </w:r>
      <w:r w:rsidR="00007A34">
        <w:t>12</w:t>
      </w:r>
      <w:r>
        <w:t>.</w:t>
      </w:r>
    </w:p>
    <w:p w:rsidR="00B348EF" w14:paraId="5798DA2C" w14:textId="4818E2D7">
      <w:pPr>
        <w:ind w:firstLine="708"/>
        <w:jc w:val="both"/>
      </w:pPr>
      <w:r>
        <w:t xml:space="preserve">Martorul </w:t>
      </w:r>
      <w:r w:rsidR="00007A34">
        <w:t>8</w:t>
      </w:r>
      <w:r>
        <w:t xml:space="preserve"> (fila 34) a făcut parte din consiliul Sindicatului de la </w:t>
      </w:r>
      <w:r w:rsidR="00E14666">
        <w:t xml:space="preserve">4 </w:t>
      </w:r>
      <w:r>
        <w:t xml:space="preserve"> în perioada 1990-1998 şi atestă că s-au „confruntat cu probleme mari ridicate de adoptarea Ordinului 50 şi 125. Astfel, deşi ar fi trebuit date condiţii de grupă de muncă la toate secţiile, întrucât acestea se puteau încadra acolo, directorul s-a opus refuzând să acorde grupe la toţi muncitorii deşi sindicatul a solicitat aceasta la fiecare negociere. Motivul refuzului consta în plata contribuţiilor şi în general era o atitudine defavorabilă încadrării astfel încât ne puneau pe noi de la sindicat într-o situaţie delicată de a alege între a se acorda bani sau grupe oamenilor, sens în care lumea spunea că vrea mai degrabă bani şi „o să vedem ce o să mai fie până la pensie”.</w:t>
      </w:r>
    </w:p>
    <w:p w:rsidR="00B348EF" w14:paraId="1DF6BAD4" w14:textId="77777777">
      <w:pPr>
        <w:ind w:firstLine="708"/>
        <w:jc w:val="both"/>
      </w:pPr>
      <w:r>
        <w:t>Mai arată martorul că „era o platformă mare de aproximativ 7.000 de angajaţi astfel încât consiliul sindicatului cuprindea 40-50 de persoane dintre care aproximativ jumătate proveneau din sectoarele calde (turnătorie, forjă) iar restul de la secţiile reci, astfel încât, când se punea problema să se aleagă între încadrarea celor de la secţiile reci în grupă sau să se acorde spor pentru condiţii speciale, cei de la sectoarele calde, fiind „cu sacii în căruţă” (adică încadraţi în grupa I conform Ordinului 50 pentru munca în aceste sectoare) votau pentru spor”, spor care, arată martorul, s-a acordat şi celor care nu au fost încadraţi în grupele de muncă, deci ca o dovadă în plus a condiţiilor grele în care munceau.</w:t>
      </w:r>
    </w:p>
    <w:p w:rsidR="00B348EF" w14:paraId="1D6A1FA0" w14:textId="50965C85">
      <w:pPr>
        <w:ind w:firstLine="708"/>
        <w:jc w:val="both"/>
      </w:pPr>
      <w:r>
        <w:t>„În sectoarele reci s-a acordat grupă la polizatori, şlefuitori şi anume după 1998 când am ajuns preşedinte de sindicat, însă arăt că se lucra în hale mari astfel încât şi ceilalţi muncitori erau expuşi la noxele aferente de pildă la un robinet dacă apărea o fisură se suda pe strung, apoi montajul era faţă în faţă cu vopsitorii întrucât vopsitoriile erau în cadrul fiecărei secţii (</w:t>
      </w:r>
      <w:r w:rsidR="00716984">
        <w:t>...</w:t>
      </w:r>
      <w:r>
        <w:t>1,</w:t>
      </w:r>
      <w:r w:rsidR="00716984">
        <w:t>...</w:t>
      </w:r>
      <w:r>
        <w:t>2, etc.)”.</w:t>
      </w:r>
    </w:p>
    <w:p w:rsidR="00B348EF" w14:paraId="0B4BF0FB" w14:textId="77777777">
      <w:pPr>
        <w:ind w:firstLine="708"/>
        <w:jc w:val="both"/>
      </w:pPr>
      <w:r>
        <w:t>Martorul descrie cele 3 categorii mari e lucrători existente la nivelul unităţii şi anume cei care lucrau în sectoarele calde: turnătorii, forjă, încadraţi în grupa I, apoi cei de la prelucrări mecanice care ar fi trebuit să fie încadraţi în grupa a II-a şi o a treia categorie de funcţionari gestionari şi magazioneri care au lucrat în condiţii normale.</w:t>
      </w:r>
    </w:p>
    <w:p w:rsidR="00B348EF" w14:paraId="7B6874F8" w14:textId="77777777">
      <w:pPr>
        <w:ind w:firstLine="708"/>
        <w:jc w:val="both"/>
      </w:pPr>
      <w:r>
        <w:t xml:space="preserve">Arată martorul că atunci când a devenit preşedintele sindicatului, a reuşit să obţină recunoaşterea grupei pentru şlefuitori şi polizatori şi electrificatori, care erau nominal enumeraţi în ordinul nr. 50 la art. 23, dar nici chiar atunci „conducerea nu a agreat să le recunoască tuturor acestora grupa, în sensul că negocierea se făcea la nivelul întregii unităţi, ni se aproba un număr de încadrări şi acestea, se împărţeau la şefii de formaţii de montaj, astfel încât, de exemplu, din 15 angajaţi să se dea numai la un anumit număr. În contractele colective de muncă se treceau funcţiile nenominal ci doar cu indicarea numărului de angajaţi </w:t>
      </w:r>
      <w:r>
        <w:t>cu o anumită funcţie”, şi doar din 2000 s-a precizat pentru fiecare angajat codul COR pentru funcţia pe care o avea, iar „până atunci, fiecare era trecut cu meseria de bază: lăcătuş, strungar, chiar dacă exercita în fapt o altă funcţie. De exemplu, în cadrul formaţiei de montaj erau lăcătuşi montatori care făceau şi operaţii de şlefuire, polizare şi probare”.</w:t>
      </w:r>
    </w:p>
    <w:p w:rsidR="00B348EF" w14:paraId="715C393D" w14:textId="2AB56470">
      <w:pPr>
        <w:ind w:firstLine="708"/>
        <w:jc w:val="both"/>
      </w:pPr>
      <w:r>
        <w:t xml:space="preserve">Arată martorul că „erau 4 categorii de angajaţi în formaţiile de întreţinere din cadrul secţiilor de prelucrări mecanice: lăcătuşi, electricieni, strungari şi frezori şi toţi trebuia să fie încadraţi în grupa a II-a. </w:t>
      </w:r>
      <w:r w:rsidR="00017B6A">
        <w:t>D</w:t>
      </w:r>
      <w:r>
        <w:t xml:space="preserve">e exemplu, electricienii interveneau peste tot, şi la vopsitorie, şi la sudură, şi la poduri rulante, apoi celelalte funcţii erau exercitate într-o hală în care erau suspensii de substanţe toxice, având în vedere că funcţiona un atelier de acoperiri metalice în cadrul </w:t>
      </w:r>
      <w:r w:rsidR="000B601C">
        <w:t>.........</w:t>
      </w:r>
      <w:r>
        <w:t xml:space="preserve"> unde se făcea zincarea, cromarea pieselor, rezultând zinc în atmosferă, apoi erau intemperii, în sensul că iarna nu era încălzire şi era dezastru, mai rău ca pe şantier, oamenii mai făceau foc lângă strung apoi erau noxele de la sudură, vopsitorie, de la strunguri, în momentul în care se lucra cu obiecte din fontă, rezultând un praf de fontă care se depunea negru pe muncitori, în condiţiile în care nu erau ateliere distincte pentru vopsitorie, sudură, ci se lucra în cadrul secţiei. Menţionez de asemenea efortul fizic depus pentru transportul pieselor în cadrul secţiei sau de la o secţie la altă secţie, cu roaba, apoi montatorii trebuia să ridice robineţi mari, industriali, până la 60 de kg.</w:t>
      </w:r>
    </w:p>
    <w:p w:rsidR="00B348EF" w14:paraId="7A0CCFC5" w14:textId="77777777">
      <w:pPr>
        <w:ind w:firstLine="708"/>
        <w:jc w:val="both"/>
      </w:pPr>
      <w:r>
        <w:t>De exemplu, la prelucrări mecanice, în aceeaşi hală era întreţinere, montaj, vopsitorie, prelucrare şi sudura era undeva la mijlocul secţiei, cei de la întreţinere lucrau pe toată hala şi piesele se lucrau la strunguri la prelucrare se dădeau apoi la montaj, se probau şi apoi se dădeau la vopsitorie”.</w:t>
      </w:r>
    </w:p>
    <w:p w:rsidR="00B348EF" w14:paraId="588BA716" w14:textId="77777777">
      <w:pPr>
        <w:ind w:firstLine="708"/>
        <w:jc w:val="both"/>
      </w:pPr>
      <w:r>
        <w:t>Atestă martorul că nu au avut loc îmbunătăţiri din anii 1990 şi până la zi.</w:t>
      </w:r>
    </w:p>
    <w:p w:rsidR="00B348EF" w14:paraId="0095CDD7" w14:textId="0D4EC64D">
      <w:pPr>
        <w:ind w:firstLine="708"/>
        <w:jc w:val="both"/>
      </w:pPr>
      <w:r>
        <w:t xml:space="preserve">Aceste date se coroborează cu cele furnizate de martorii </w:t>
      </w:r>
      <w:r w:rsidR="00007A34">
        <w:t xml:space="preserve">2 </w:t>
      </w:r>
      <w:r>
        <w:t xml:space="preserve">şi </w:t>
      </w:r>
      <w:r w:rsidR="00E14666">
        <w:t>3</w:t>
      </w:r>
      <w:r w:rsidR="00007A34">
        <w:t xml:space="preserve"> </w:t>
      </w:r>
      <w:r>
        <w:t xml:space="preserve">(filele 40 şi 41 dosar apel), foşti colegi cu reclamanta. La fel arată martorii că reclamanta a lucrat la </w:t>
      </w:r>
      <w:r w:rsidR="000B601C">
        <w:t>......2</w:t>
      </w:r>
      <w:r>
        <w:t xml:space="preserve">, unde erau aceleaşi condiţii ca şi </w:t>
      </w:r>
      <w:r w:rsidR="000B601C">
        <w:t>.....</w:t>
      </w:r>
      <w:r>
        <w:t>1,  respectiv se lucra în fonta, eliberându-se pulberi nocive în aer. Iarna era extraordinar de frig, cu temperaturi sub zero grade, îngheţând apa în maşini. De asemenea, la oţel se lucra cu lichid de răcire, care afecta pielea.</w:t>
      </w:r>
    </w:p>
    <w:p w:rsidR="00B348EF" w14:paraId="0E06523A" w14:textId="5D3BB02D">
      <w:pPr>
        <w:ind w:firstLine="708"/>
        <w:jc w:val="both"/>
      </w:pPr>
      <w:r>
        <w:t xml:space="preserve">Martorul </w:t>
      </w:r>
      <w:r w:rsidR="00007A34">
        <w:t xml:space="preserve">9 </w:t>
      </w:r>
      <w:r>
        <w:t>a ocupat, fiind încadrat din 1983, „diferite funcţii de conducere la nivelul secţiilor şi la proiectări” iar din 1997 ca director de fabrică a participat la comisiile paritare. Arată că în CCM s-a stipulat ce sporuri se acordă pentru locurile de muncă şi într-o altă anexă era trecută grupa de muncă pentru diversele categorii profesionale, fiind prevăzute profesiile şi locurile de muncă ce s-au încadrat în grupele I sau II.</w:t>
      </w:r>
    </w:p>
    <w:p w:rsidR="00B348EF" w14:paraId="238D397D" w14:textId="77777777">
      <w:pPr>
        <w:ind w:firstLine="708"/>
        <w:jc w:val="both"/>
      </w:pPr>
      <w:r>
        <w:t>După 1997 atestă că lucrătorii au beneficiat de diferite sporuri de greutate, pentru condiţii nocive, care au fost menţionate în anexa la CCM unde s-au nominalizat şi funcţiile pentru care se acordau şi respectiv nu se acordau acestea. Acesta nu crede să fi fost restricţii de ordin financiar sub aspectul numărului persoanelor ce se puteau încadra în grupe.</w:t>
      </w:r>
    </w:p>
    <w:p w:rsidR="00B348EF" w14:paraId="7BE33B26" w14:textId="77777777">
      <w:pPr>
        <w:ind w:firstLine="708"/>
        <w:jc w:val="both"/>
      </w:pPr>
      <w:r>
        <w:t>Întrebat fiind de instanţă cu privire la numărul mai mare de persoane încadrate în grupă după anul 1999, arată că probabil din negocieri a rezultat acest fapt şi s-au trecut şi alte categorii cu grupă, totodată atestând că probabil a avut o influenţă şi faptul că oamenii au luat nişte sporuri pentru condiţii grele şi au fost mulţumiţi şi nu au mai pus aşa presiune pentru acordarea grupei.</w:t>
      </w:r>
    </w:p>
    <w:p w:rsidR="00B348EF" w14:paraId="576114FB" w14:textId="77777777">
      <w:pPr>
        <w:ind w:firstLine="708"/>
        <w:jc w:val="both"/>
      </w:pPr>
      <w:r>
        <w:t>Întrebat fiind de importanţa factorului negociere în stabilirea grupelor de muncă arată că în primul rând a fost factorul legislativ, dar şi factorul negociere a avut un rol important.</w:t>
      </w:r>
    </w:p>
    <w:p w:rsidR="00B348EF" w14:paraId="426EC045" w14:textId="77777777">
      <w:pPr>
        <w:ind w:firstLine="708"/>
        <w:jc w:val="both"/>
      </w:pPr>
      <w:r>
        <w:t>Negocierea explică de altfel şi diferenţele de încadrare între diferiţi ani, respectiv faptul că apar în 2000 încadrate în grupe de muncă activităţi care anterior nu fuseseră încadrate.</w:t>
      </w:r>
    </w:p>
    <w:p w:rsidR="00B348EF" w14:paraId="2DD2DDCD" w14:textId="0BDAD975">
      <w:pPr>
        <w:ind w:firstLine="708"/>
        <w:jc w:val="both"/>
      </w:pPr>
      <w:r>
        <w:t>În mare</w:t>
      </w:r>
      <w:r w:rsidR="00017B6A">
        <w:t>,</w:t>
      </w:r>
      <w:r>
        <w:t xml:space="preserve"> fabrica avea 2 compartimente, 2 sectoare, sectorul cald turnătoria forja, etc, unde se acorda grupă de muncă la toată lumea lucrurile fiind clare din punctul de vedere al încadrării legale, şi sectorul rece, inclusiv prelucrările mecanice, unde chestiunea încadrării era discutabilă. În acest sector au fost acordate sporuri precum sporul de greutate, datorită efortului fizic implicat de ridicarea pieselor, spor pentru condiţii nocive pentru sudori şi vopsitori.</w:t>
      </w:r>
    </w:p>
    <w:p w:rsidR="00B348EF" w14:paraId="0D93C6EF" w14:textId="6ABBFADE">
      <w:pPr>
        <w:ind w:firstLine="708"/>
        <w:jc w:val="both"/>
      </w:pPr>
      <w:r>
        <w:t xml:space="preserve">Martorul arată că </w:t>
      </w:r>
      <w:r w:rsidR="00B743E3">
        <w:t>PM</w:t>
      </w:r>
      <w:r>
        <w:t xml:space="preserve">1 era împărţită în sectoare diferite, sudura fiind un atelier distinct, vopsitoria - o zonă distinctă. În concret vopsitoria se situa într-un capăt al secţiei dar </w:t>
      </w:r>
      <w:r>
        <w:t>nu era izolată într-o zonă închisă de restul secţiei, iar sudura era o zonă delimitată şi închisă şi izolată cu pereţi de tablă în lateral şi inclusiv deasupra. În ce priveşte microclimatul din secţie, condiţiile erau foarte proaste, întrucât nu exista nici un sistem de încălzire.</w:t>
      </w:r>
    </w:p>
    <w:p w:rsidR="00B348EF" w14:paraId="794380E8" w14:textId="77777777">
      <w:pPr>
        <w:ind w:firstLine="708"/>
        <w:jc w:val="both"/>
      </w:pPr>
      <w:r>
        <w:t>Întrebat fiind dacă funcţia pe care erau încadraţi scriptic angajaţii corespundea totdeauna cu activitatea efectiv derulată, arată că în toate aceste negocieri au participat şi reprezentanţii sindicatului astfel încât aceştia stabileau ulterior din formaţiile de muncă care să fie meseriile de încadrare în grupe sau de acordat sporuri.</w:t>
      </w:r>
    </w:p>
    <w:p w:rsidR="00B348EF" w14:paraId="2DB54C6D" w14:textId="61DFD8C2">
      <w:pPr>
        <w:ind w:firstLine="708"/>
        <w:jc w:val="both"/>
      </w:pPr>
      <w:r>
        <w:t xml:space="preserve">De exemplu la </w:t>
      </w:r>
      <w:r w:rsidR="00B743E3">
        <w:t>PM</w:t>
      </w:r>
      <w:r>
        <w:t>1 existau ateliere separate, este adevărat că din prelucrarea pieselor din fontă se degaja un praf specific dar apreciază că doar un procent de 40 % din piese erau din fontă, restul erau din oţel şi apreciază că aceste suspensii erau doar în zonele unde se lucra cu aceste piese.</w:t>
      </w:r>
    </w:p>
    <w:p w:rsidR="00B348EF" w14:paraId="1F41CD16" w14:textId="77777777">
      <w:pPr>
        <w:ind w:firstLine="708"/>
        <w:jc w:val="both"/>
      </w:pPr>
      <w:r>
        <w:t>În ce priveşte piesele de oţel arată că acestea veneau din turnătorie gata grunduite şi în cadrul lucrului la strung se degajau gaze şi fum ca urmare a arderii grundului pe bază de diluant.</w:t>
      </w:r>
    </w:p>
    <w:p w:rsidR="00B348EF" w14:paraId="3A659684" w14:textId="77777777">
      <w:pPr>
        <w:ind w:firstLine="708"/>
        <w:jc w:val="both"/>
      </w:pPr>
      <w:r>
        <w:t>Martorul nu ştie dacă cei care lucrau pe agregatele pentru piese din fontă aveau grupe de muncă. Apreciază că erau grupate zonele în care se efectuau diverse activităţi în sensul că exista un anumit flux fiind un non-sens să se prelucreze piese în zone diferite şi nu într-o ordine dată de fluxul de fabricaţie.</w:t>
      </w:r>
    </w:p>
    <w:p w:rsidR="00B348EF" w14:paraId="664C1167" w14:textId="1BAB75E9">
      <w:pPr>
        <w:ind w:firstLine="708"/>
        <w:jc w:val="both"/>
      </w:pPr>
      <w:r>
        <w:t xml:space="preserve">Martorul </w:t>
      </w:r>
      <w:r w:rsidR="00007A34">
        <w:t>10</w:t>
      </w:r>
      <w:r>
        <w:t xml:space="preserve"> arată că a lucrat din 1974 în cadrul </w:t>
      </w:r>
      <w:r w:rsidR="000B601C">
        <w:t>6</w:t>
      </w:r>
      <w:r>
        <w:t xml:space="preserve"> şi în prezent în cadrul </w:t>
      </w:r>
      <w:r w:rsidR="00E14666">
        <w:t xml:space="preserve">4 </w:t>
      </w:r>
      <w:r>
        <w:t xml:space="preserve"> ca inspector de personal deci nu a participat la comisiile paritare, însă în ce priveşte activitatea la </w:t>
      </w:r>
      <w:r w:rsidR="00B743E3">
        <w:t>PM</w:t>
      </w:r>
      <w:r>
        <w:t>1, ştie că în aceeaşi secţie erau acoperiri metalice, vopsitorie, sudură, strunguri şi nu ştiu de ce nu li s-a dat atunci grupa de muncă pentru că din punctul său de vedere aceasta se impunea faţă de condiţiile de acolo. Doar de la nivelul discuţiilor ce se purtau în firmă ştiu că era vorba că ar fi trebuit plătite contribuţii sociale prea mari şi deci că efortul financiar era prea mare ca să se dea grupă la nivelul întregii societăţi.</w:t>
      </w:r>
    </w:p>
    <w:p w:rsidR="00B348EF" w14:paraId="0F449940" w14:textId="77777777">
      <w:pPr>
        <w:jc w:val="both"/>
      </w:pPr>
      <w:r>
        <w:tab/>
        <w:t>La fel se lucra şi în celelalte secţii de prelucrări mecanice, mai puţin acoperirile metalice care constau din băi în acizi, cadmiu etc. Menţionează că pentru cei care realizau aceste acoperiri se acorda grupa a II-a. Din câte ştie determinări de noxe s-au făcut după 2001 pentru încadrările în condiţii de muncă.</w:t>
      </w:r>
    </w:p>
    <w:p w:rsidR="00B348EF" w14:paraId="55B7F741" w14:textId="77777777">
      <w:pPr>
        <w:jc w:val="both"/>
      </w:pPr>
      <w:r>
        <w:tab/>
        <w:t>Secţia de acoperiri metalice era distinctă în cadrul halei, fiind separată prin panouri, dar când se deschidea uşa înspre hală se degajau acele mirosuri specifice şi în cadrul halei.</w:t>
      </w:r>
    </w:p>
    <w:p w:rsidR="00B348EF" w14:paraId="0D954BA3" w14:textId="77777777">
      <w:pPr>
        <w:ind w:firstLine="708"/>
        <w:jc w:val="both"/>
      </w:pPr>
      <w:r>
        <w:t>Arată că se deschidea relativ des această uşă întrucât procesul tehnologic presupunea introducerea pieselor în containere pe stivuitor înăuntru, dura 5 – 10 minute inversarea şi apoi erau scoase şi intrau altele. Sudura era undeva în centrul halei şi relativ separată ca într-o baracă metalică dar în final toate noxele degajau tot în hală. Temperatura era aproape ca şi cea de afară, şi iarna şi vara.</w:t>
      </w:r>
    </w:p>
    <w:p w:rsidR="00B348EF" w14:paraId="33836995" w14:textId="2F4DDC77">
      <w:pPr>
        <w:ind w:firstLine="708"/>
        <w:jc w:val="both"/>
      </w:pPr>
      <w:r>
        <w:t xml:space="preserve">Toate aceste probe au adăugat un plus de concreteţe datelor furnizate în cadrul expertizei, fiind atestate de către foştii angajaţi ai </w:t>
      </w:r>
      <w:r w:rsidR="00E14666">
        <w:t xml:space="preserve">4 </w:t>
      </w:r>
      <w:r>
        <w:t xml:space="preserve">, actuali angajaţi ai </w:t>
      </w:r>
      <w:r w:rsidR="00E14666">
        <w:t>7</w:t>
      </w:r>
      <w:r w:rsidR="00007A34">
        <w:t xml:space="preserve"> şi 4</w:t>
      </w:r>
      <w:r w:rsidR="00E14666">
        <w:t xml:space="preserve"> </w:t>
      </w:r>
      <w:r>
        <w:t xml:space="preserve"> S.R.L. şi care au deţinut şi deţin funcţii în conducerea, respectiv în sindicatul întreprinderii, condiţiile de muncă în cadrul acestei secţii, arătând în mod clar toţi martorii, în afara directorului economic, faptul că nerecunoaşterea grupei de muncă pentru angajaţii din cadrul </w:t>
      </w:r>
      <w:r w:rsidR="000B601C">
        <w:t>......</w:t>
      </w:r>
      <w:r>
        <w:t>1 (prelucrări mecanice 1) s-a datorat refuzului conducerii de a accepta această încadrare, pentru motive financiare, în fapt, condiţiile de muncă fiind specifice grupei de muncă.</w:t>
      </w:r>
    </w:p>
    <w:p w:rsidR="00B348EF" w14:paraId="537649E7" w14:textId="601CB134">
      <w:pPr>
        <w:ind w:firstLine="708"/>
        <w:jc w:val="both"/>
      </w:pPr>
      <w:r>
        <w:t xml:space="preserve">A reieşit faptul că angajaţii din această secţie au lucrat în condiţii identice cu cei cărora li s-a recunoscut grupa a II-a de muncă, fiind supuşi aceloraşi noxe, în condiţiile în care de la procedeele de acoperiri metalice se degajau substanţe toxice în atmosfera din hală, când se deschidea uşa pentru a se introduce sau a se scoate piesele supuse acestui procedeu, tot astfel cum şi de la vopsitorie şi de la sudură se degajau astfel de substanţe toxice. Acest din urmă procedeu era efectuat într-o boxă despărţită prin panouri metalice de restul secţiei, însă martorul </w:t>
      </w:r>
      <w:r w:rsidR="00007A34">
        <w:t>10</w:t>
      </w:r>
      <w:r>
        <w:t xml:space="preserve"> a atestat că în final, noxele se degajau tot în hală.</w:t>
      </w:r>
    </w:p>
    <w:p w:rsidR="00B348EF" w14:paraId="7BFDF569" w14:textId="77777777">
      <w:pPr>
        <w:ind w:firstLine="708"/>
        <w:jc w:val="both"/>
      </w:pPr>
      <w:r>
        <w:t>De asemenea, lipsa încălzirii făcea să se facă focuri în hală, pentru încălzire, fapt care este în sine grăitor pentru condiţiile deosebit de grele în care se lucra.</w:t>
      </w:r>
    </w:p>
    <w:p w:rsidR="00B348EF" w14:paraId="58BCBCD2" w14:textId="77777777">
      <w:pPr>
        <w:ind w:firstLine="708"/>
        <w:jc w:val="both"/>
      </w:pPr>
      <w:r>
        <w:t>În plus, s-a arătat că inclusiv de la prelucrarea la strunguri a obiectelor din fontă rezulta un praf de fontă care se depunea în hală, în condiţiile în care un procent de 40 % din piesele lucrate erau din fontă.</w:t>
      </w:r>
    </w:p>
    <w:p w:rsidR="00B348EF" w14:paraId="5BA4B1E8" w14:textId="77777777">
      <w:pPr>
        <w:ind w:firstLine="708"/>
        <w:jc w:val="both"/>
      </w:pPr>
      <w:r>
        <w:t>Adăugând la acestea greutatea fizică a pieselor ce trebuia să fie manevrate (robineţi industriali ce cântăreau până la 60 kg unul), se constată că probaţiunea din apel a întărit atestările pe care prima instanţă le-a avut în vedere pentru pronunţarea sentinţei.</w:t>
      </w:r>
    </w:p>
    <w:p w:rsidR="00B348EF" w14:paraId="584A0784" w14:textId="77777777">
      <w:pPr>
        <w:ind w:firstLine="708"/>
        <w:jc w:val="both"/>
      </w:pPr>
      <w:r>
        <w:t xml:space="preserve">Or, în condiţiile în care unii muncitori din această secţie erau încadraţi în grupa a II-a de muncă de către angajator, iar condiţiile de muncă erau aceleaşi practic în hala de prelucrări mecanice 1, recunoaşterea grupei de muncă pentru aceştia apare ca fiind corect făcută în primă instanţă. </w:t>
      </w:r>
    </w:p>
    <w:p w:rsidR="00B348EF" w14:paraId="2B0F44EC" w14:textId="77777777">
      <w:pPr>
        <w:ind w:firstLine="708"/>
        <w:jc w:val="both"/>
      </w:pPr>
      <w:r>
        <w:t xml:space="preserve">Curtea mai notează ca fiind în mod deosebit relevant faptul că încadrarea în grupele de muncă de către societate nu s-a făcut avându-se în vedere doar condiţiile efective de muncă, raportat la prevederile legale. </w:t>
      </w:r>
    </w:p>
    <w:p w:rsidR="00B348EF" w14:paraId="03D3CFC7" w14:textId="6A94CF62">
      <w:pPr>
        <w:ind w:firstLine="708"/>
        <w:jc w:val="both"/>
      </w:pPr>
      <w:r>
        <w:t xml:space="preserve">Astfel, martorul </w:t>
      </w:r>
      <w:r w:rsidR="00007A34">
        <w:t>9</w:t>
      </w:r>
      <w:r>
        <w:t>, implicat în această procedură de încadrare din perspectiva postului de conducere pe care îl ocupa, întrebat fiind de instanţă de importanţa factorului negociere în stabilirea grupelor de muncă, a arătat că, deşi primordial a fost factorul legislativ, şi factorul negociere a avut un rol important.</w:t>
      </w:r>
    </w:p>
    <w:p w:rsidR="00B348EF" w14:paraId="6FD6C80D" w14:textId="77777777">
      <w:pPr>
        <w:ind w:firstLine="708"/>
        <w:jc w:val="both"/>
      </w:pPr>
      <w:r>
        <w:t>Negocierea explică de altfel şi diferenţele de încadrare între diferiţi ani, respectiv faptul că apar în 2000 încadrate în grupe de muncă activităţi care anterior nu fuseseră încadrate.</w:t>
      </w:r>
    </w:p>
    <w:p w:rsidR="00B348EF" w14:paraId="1DC594DC" w14:textId="77777777">
      <w:pPr>
        <w:ind w:firstLine="708"/>
        <w:jc w:val="both"/>
      </w:pPr>
      <w:r>
        <w:t>Cu alte cuvinte, iniţial au fost omise de la încadrare activităţi care, potrivit legii, corespundeau grupelor de muncă, şi abia în urma negocierilor acestea au fost şi ele încadrate. Tabele depuse în probaţiune în faţa curţii confirmă acest aspect.</w:t>
      </w:r>
    </w:p>
    <w:p w:rsidR="00B348EF" w14:paraId="3FEC7265" w14:textId="41408E31">
      <w:pPr>
        <w:ind w:firstLine="708"/>
        <w:jc w:val="both"/>
      </w:pPr>
      <w:r>
        <w:t xml:space="preserve">Devine aşadar incontestabil că încadrarea în grupele de muncă a avut un caracter subiectiv, al cărei rezultat a fost generat de forţa de negociere a sindicatului si de diversele rezultate ale luptei dintre diverşi membri ai acestuia în interiorul sindicatului, membrii acestuia fiind în concurenţă pentru recunoaşterea unor drepturi în funcţie de specificul muncii, în condiţiile unui buget limitat. Acest episod este de altfel relatat ca atare de martorul </w:t>
      </w:r>
      <w:r w:rsidR="00007A34">
        <w:t>8</w:t>
      </w:r>
      <w:r>
        <w:t>.</w:t>
      </w:r>
    </w:p>
    <w:p w:rsidR="00B348EF" w14:paraId="6CED688D" w14:textId="77777777">
      <w:pPr>
        <w:ind w:firstLine="708"/>
        <w:jc w:val="both"/>
      </w:pPr>
      <w:r>
        <w:t>Or, încadrarea în grupe de muncă şi acordarea beneficiilor ce rezultă din acestea nu trebuie în nici un caz să devină privilegiul celor puternici, ci ele sunt reglementate şi recunoscute de lege ca o compensaţie pentru muncitorii care şi-au desfăşurat activitatea în condiţii de muncă care le-au periclita sănătatea şi au presupus un efort considerabil mai intens decât al unei munci în condiţii normale. Aceste beneficii nu sunt de altfel altceva decât o transpunere în legislaţia secundară a principiului constituţional consacrat de art. 41 alin.2 în care arată că salariaţii au dreptul la măsuri de protecţie socială, ce le includ în mod explicit pe cele privind prestarea muncii în condiţii speciale şi fundamentale. La fel ca orice alt drept fundamental, consfinţit de Constituţie, acesta trebuie recunoscut şi garantat fără privilegii şi fără discriminări.</w:t>
      </w:r>
    </w:p>
    <w:p w:rsidR="00B348EF" w14:paraId="6AD0DD96" w14:textId="77777777">
      <w:pPr>
        <w:ind w:firstLine="708"/>
        <w:jc w:val="both"/>
      </w:pPr>
      <w:r>
        <w:t>De altfel, în acest sens trebuie interpretate dezlegările date de Înalta Curte de Casaţie şi Justiţie prin decizia nr. 9/16.05.2016, pronunţată de Înalta Curte de Casaţie şi Justiţiei în soluţionarea unui recurs în interesul legii, la paragraful 62, cum că, neputând fi adăugate, pe cale pretoriană, alte activităţi şi locuri de muncă faţă de cele din anexe, chiar dacă îndeplinesc aceleaşi condiţii de muncă posibil vătămătoare, puteau fi „nominalizate, prin asimilare, în temeiul dispoziţiilor art. 3, alte categorii de personal în activitate ale aceluiaşi angajator decât cele enumerate expres, după criteriul: muncitori, ingineri, subingineri etc., cu condiţia generală de a lucra efectiv (acele categorii de personal care au lucrat efectiv) în locuri de muncă sau în activităţile nominalizate în anexă şi aplicate acelui angajator (alin. 1 al pct. 3) sau personalul muncitor care a realizat anumite tipuri de lucrări expres nominalizate în ordin (respectiv extinderi, modernizări sau reparaţii ale capacităţilor de producţie) în respectivele unităţi ce au făcut obiectul încadrării, acesta fiind motivul pentru care îşi desfăşoară activitatea în aceleaşi condiţii (alin. 2 al pct. 3)”.</w:t>
      </w:r>
    </w:p>
    <w:p w:rsidRPr="00E14666" w:rsidR="00B348EF" w14:paraId="69D1A0C7" w14:textId="77777777">
      <w:pPr>
        <w:ind w:firstLine="708"/>
        <w:jc w:val="both"/>
        <w:rPr>
          <w:rStyle w:val="def"/>
          <w:lang w:val="ro-RO"/>
        </w:rPr>
      </w:pPr>
      <w:r>
        <w:t xml:space="preserve">Utilizarea sintagmei „prin asimilare” exclude ipoteza ca Înalta Curte de Casaţie şi Justiţie să se fi referit la situaţia în care activitatea acelor categorii neîncadrate se regăseşte nominal în anexele la Ordinul nr. 50/1990, în această din urmă situaţie, nefiind necesară nici o </w:t>
      </w:r>
      <w:r>
        <w:t>asimilare, ci doar o simplă constatare a faptului că activitatea se încadrează în ordin. Asimilarea presupune, conform definiţiei de dicţionar, „a</w:t>
      </w:r>
      <w:r w:rsidRPr="00E14666">
        <w:rPr>
          <w:rStyle w:val="def"/>
          <w:lang w:val="ro-RO"/>
        </w:rPr>
        <w:t xml:space="preserve"> considera egal, asemănător cu altă fiinţă, cu alt obiect, cu alt fenomen”, prin urmare o operaţiune în care se constată o situaţie asemănătoare cu alta, luată ca reper. Or, în ipoteza de lucru dată de obiectul cauzei, asimilarea presupune constatarea că reclamantul a lucrat în condiţii asemănătoare cu colegii din aceeaşi secţie care au avut recunoscută grupa de muncă.</w:t>
      </w:r>
    </w:p>
    <w:p w:rsidR="00B348EF" w14:paraId="2A11D1AE" w14:textId="77777777">
      <w:pPr>
        <w:ind w:firstLine="708"/>
        <w:jc w:val="both"/>
      </w:pPr>
      <w:r>
        <w:t>Pentru toate aceste considerente, reţinând că motivele de apel invocate nu sunt întemeiate, în temeiul art. 480 alin. 1 NCPC se va respinge ca nefondat apelul declarat în cauză.</w:t>
      </w:r>
    </w:p>
    <w:p w:rsidRPr="00E14666" w:rsidR="00B348EF" w14:paraId="08A5BC75" w14:textId="77777777">
      <w:pPr>
        <w:ind w:firstLine="720"/>
        <w:jc w:val="both"/>
        <w:rPr>
          <w:rStyle w:val="Fontdeparagrafimplicit"/>
          <w:i/>
          <w:lang w:val="pt-PT"/>
        </w:rPr>
      </w:pPr>
    </w:p>
    <w:p w:rsidRPr="00E14666" w:rsidR="00B348EF" w14:paraId="593B897A" w14:textId="77777777">
      <w:pPr>
        <w:ind w:firstLine="851"/>
        <w:jc w:val="both"/>
        <w:rPr>
          <w:rStyle w:val="Fontdeparagrafimplicit"/>
          <w:i/>
          <w:lang w:val="pt-PT"/>
        </w:rPr>
      </w:pPr>
    </w:p>
    <w:p w:rsidRPr="00E14666" w:rsidR="00B348EF" w14:paraId="5C15F744" w14:textId="77777777">
      <w:pPr>
        <w:jc w:val="center"/>
        <w:rPr>
          <w:rStyle w:val="Fontdeparagrafimplicit"/>
          <w:b/>
          <w:lang w:val="pt-PT"/>
        </w:rPr>
      </w:pPr>
      <w:r w:rsidRPr="00E14666">
        <w:rPr>
          <w:rStyle w:val="Fontdeparagrafimplicit"/>
          <w:b/>
          <w:lang w:val="pt-PT"/>
        </w:rPr>
        <w:t>PENTRU ACESTE MOTIVE</w:t>
      </w:r>
    </w:p>
    <w:p w:rsidRPr="00E14666" w:rsidR="00B348EF" w14:paraId="51BBE5C3" w14:textId="77777777">
      <w:pPr>
        <w:jc w:val="center"/>
        <w:rPr>
          <w:rStyle w:val="Fontdeparagrafimplicit"/>
          <w:b/>
          <w:lang w:val="pt-PT"/>
        </w:rPr>
      </w:pPr>
      <w:r w:rsidRPr="00E14666">
        <w:rPr>
          <w:rStyle w:val="Fontdeparagrafimplicit"/>
          <w:b/>
          <w:lang w:val="pt-PT"/>
        </w:rPr>
        <w:t>ÎN NUMELE LEGII</w:t>
      </w:r>
    </w:p>
    <w:p w:rsidRPr="00E14666" w:rsidR="00B348EF" w14:paraId="306A3F8F" w14:textId="77777777">
      <w:pPr>
        <w:jc w:val="center"/>
        <w:rPr>
          <w:rStyle w:val="Fontdeparagrafimplicit"/>
          <w:b/>
          <w:lang w:val="pt-PT"/>
        </w:rPr>
      </w:pPr>
      <w:r w:rsidRPr="00E14666">
        <w:rPr>
          <w:rStyle w:val="Fontdeparagrafimplicit"/>
          <w:b/>
          <w:lang w:val="pt-PT"/>
        </w:rPr>
        <w:t>D E C I D E</w:t>
      </w:r>
    </w:p>
    <w:p w:rsidRPr="00E14666" w:rsidR="00B348EF" w14:paraId="771522FE" w14:textId="77777777">
      <w:pPr>
        <w:ind w:firstLine="720"/>
        <w:jc w:val="both"/>
        <w:rPr>
          <w:rStyle w:val="Fontdeparagrafimplicit"/>
          <w:lang w:val="pt-PT"/>
        </w:rPr>
      </w:pPr>
    </w:p>
    <w:p w:rsidR="00B348EF" w14:paraId="00EC6682" w14:textId="2E47EE22">
      <w:pPr>
        <w:ind w:firstLine="720"/>
        <w:jc w:val="both"/>
      </w:pPr>
      <w:r>
        <w:t xml:space="preserve">Respinge ca nefondat apelul declarat de pârâta CASA JUDEŢEANĂ DE PENSII </w:t>
      </w:r>
      <w:r w:rsidR="00E14666">
        <w:t xml:space="preserve">................ </w:t>
      </w:r>
      <w:r>
        <w:t xml:space="preserve">cu sediul în </w:t>
      </w:r>
      <w:r w:rsidR="00E14666">
        <w:t xml:space="preserve">......... </w:t>
      </w:r>
      <w:r>
        <w:t xml:space="preserve">, str. </w:t>
      </w:r>
      <w:r w:rsidR="001B1EF4">
        <w:t>.........</w:t>
      </w:r>
      <w:r>
        <w:t xml:space="preserve">, nr. </w:t>
      </w:r>
      <w:r w:rsidR="001B1EF4">
        <w:t>.........</w:t>
      </w:r>
      <w:r>
        <w:t xml:space="preserve">, judeţul </w:t>
      </w:r>
      <w:r w:rsidR="00E14666">
        <w:t xml:space="preserve">................ </w:t>
      </w:r>
      <w:r>
        <w:t xml:space="preserve">împotriva sentinţei civile nr. </w:t>
      </w:r>
      <w:r w:rsidR="00E14666">
        <w:t xml:space="preserve">.......... </w:t>
      </w:r>
      <w:r>
        <w:t xml:space="preserve">din </w:t>
      </w:r>
      <w:r w:rsidR="00E14666">
        <w:t xml:space="preserve">........... </w:t>
      </w:r>
      <w:r>
        <w:t xml:space="preserve"> a Tribunalului </w:t>
      </w:r>
      <w:r w:rsidR="00E14666">
        <w:t xml:space="preserve">.............. </w:t>
      </w:r>
      <w:r>
        <w:t xml:space="preserve">, pronunţată în dosarul nr. </w:t>
      </w:r>
      <w:r w:rsidR="00E14666">
        <w:t>11</w:t>
      </w:r>
      <w:r>
        <w:t>, pe care o menţine.</w:t>
      </w:r>
    </w:p>
    <w:p w:rsidR="00B348EF" w14:paraId="08254300" w14:textId="77777777">
      <w:pPr>
        <w:ind w:firstLine="720"/>
        <w:jc w:val="both"/>
      </w:pPr>
      <w:r>
        <w:t>Decizia este definitivă.</w:t>
      </w:r>
    </w:p>
    <w:p w:rsidR="00B348EF" w14:paraId="18880C34" w14:textId="4838D402">
      <w:pPr>
        <w:ind w:firstLine="720"/>
        <w:jc w:val="both"/>
      </w:pPr>
      <w:r>
        <w:t xml:space="preserve">Dată şi pronunţată în şedinţa publică din </w:t>
      </w:r>
      <w:r w:rsidR="00E14666">
        <w:t xml:space="preserve">............ </w:t>
      </w:r>
      <w:r>
        <w:t>.</w:t>
      </w:r>
    </w:p>
    <w:p w:rsidR="00B348EF" w14:paraId="3648E485" w14:textId="77777777">
      <w:pPr>
        <w:ind w:firstLine="720"/>
        <w:jc w:val="both"/>
      </w:pPr>
    </w:p>
    <w:p w:rsidRPr="00716984" w:rsidR="00B348EF" w14:paraId="2573984C" w14:textId="77777777">
      <w:pPr>
        <w:rPr>
          <w:rStyle w:val="Fontdeparagrafimplicit"/>
          <w:b/>
          <w:lang w:val="ro-RO"/>
        </w:rPr>
      </w:pPr>
      <w:r w:rsidRPr="00E14666">
        <w:rPr>
          <w:rStyle w:val="Fontdeparagrafimplicit"/>
          <w:b/>
          <w:lang w:val="ro-RO"/>
        </w:rPr>
        <w:t xml:space="preserve">              </w:t>
      </w:r>
      <w:r w:rsidRPr="00716984">
        <w:rPr>
          <w:rStyle w:val="Fontdeparagrafimplicit"/>
          <w:b/>
          <w:lang w:val="ro-RO"/>
        </w:rPr>
        <w:t>PREŞEDINTE                                                                         JUDECĂTOR</w:t>
      </w:r>
    </w:p>
    <w:p w:rsidRPr="00716984" w:rsidR="00B348EF" w:rsidP="001B1EF4" w14:paraId="5EA672D3" w14:textId="2651FB36">
      <w:pPr>
        <w:ind w:firstLine="720"/>
        <w:rPr>
          <w:rStyle w:val="Fontdeparagrafimplicit"/>
          <w:b/>
          <w:lang w:val="ro-RO"/>
        </w:rPr>
      </w:pPr>
      <w:r w:rsidRPr="00716984">
        <w:rPr>
          <w:rStyle w:val="Fontdeparagrafimplicit"/>
          <w:b/>
          <w:lang w:val="ro-RO"/>
        </w:rPr>
        <w:t xml:space="preserve">          </w:t>
      </w:r>
      <w:r w:rsidRPr="00716984" w:rsidR="00E14666">
        <w:rPr>
          <w:rStyle w:val="Fontdeparagrafimplicit"/>
          <w:b/>
          <w:lang w:val="ro-RO"/>
        </w:rPr>
        <w:t>A0019</w:t>
      </w:r>
      <w:r w:rsidRPr="00716984" w:rsidR="00B71989">
        <w:rPr>
          <w:rStyle w:val="Fontdeparagrafimplicit"/>
          <w:b/>
          <w:lang w:val="ro-RO"/>
        </w:rPr>
        <w:t xml:space="preserve">                                                     </w:t>
      </w:r>
      <w:r w:rsidRPr="00716984">
        <w:rPr>
          <w:rStyle w:val="Fontdeparagrafimplicit"/>
          <w:b/>
          <w:lang w:val="ro-RO"/>
        </w:rPr>
        <w:t xml:space="preserve">                       </w:t>
      </w:r>
      <w:r w:rsidRPr="00716984" w:rsidR="00B71989">
        <w:rPr>
          <w:rStyle w:val="Fontdeparagrafimplicit"/>
          <w:b/>
          <w:lang w:val="ro-RO"/>
        </w:rPr>
        <w:t xml:space="preserve">  </w:t>
      </w:r>
      <w:r w:rsidRPr="00716984" w:rsidR="00E14666">
        <w:rPr>
          <w:rStyle w:val="Fontdeparagrafimplicit"/>
          <w:b/>
          <w:lang w:val="ro-RO"/>
        </w:rPr>
        <w:t xml:space="preserve">................ </w:t>
      </w:r>
    </w:p>
    <w:p w:rsidRPr="00716984" w:rsidR="00B348EF" w14:paraId="328FF2FA" w14:textId="77777777">
      <w:pPr>
        <w:rPr>
          <w:rStyle w:val="Fontdeparagrafimplicit"/>
          <w:b/>
          <w:lang w:val="ro-RO"/>
        </w:rPr>
      </w:pPr>
    </w:p>
    <w:p w:rsidRPr="00716984" w:rsidR="00B348EF" w14:paraId="576930FE" w14:textId="77777777">
      <w:pPr>
        <w:rPr>
          <w:rStyle w:val="Fontdeparagrafimplicit"/>
          <w:b/>
          <w:lang w:val="ro-RO"/>
        </w:rPr>
      </w:pPr>
    </w:p>
    <w:p w:rsidRPr="00716984" w:rsidR="00B348EF" w14:paraId="798967BF" w14:textId="77777777">
      <w:pPr>
        <w:rPr>
          <w:rStyle w:val="Fontdeparagrafimplicit"/>
          <w:b/>
          <w:lang w:val="ro-RO"/>
        </w:rPr>
      </w:pPr>
    </w:p>
    <w:p w:rsidRPr="00716984" w:rsidR="00B348EF" w14:paraId="275E04AC" w14:textId="77777777">
      <w:pPr>
        <w:rPr>
          <w:rStyle w:val="Fontdeparagrafimplicit"/>
          <w:b/>
          <w:lang w:val="ro-RO"/>
        </w:rPr>
      </w:pPr>
    </w:p>
    <w:p w:rsidRPr="00716984" w:rsidR="00B348EF" w14:paraId="5CE5FEBE" w14:textId="77777777">
      <w:pPr>
        <w:rPr>
          <w:rStyle w:val="Fontdeparagrafimplicit"/>
          <w:b/>
          <w:lang w:val="ro-RO"/>
        </w:rPr>
      </w:pPr>
    </w:p>
    <w:p w:rsidRPr="00716984" w:rsidR="00B348EF" w14:paraId="7E6AAB11" w14:textId="77777777">
      <w:pPr>
        <w:rPr>
          <w:rStyle w:val="Fontdeparagrafimplicit"/>
          <w:b/>
          <w:lang w:val="ro-RO"/>
        </w:rPr>
      </w:pPr>
    </w:p>
    <w:p w:rsidRPr="00716984" w:rsidR="00B348EF" w14:paraId="5D31A888" w14:textId="77777777">
      <w:pPr>
        <w:jc w:val="center"/>
        <w:rPr>
          <w:rStyle w:val="Fontdeparagrafimplicit"/>
          <w:b/>
          <w:lang w:val="ro-RO"/>
        </w:rPr>
      </w:pPr>
      <w:r w:rsidRPr="00716984">
        <w:rPr>
          <w:rStyle w:val="Fontdeparagrafimplicit"/>
          <w:b/>
          <w:lang w:val="ro-RO"/>
        </w:rPr>
        <w:t>GREFIER</w:t>
      </w:r>
    </w:p>
    <w:p w:rsidRPr="00716984" w:rsidR="00B348EF" w14:paraId="551B3EE6" w14:textId="29D366D5">
      <w:pPr>
        <w:jc w:val="center"/>
        <w:rPr>
          <w:rStyle w:val="Fontdeparagrafimplicit"/>
          <w:b/>
          <w:lang w:val="ro-RO"/>
        </w:rPr>
      </w:pPr>
      <w:r w:rsidRPr="00716984">
        <w:rPr>
          <w:rStyle w:val="Fontdeparagrafimplicit"/>
          <w:b/>
          <w:lang w:val="ro-RO"/>
        </w:rPr>
        <w:t xml:space="preserve">................ </w:t>
      </w:r>
    </w:p>
    <w:p w:rsidRPr="00716984" w:rsidR="00B348EF" w14:paraId="1148E110" w14:textId="77777777">
      <w:pPr>
        <w:ind w:firstLine="1080"/>
        <w:jc w:val="both"/>
        <w:rPr>
          <w:rStyle w:val="Fontdeparagrafimplicit"/>
          <w:lang w:val="ro-RO"/>
        </w:rPr>
      </w:pPr>
    </w:p>
    <w:p w:rsidRPr="00716984" w:rsidR="00B348EF" w14:paraId="33EEDEAE" w14:textId="77777777">
      <w:pPr>
        <w:ind w:firstLine="1080"/>
        <w:jc w:val="both"/>
        <w:rPr>
          <w:rStyle w:val="Fontdeparagrafimplicit"/>
          <w:lang w:val="ro-RO"/>
        </w:rPr>
      </w:pPr>
    </w:p>
    <w:p w:rsidRPr="00716984" w:rsidR="00B348EF" w14:paraId="6DE19811" w14:textId="77777777">
      <w:pPr>
        <w:ind w:firstLine="1080"/>
        <w:jc w:val="both"/>
        <w:rPr>
          <w:rStyle w:val="Fontdeparagrafimplicit"/>
          <w:lang w:val="ro-RO"/>
        </w:rPr>
      </w:pPr>
    </w:p>
    <w:p w:rsidRPr="00716984" w:rsidR="00B348EF" w14:paraId="0293C2BC" w14:textId="77777777">
      <w:pPr>
        <w:rPr>
          <w:rStyle w:val="Fontdeparagrafimplicit"/>
          <w:lang w:val="ro-RO"/>
        </w:rPr>
      </w:pPr>
    </w:p>
    <w:p w:rsidRPr="00716984" w:rsidR="00B348EF" w14:paraId="79A251D4" w14:textId="0A946D83">
      <w:pPr>
        <w:rPr>
          <w:rStyle w:val="Fontdeparagrafimplicit"/>
          <w:sz w:val="16"/>
          <w:lang w:val="ro-RO"/>
        </w:rPr>
      </w:pPr>
      <w:r w:rsidRPr="00716984">
        <w:rPr>
          <w:rStyle w:val="Fontdeparagrafimplicit"/>
          <w:sz w:val="16"/>
          <w:lang w:val="ro-RO"/>
        </w:rPr>
        <w:t xml:space="preserve">Red. </w:t>
      </w:r>
      <w:r w:rsidRPr="00716984" w:rsidR="001B1EF4">
        <w:rPr>
          <w:rStyle w:val="Fontdeparagrafimplicit"/>
          <w:sz w:val="16"/>
          <w:lang w:val="ro-RO"/>
        </w:rPr>
        <w:t>A0019</w:t>
      </w:r>
      <w:r w:rsidRPr="00716984">
        <w:rPr>
          <w:rStyle w:val="Fontdeparagrafimplicit"/>
          <w:sz w:val="16"/>
          <w:lang w:val="ro-RO"/>
        </w:rPr>
        <w:t xml:space="preserve">/Tehn. </w:t>
      </w:r>
      <w:r w:rsidRPr="00716984" w:rsidR="001B1EF4">
        <w:rPr>
          <w:rStyle w:val="Fontdeparagrafimplicit"/>
          <w:sz w:val="16"/>
          <w:lang w:val="ro-RO"/>
        </w:rPr>
        <w:t>………</w:t>
      </w:r>
    </w:p>
    <w:p w:rsidRPr="001B1EF4" w:rsidR="00B348EF" w14:paraId="62267600" w14:textId="755BC9EC">
      <w:pPr>
        <w:rPr>
          <w:rStyle w:val="Fontdeparagrafimplicit"/>
          <w:sz w:val="16"/>
          <w:lang w:val="en-US"/>
        </w:rPr>
      </w:pPr>
      <w:r w:rsidRPr="001B1EF4">
        <w:rPr>
          <w:rStyle w:val="Fontdeparagrafimplicit"/>
          <w:sz w:val="16"/>
          <w:lang w:val="en-US"/>
        </w:rPr>
        <w:t xml:space="preserve">Jud. fond: </w:t>
      </w:r>
      <w:r w:rsidR="001B1EF4">
        <w:rPr>
          <w:rStyle w:val="Fontdeparagrafimplicit"/>
          <w:sz w:val="16"/>
          <w:lang w:val="en-US"/>
        </w:rPr>
        <w:t>………..</w:t>
      </w:r>
    </w:p>
    <w:p w:rsidRPr="001B1EF4" w:rsidR="00B348EF" w14:paraId="7889CF23" w14:textId="77777777">
      <w:pPr>
        <w:rPr>
          <w:rStyle w:val="Fontdeparagrafimplicit"/>
          <w:lang w:val="en-US"/>
        </w:rPr>
      </w:pPr>
    </w:p>
    <w:p w:rsidRPr="001B1EF4" w:rsidR="00B348EF" w14:paraId="59DC7C8E" w14:textId="77777777">
      <w:pPr>
        <w:ind w:firstLine="720"/>
        <w:jc w:val="both"/>
        <w:rPr>
          <w:rStyle w:val="Fontdeparagrafimplicit"/>
          <w:lang w:val="en-US"/>
        </w:rPr>
      </w:pPr>
    </w:p>
    <w:sectPr>
      <w:footerReference w:type="even" r:id="rId4"/>
      <w:footerReference w:type="default" r:id="rId5"/>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48EF" w14:paraId="0BDBC663"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B348EF" w14:paraId="09567FB0" w14:textId="77777777">
    <w:pPr>
      <w:pStyle w:val="Subsol"/>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48EF" w14:paraId="35774192"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B348EF" w14:paraId="3B1B4F1D" w14:textId="77777777">
    <w:pPr>
      <w:pStyle w:val="Subsol"/>
      <w:rPr>
        <w:rStyle w:val="Numrdepagi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48EF"/>
    <w:rsid w:val="00007A34"/>
    <w:rsid w:val="00017B6A"/>
    <w:rsid w:val="00057DC0"/>
    <w:rsid w:val="000B601C"/>
    <w:rsid w:val="001B1EF4"/>
    <w:rsid w:val="00343229"/>
    <w:rsid w:val="003A446B"/>
    <w:rsid w:val="00460362"/>
    <w:rsid w:val="006F0C28"/>
    <w:rsid w:val="00716984"/>
    <w:rsid w:val="00B348EF"/>
    <w:rsid w:val="00B557C6"/>
    <w:rsid w:val="00B71989"/>
    <w:rsid w:val="00B743E3"/>
    <w:rsid w:val="00D1337F"/>
    <w:rsid w:val="00E14666"/>
  </w:rsids>
  <w:docVars>
    <w:docVar w:name="url" w:val="http://bd-cjca:80/ecris_cdms/document_upload.aspx?id_document=3300000001068381&amp;id_departament=14&amp;id_sesiune=1204686&amp;id_user=157&amp;id_institutie=33&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5F20264A"/>
  <w15:docId w15:val="{C25071E4-1F9A-4196-AB41-0935E9911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pPr>
      <w:tabs>
        <w:tab w:val="center" w:pos="4536"/>
        <w:tab w:val="right" w:pos="9072"/>
      </w:tabs>
    </w:pPr>
  </w:style>
  <w:style w:type="paragraph" w:customStyle="1" w:styleId="CaracterCaracter">
    <w:name w:val="Caracter Caracter"/>
    <w:basedOn w:val="Normal"/>
    <w:link w:val="Fontdeparagrafimplicit"/>
    <w:rPr>
      <w:lang w:val="pl-PL"/>
    </w:rPr>
  </w:style>
  <w:style w:type="paragraph" w:customStyle="1" w:styleId="CaracterCaracterCaracterCaracter">
    <w:name w:val="Caracter Caracter Caracter Caracter"/>
    <w:basedOn w:val="Normal"/>
    <w:pPr>
      <w:tabs>
        <w:tab w:val="left" w:pos="900"/>
        <w:tab w:val="left" w:pos="1080"/>
      </w:tabs>
      <w:ind w:right="22"/>
    </w:pPr>
    <w:rPr>
      <w:lang w:val="pl-PL"/>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aliases w:val=" Caracter Caracter Caracter Caracter1"/>
    <w:link w:val="CaracterCaracter"/>
    <w:rPr>
      <w:lang w:val="pl-PL"/>
    </w:rPr>
  </w:style>
  <w:style w:type="character" w:customStyle="1" w:styleId="Numrdepagin">
    <w:name w:val="Număr de pagină"/>
    <w:basedOn w:val="Fontdeparagrafimplicit"/>
    <w:rPr>
      <w:lang w:val="pl-PL"/>
    </w:rPr>
  </w:style>
  <w:style w:type="character" w:customStyle="1" w:styleId="def">
    <w:name w:val="def"/>
    <w:basedOn w:val="Fontdeparagrafimplicit"/>
    <w:rPr>
      <w:lang w:val="pl-PL"/>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62</ap:TotalTime>
  <ap:Pages>13</ap:Pages>
  <ap:Words>8326</ap:Words>
  <ap:Characters>47463</ap:Characters>
  <ap:Application>Microsoft Office Word</ap:Application>
  <ap:DocSecurity>0</ap:DocSecurity>
  <ap:Lines>395</ap:Lines>
  <ap:Paragraphs>111</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55678</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