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24037" w:rsidR="00424037" w:rsidRDefault="00424037">
      <w:pPr>
        <w:rPr>
          <w:rStyle w:val="Fontdeparagrafimplicit"/>
          <w:b/>
          <w:szCs w:val="24"/>
        </w:rPr>
      </w:pPr>
      <w:r w:rsidRPr="00424037">
        <w:rPr>
          <w:rStyle w:val="Fontdeparagrafimplicit"/>
          <w:b/>
          <w:szCs w:val="24"/>
        </w:rPr>
        <w:t>HOTĂRÂRE 29</w:t>
      </w:r>
    </w:p>
    <w:p w:rsidR="00EC2A0D" w:rsidRDefault="0056286E">
      <w:pPr>
        <w:rPr>
          <w:rStyle w:val="Fontdeparagrafimplicit"/>
          <w:color w:val="BFBFBF"/>
          <w:sz w:val="20"/>
        </w:rPr>
      </w:pPr>
      <w:r>
        <w:rPr>
          <w:rStyle w:val="Fontdeparagrafimplicit"/>
          <w:color w:val="BFBFBF"/>
          <w:sz w:val="20"/>
        </w:rPr>
        <w:t>Document finalizat</w:t>
      </w:r>
    </w:p>
    <w:p w:rsidR="00EC2A0D" w:rsidRDefault="0056286E">
      <w:pPr>
        <w:rPr>
          <w:rStyle w:val="Fontdeparagrafimplicit"/>
          <w:b/>
        </w:rPr>
      </w:pPr>
      <w:r>
        <w:rPr>
          <w:rStyle w:val="Fontdeparagrafimplicit"/>
          <w:b/>
        </w:rPr>
        <w:t>Cod ECLI ECLI:RO:</w:t>
      </w:r>
      <w:r w:rsidR="00FD5B49">
        <w:rPr>
          <w:rStyle w:val="Fontdeparagrafimplicit"/>
          <w:b/>
        </w:rPr>
        <w:t>...</w:t>
      </w:r>
      <w:r>
        <w:rPr>
          <w:rStyle w:val="Fontdeparagrafimplicit"/>
          <w:b/>
        </w:rPr>
        <w:t xml:space="preserve"> </w:t>
      </w:r>
    </w:p>
    <w:p w:rsidR="00EC2A0D" w:rsidRDefault="0056286E">
      <w:pPr>
        <w:rPr>
          <w:rStyle w:val="Fontdeparagrafimplicit"/>
          <w:b/>
        </w:rPr>
      </w:pPr>
      <w:r>
        <w:rPr>
          <w:rStyle w:val="Fontdeparagrafimplicit"/>
          <w:b/>
        </w:rPr>
        <w:t xml:space="preserve">Dosar nr. </w:t>
      </w:r>
      <w:r w:rsidR="00FD5B49">
        <w:rPr>
          <w:rStyle w:val="Fontdeparagrafimplicit"/>
          <w:b/>
        </w:rPr>
        <w:t>...</w:t>
      </w:r>
      <w:r>
        <w:rPr>
          <w:rStyle w:val="Fontdeparagrafimplicit"/>
          <w:b/>
        </w:rPr>
        <w:t>/</w:t>
      </w:r>
      <w:r w:rsidR="00FD5B49">
        <w:rPr>
          <w:rStyle w:val="Fontdeparagrafimplicit"/>
          <w:b/>
        </w:rPr>
        <w:t>...</w:t>
      </w:r>
      <w:r>
        <w:rPr>
          <w:rStyle w:val="Fontdeparagrafimplicit"/>
          <w:b/>
        </w:rPr>
        <w:t>/2019</w:t>
      </w:r>
    </w:p>
    <w:p w:rsidR="00EC2A0D" w:rsidRDefault="00EC2A0D">
      <w:pPr>
        <w:ind w:firstLine="600"/>
        <w:jc w:val="center"/>
        <w:rPr>
          <w:rStyle w:val="Fontdeparagrafimplicit"/>
          <w:b/>
        </w:rPr>
      </w:pPr>
    </w:p>
    <w:p w:rsidR="00EC2A0D" w:rsidRDefault="0056286E">
      <w:pPr>
        <w:ind w:firstLine="600"/>
        <w:jc w:val="center"/>
        <w:rPr>
          <w:rStyle w:val="Fontdeparagrafimplicit"/>
          <w:b/>
        </w:rPr>
      </w:pPr>
      <w:r>
        <w:rPr>
          <w:rStyle w:val="Fontdeparagrafimplicit"/>
          <w:b/>
        </w:rPr>
        <w:t>R O M Â N I A</w:t>
      </w:r>
    </w:p>
    <w:p w:rsidR="00EC2A0D" w:rsidRDefault="0056286E">
      <w:pPr>
        <w:ind w:firstLine="600"/>
        <w:jc w:val="center"/>
        <w:rPr>
          <w:rStyle w:val="Fontdeparagrafimplicit"/>
          <w:b/>
        </w:rPr>
      </w:pPr>
      <w:r>
        <w:rPr>
          <w:rStyle w:val="Fontdeparagrafimplicit"/>
          <w:b/>
        </w:rPr>
        <w:t xml:space="preserve">CURTEA DE APEL </w:t>
      </w:r>
      <w:r w:rsidR="00FD5B49">
        <w:rPr>
          <w:rStyle w:val="Fontdeparagrafimplicit"/>
          <w:b/>
        </w:rPr>
        <w:t>X</w:t>
      </w:r>
    </w:p>
    <w:p w:rsidR="00EC2A0D" w:rsidRDefault="0056286E">
      <w:pPr>
        <w:ind w:firstLine="600"/>
        <w:jc w:val="center"/>
        <w:rPr>
          <w:rStyle w:val="Fontdeparagrafimplicit"/>
          <w:b/>
        </w:rPr>
      </w:pPr>
      <w:r>
        <w:rPr>
          <w:rStyle w:val="Fontdeparagrafimplicit"/>
          <w:b/>
        </w:rPr>
        <w:t xml:space="preserve">SECŢIA </w:t>
      </w:r>
      <w:r>
        <w:rPr>
          <w:rStyle w:val="Fontdeparagrafimplicit"/>
          <w:b/>
        </w:rPr>
        <w:t xml:space="preserve">CONTENCIOS ADMINISTRATIV ŞI FISCAL </w:t>
      </w:r>
    </w:p>
    <w:p w:rsidR="00EC2A0D" w:rsidRDefault="00EC2A0D">
      <w:pPr>
        <w:rPr>
          <w:rStyle w:val="Fontdeparagrafimplicit"/>
          <w:b/>
          <w:i/>
          <w:u w:val="single"/>
        </w:rPr>
      </w:pPr>
    </w:p>
    <w:p w:rsidR="00EC2A0D" w:rsidRDefault="00EC2A0D">
      <w:pPr>
        <w:ind w:firstLine="600"/>
        <w:jc w:val="center"/>
        <w:rPr>
          <w:rStyle w:val="Fontdeparagrafimplicit"/>
          <w:b/>
          <w:i/>
          <w:u w:val="single"/>
        </w:rPr>
      </w:pPr>
    </w:p>
    <w:p w:rsidR="00EC2A0D" w:rsidRDefault="0056286E">
      <w:pPr>
        <w:ind w:firstLine="600"/>
        <w:jc w:val="center"/>
        <w:rPr>
          <w:rStyle w:val="Fontdeparagrafimplicit"/>
          <w:b/>
          <w:i/>
          <w:u w:val="single"/>
        </w:rPr>
      </w:pPr>
      <w:r>
        <w:rPr>
          <w:rStyle w:val="Fontdeparagrafimplicit"/>
          <w:b/>
          <w:i/>
          <w:u w:val="single"/>
        </w:rPr>
        <w:t>DECIZIA CIVILĂ NR.</w:t>
      </w:r>
      <w:r w:rsidR="003903FA">
        <w:rPr>
          <w:rStyle w:val="Fontdeparagrafimplicit"/>
          <w:b/>
          <w:i/>
          <w:u w:val="single"/>
        </w:rPr>
        <w:t>...</w:t>
      </w:r>
    </w:p>
    <w:p w:rsidR="00EC2A0D" w:rsidRDefault="0056286E">
      <w:pPr>
        <w:ind w:firstLine="600"/>
        <w:jc w:val="center"/>
        <w:rPr>
          <w:rStyle w:val="Fontdeparagrafimplicit"/>
          <w:b/>
        </w:rPr>
      </w:pPr>
      <w:r>
        <w:rPr>
          <w:rStyle w:val="Fontdeparagrafimplicit"/>
          <w:b/>
        </w:rPr>
        <w:t xml:space="preserve">Şedinţa publică din data de </w:t>
      </w:r>
      <w:r w:rsidR="003903FA">
        <w:rPr>
          <w:rStyle w:val="Fontdeparagrafimplicit"/>
          <w:b/>
        </w:rPr>
        <w:t>...</w:t>
      </w:r>
      <w:r>
        <w:rPr>
          <w:rStyle w:val="Fontdeparagrafimplicit"/>
          <w:b/>
        </w:rPr>
        <w:t>2022</w:t>
      </w:r>
    </w:p>
    <w:p w:rsidR="00EC2A0D" w:rsidRDefault="0056286E">
      <w:pPr>
        <w:ind w:firstLine="600"/>
        <w:jc w:val="center"/>
        <w:rPr>
          <w:rStyle w:val="Fontdeparagrafimplicit"/>
          <w:b/>
        </w:rPr>
      </w:pPr>
      <w:r>
        <w:rPr>
          <w:rStyle w:val="Fontdeparagrafimplicit"/>
          <w:b/>
        </w:rPr>
        <w:t xml:space="preserve">Curtea </w:t>
      </w:r>
      <w:r>
        <w:rPr>
          <w:rStyle w:val="Fontdeparagrafimplicit"/>
          <w:b/>
        </w:rPr>
        <w:t>constituită din:</w:t>
      </w:r>
    </w:p>
    <w:p w:rsidR="00EC2A0D" w:rsidRDefault="0056286E">
      <w:pPr>
        <w:ind w:firstLine="600"/>
        <w:jc w:val="center"/>
        <w:rPr>
          <w:rStyle w:val="Fontdeparagrafimplicit"/>
          <w:b/>
        </w:rPr>
      </w:pPr>
      <w:r>
        <w:rPr>
          <w:rStyle w:val="Fontdeparagrafimplicit"/>
          <w:b/>
        </w:rPr>
        <w:t xml:space="preserve">PREŞEDINTE: </w:t>
      </w:r>
      <w:r w:rsidR="008A58BB">
        <w:rPr>
          <w:rStyle w:val="Fontdeparagrafimplicit"/>
          <w:b/>
        </w:rPr>
        <w:t>A0012</w:t>
      </w:r>
      <w:r>
        <w:rPr>
          <w:rStyle w:val="Fontdeparagrafimplicit"/>
          <w:b/>
        </w:rPr>
        <w:t xml:space="preserve"> </w:t>
      </w:r>
    </w:p>
    <w:p w:rsidR="00EC2A0D" w:rsidRDefault="0056286E">
      <w:pPr>
        <w:ind w:firstLine="600"/>
        <w:jc w:val="center"/>
        <w:rPr>
          <w:rStyle w:val="Fontdeparagrafimplicit"/>
          <w:b/>
        </w:rPr>
      </w:pPr>
      <w:r>
        <w:rPr>
          <w:rStyle w:val="Fontdeparagrafimplicit"/>
          <w:b/>
        </w:rPr>
        <w:t xml:space="preserve">JUDECĂTOR: </w:t>
      </w:r>
      <w:r w:rsidR="008A58BB">
        <w:rPr>
          <w:rStyle w:val="Fontdeparagrafimplicit"/>
          <w:b/>
        </w:rPr>
        <w:t>...</w:t>
      </w:r>
    </w:p>
    <w:p w:rsidR="00EC2A0D" w:rsidRDefault="0056286E">
      <w:pPr>
        <w:ind w:firstLine="600"/>
        <w:jc w:val="center"/>
        <w:rPr>
          <w:rStyle w:val="Fontdeparagrafimplicit"/>
          <w:b/>
        </w:rPr>
      </w:pPr>
      <w:r>
        <w:rPr>
          <w:rStyle w:val="Fontdeparagrafimplicit"/>
          <w:b/>
        </w:rPr>
        <w:t xml:space="preserve">JUDECĂTOR: </w:t>
      </w:r>
      <w:r w:rsidR="008A58BB">
        <w:rPr>
          <w:rStyle w:val="Fontdeparagrafimplicit"/>
          <w:b/>
        </w:rPr>
        <w:t>...</w:t>
      </w:r>
    </w:p>
    <w:p w:rsidR="00EC2A0D" w:rsidRDefault="0056286E">
      <w:pPr>
        <w:ind w:firstLine="600"/>
        <w:jc w:val="center"/>
        <w:rPr>
          <w:rStyle w:val="Fontdeparagrafimplicit"/>
          <w:b/>
        </w:rPr>
      </w:pPr>
      <w:r>
        <w:rPr>
          <w:rStyle w:val="Fontdeparagrafimplicit"/>
          <w:b/>
        </w:rPr>
        <w:t xml:space="preserve">GREFIER: </w:t>
      </w:r>
      <w:r w:rsidR="008A58BB">
        <w:rPr>
          <w:rStyle w:val="Fontdeparagrafimplicit"/>
          <w:b/>
        </w:rPr>
        <w:t>...</w:t>
      </w:r>
    </w:p>
    <w:p w:rsidR="00EC2A0D" w:rsidRDefault="00EC2A0D">
      <w:pPr>
        <w:rPr>
          <w:rStyle w:val="Fontdeparagrafimplicit"/>
        </w:rPr>
      </w:pPr>
    </w:p>
    <w:p w:rsidR="00EC2A0D" w:rsidRDefault="00EC2A0D">
      <w:pPr>
        <w:rPr>
          <w:rStyle w:val="Fontdeparagrafimplicit"/>
        </w:rPr>
      </w:pPr>
    </w:p>
    <w:p w:rsidR="00EC2A0D" w:rsidRDefault="0056286E">
      <w:pPr>
        <w:ind w:right="91" w:firstLine="709"/>
        <w:jc w:val="both"/>
        <w:rPr>
          <w:rStyle w:val="Fontdeparagrafimplicit"/>
          <w:i/>
        </w:rPr>
      </w:pPr>
      <w:r>
        <w:t xml:space="preserve">Pe rol se află spre soluţionare recursul formulat de recurenta - reclamantă </w:t>
      </w:r>
      <w:r w:rsidR="005F3778">
        <w:rPr>
          <w:rStyle w:val="Fontdeparagrafimplicit"/>
          <w:b/>
        </w:rPr>
        <w:t>R1</w:t>
      </w:r>
      <w:r>
        <w:rPr>
          <w:rStyle w:val="Fontdeparagrafimplicit"/>
          <w:b/>
        </w:rPr>
        <w:t xml:space="preserve"> SA,</w:t>
      </w:r>
      <w:r>
        <w:t xml:space="preserve"> împotriva sentinţei civile nr. </w:t>
      </w:r>
      <w:r w:rsidR="005F3778">
        <w:t>...</w:t>
      </w:r>
      <w:r>
        <w:t>/</w:t>
      </w:r>
      <w:r w:rsidR="005F3778">
        <w:t>...2021</w:t>
      </w:r>
      <w:r>
        <w:t xml:space="preserve"> pronunţată de Tribunalul </w:t>
      </w:r>
      <w:r w:rsidR="00FD5B49">
        <w:t>X</w:t>
      </w:r>
      <w:r>
        <w:t xml:space="preserve"> - Secţia </w:t>
      </w:r>
      <w:r>
        <w:t xml:space="preserve">Contencios administrativ şi fiscal, în dosarul nr. </w:t>
      </w:r>
      <w:r w:rsidR="005F3778">
        <w:rPr>
          <w:rStyle w:val="Fontdeparagrafimplicit"/>
          <w:b/>
        </w:rPr>
        <w:t>.../.../2019</w:t>
      </w:r>
      <w:r>
        <w:t xml:space="preserve">, în contradictoriu cu intimata - pârâtă </w:t>
      </w:r>
      <w:r>
        <w:rPr>
          <w:rStyle w:val="Fontdeparagrafimplicit"/>
          <w:b/>
        </w:rPr>
        <w:t xml:space="preserve">ADMINISTRAŢIA BAZINALĂ DE APĂ </w:t>
      </w:r>
      <w:r w:rsidR="005F3778">
        <w:rPr>
          <w:rStyle w:val="Fontdeparagrafimplicit"/>
          <w:b/>
        </w:rPr>
        <w:t>P1</w:t>
      </w:r>
      <w:r>
        <w:rPr>
          <w:rStyle w:val="Fontdeparagrafimplicit"/>
          <w:b/>
        </w:rPr>
        <w:t xml:space="preserve">, </w:t>
      </w:r>
      <w:r>
        <w:t xml:space="preserve">în cauza având ca obiect </w:t>
      </w:r>
      <w:r>
        <w:rPr>
          <w:rStyle w:val="Fontdeparagrafimplicit"/>
          <w:i/>
        </w:rPr>
        <w:t>acţiune în const</w:t>
      </w:r>
      <w:r>
        <w:rPr>
          <w:rStyle w:val="Fontdeparagrafimplicit"/>
          <w:i/>
        </w:rPr>
        <w:t>atare.</w:t>
      </w:r>
    </w:p>
    <w:p w:rsidR="00EC2A0D" w:rsidRDefault="0056286E">
      <w:pPr>
        <w:ind w:firstLine="708"/>
        <w:jc w:val="both"/>
      </w:pPr>
      <w:r>
        <w:t>La apelul nominal făcut în şedinţă publică, în intervalul corespunzător, au lipsit părţile.</w:t>
      </w:r>
    </w:p>
    <w:p w:rsidR="00EC2A0D" w:rsidRDefault="0056286E">
      <w:pPr>
        <w:ind w:firstLine="708"/>
        <w:jc w:val="both"/>
      </w:pPr>
      <w:r>
        <w:t>Faţă de lipsa părţilor la apelul nominal, date fiind dispoziţiile art.121 din Regulamentul de ordine interioară al instanţelor de judecată aprobat prin Hotăr</w:t>
      </w:r>
      <w:r>
        <w:t xml:space="preserve">ârea CSM nr.1375/2015, Curtea dispune reluarea cauzei la a doua strigare. </w:t>
      </w:r>
    </w:p>
    <w:p w:rsidR="00EC2A0D" w:rsidRDefault="0056286E">
      <w:pPr>
        <w:ind w:firstLine="708"/>
        <w:jc w:val="both"/>
      </w:pPr>
      <w:r>
        <w:t>La a doua strigare a cauzei în şedinţă publică, nu răspund părţile.</w:t>
      </w:r>
    </w:p>
    <w:p w:rsidR="00EC2A0D" w:rsidRDefault="0056286E">
      <w:pPr>
        <w:ind w:firstLine="708"/>
        <w:jc w:val="both"/>
      </w:pPr>
      <w:r>
        <w:t>Procedura de citare este legal îndeplinită.</w:t>
      </w:r>
    </w:p>
    <w:p w:rsidR="00EC2A0D" w:rsidRDefault="0056286E">
      <w:pPr>
        <w:ind w:firstLine="708"/>
        <w:jc w:val="both"/>
      </w:pPr>
      <w:r>
        <w:t>S-a făcut referatul cauzei de către grefierul de şedinţă, care învede</w:t>
      </w:r>
      <w:r>
        <w:t>rează instanţei: prezentul dosar se află la primul termen de judecată; recurenta-reclamantă a formulat răspuns la întâmpinare; intimata-pârâtă a depus concluzii scrise, după care,</w:t>
      </w:r>
    </w:p>
    <w:p w:rsidR="00EC2A0D" w:rsidRDefault="0056286E">
      <w:pPr>
        <w:ind w:firstLine="708"/>
        <w:jc w:val="both"/>
      </w:pPr>
      <w:r>
        <w:t>Prealabil, Curtea dispune rectificarea citativului, în sensul că în loc de r</w:t>
      </w:r>
      <w:r>
        <w:t xml:space="preserve">ecurenta-reclamantă </w:t>
      </w:r>
      <w:r w:rsidR="000D4766">
        <w:t>R</w:t>
      </w:r>
      <w:r>
        <w:t xml:space="preserve"> SA, cum în mod greşit s-a menţionat, se va menţiona recurenta-reclamantă </w:t>
      </w:r>
      <w:r w:rsidR="005F3778">
        <w:t>R1</w:t>
      </w:r>
      <w:r>
        <w:t xml:space="preserve"> SA.</w:t>
      </w:r>
    </w:p>
    <w:p w:rsidR="00EC2A0D" w:rsidRDefault="0056286E">
      <w:pPr>
        <w:ind w:firstLine="708"/>
        <w:jc w:val="both"/>
      </w:pPr>
      <w:r>
        <w:t xml:space="preserve">Curtea observă că prin notele scrise formulate de intimata-pârâtă se susţine excepţia inadmisibilităţii acţiunii pentru lipsa procedurii </w:t>
      </w:r>
      <w:r>
        <w:t>prealabile.</w:t>
      </w:r>
    </w:p>
    <w:p w:rsidR="00EC2A0D" w:rsidRDefault="0056286E">
      <w:pPr>
        <w:ind w:firstLine="708"/>
        <w:jc w:val="both"/>
      </w:pPr>
      <w:r>
        <w:t>Observând că se solicită judecarea cauzei în lipsă, Curtea rămâne în pronunţare.</w:t>
      </w:r>
    </w:p>
    <w:p w:rsidR="00EC2A0D" w:rsidRDefault="00EC2A0D">
      <w:pPr>
        <w:jc w:val="both"/>
      </w:pPr>
    </w:p>
    <w:p w:rsidR="00EC2A0D" w:rsidRDefault="0056286E">
      <w:pPr>
        <w:ind w:firstLine="540"/>
        <w:jc w:val="center"/>
        <w:rPr>
          <w:rStyle w:val="Fontdeparagrafimplicit"/>
          <w:b/>
        </w:rPr>
      </w:pPr>
      <w:r>
        <w:rPr>
          <w:rStyle w:val="Fontdeparagrafimplicit"/>
          <w:b/>
        </w:rPr>
        <w:t>CURTEA,</w:t>
      </w:r>
    </w:p>
    <w:p w:rsidR="00EC2A0D" w:rsidRDefault="00EC2A0D">
      <w:pPr>
        <w:ind w:firstLine="540"/>
        <w:jc w:val="center"/>
        <w:rPr>
          <w:rStyle w:val="Fontdeparagrafimplicit"/>
          <w:b/>
        </w:rPr>
      </w:pPr>
    </w:p>
    <w:p w:rsidR="00EC2A0D" w:rsidRDefault="0056286E">
      <w:pPr>
        <w:ind w:left="143" w:right="-468" w:firstLine="565"/>
        <w:jc w:val="both"/>
        <w:rPr>
          <w:rStyle w:val="Fontdeparagrafimplicit"/>
          <w:b/>
        </w:rPr>
      </w:pPr>
      <w:r>
        <w:rPr>
          <w:rStyle w:val="Fontdeparagrafimplicit"/>
          <w:i/>
        </w:rPr>
        <w:t>Deliberând asupra recursului de faţă, constată următoarele:</w:t>
      </w:r>
    </w:p>
    <w:p w:rsidR="00EC2A0D" w:rsidRDefault="0056286E">
      <w:pPr>
        <w:jc w:val="both"/>
      </w:pPr>
      <w:r>
        <w:tab/>
        <w:t xml:space="preserve">Prin </w:t>
      </w:r>
      <w:r>
        <w:rPr>
          <w:rStyle w:val="Fontdeparagrafimplicit"/>
          <w:b/>
          <w:i/>
        </w:rPr>
        <w:t>sentinţa civilă nr.</w:t>
      </w:r>
      <w:r>
        <w:t xml:space="preserve"> </w:t>
      </w:r>
      <w:r w:rsidR="005F3778">
        <w:rPr>
          <w:rStyle w:val="Fontdeparagrafimplicit"/>
          <w:b/>
          <w:i/>
        </w:rPr>
        <w:t>...</w:t>
      </w:r>
      <w:r>
        <w:rPr>
          <w:rStyle w:val="Fontdeparagrafimplicit"/>
          <w:b/>
          <w:i/>
        </w:rPr>
        <w:t>/</w:t>
      </w:r>
      <w:r w:rsidR="005F3778">
        <w:rPr>
          <w:rStyle w:val="Fontdeparagrafimplicit"/>
          <w:b/>
          <w:i/>
        </w:rPr>
        <w:t>...2021</w:t>
      </w:r>
      <w:r>
        <w:rPr>
          <w:rStyle w:val="Fontdeparagrafimplicit"/>
          <w:b/>
          <w:i/>
        </w:rPr>
        <w:t xml:space="preserve">, </w:t>
      </w:r>
      <w:r>
        <w:t xml:space="preserve">pronunţată în dosarul nr. </w:t>
      </w:r>
      <w:r w:rsidR="005F3778">
        <w:t>.../.../2019</w:t>
      </w:r>
      <w:r>
        <w:t>, Tribunal</w:t>
      </w:r>
      <w:r>
        <w:t xml:space="preserve">ul </w:t>
      </w:r>
      <w:r w:rsidR="00FD5B49">
        <w:t>X</w:t>
      </w:r>
      <w:r>
        <w:t xml:space="preserve"> – Secţia </w:t>
      </w:r>
      <w:r>
        <w:t xml:space="preserve">contencios administrativ şi fiscal a respins acţiunea formulată de reclamanta </w:t>
      </w:r>
      <w:r w:rsidR="005F3778">
        <w:t>R1</w:t>
      </w:r>
      <w:r>
        <w:t xml:space="preserve"> SA în contradictoriu cu pârâta Administraţia Bazinală de Apă </w:t>
      </w:r>
      <w:r w:rsidR="005F3778">
        <w:t>P1</w:t>
      </w:r>
      <w:r>
        <w:t>.</w:t>
      </w:r>
    </w:p>
    <w:p w:rsidR="00EC2A0D" w:rsidRDefault="0056286E">
      <w:pPr>
        <w:ind w:firstLine="709"/>
        <w:jc w:val="both"/>
      </w:pPr>
      <w:r>
        <w:t xml:space="preserve">Împotriva acestei sentinţe a formulat </w:t>
      </w:r>
      <w:r>
        <w:rPr>
          <w:rStyle w:val="Fontdeparagrafimplicit"/>
          <w:b/>
          <w:i/>
        </w:rPr>
        <w:t>recurs</w:t>
      </w:r>
      <w:r>
        <w:t xml:space="preserve"> reclamanta </w:t>
      </w:r>
      <w:r w:rsidR="005F3778">
        <w:t>R1</w:t>
      </w:r>
      <w:r>
        <w:t xml:space="preserve"> SA,</w:t>
      </w:r>
      <w:r>
        <w:rPr>
          <w:rStyle w:val="Fontdeparagrafimplicit"/>
          <w:b/>
          <w:i/>
        </w:rPr>
        <w:t xml:space="preserve"> </w:t>
      </w:r>
      <w:r>
        <w:t xml:space="preserve">în temeiul art. 488 pct. 6, 8 C.pr.civ., solicitând: admiterea recursului, casarea sentinței civile nr. </w:t>
      </w:r>
      <w:r w:rsidR="005F3778">
        <w:t>...</w:t>
      </w:r>
      <w:r>
        <w:t>/2021 ca fiind nelegală şi nefondată; ca urmare a rejudecării cauzei, să se constate ca activitățile din sectorul minier cu activitate sistată</w:t>
      </w:r>
      <w:r>
        <w:t xml:space="preserve"> şi care nu mai desfășoară activități industriale, nu se regăsesc în </w:t>
      </w:r>
      <w:r>
        <w:lastRenderedPageBreak/>
        <w:t>categoria lucrărilor care se construiesc pe ape sau care au legătură cu apele, așa cum sunt definite de Legea apelor nr. 107/1996, fapt pentru care, dispoziţiile HG nr. 188/2002, actualiz</w:t>
      </w:r>
      <w:r>
        <w:t xml:space="preserve">ată, nu sunt aplicabile apelor tratate în stațiile de epurare din patrimoniul Ministerului Economiei şi administrate prin intermediul societății </w:t>
      </w:r>
      <w:r w:rsidR="005F3778">
        <w:t>R1</w:t>
      </w:r>
      <w:r>
        <w:t xml:space="preserve"> SA; cu plata cheltuielilor de judecată.</w:t>
      </w:r>
    </w:p>
    <w:p w:rsidR="00EC2A0D" w:rsidRDefault="0056286E">
      <w:pPr>
        <w:ind w:firstLine="709"/>
        <w:jc w:val="both"/>
      </w:pPr>
      <w:r>
        <w:t>Recurenta a arătat că motivele pentru care a promovat recurs</w:t>
      </w:r>
      <w:r>
        <w:t xml:space="preserve"> sunt următoarele:</w:t>
      </w:r>
    </w:p>
    <w:p w:rsidR="00EC2A0D" w:rsidRDefault="0056286E">
      <w:pPr>
        <w:ind w:firstLine="709"/>
        <w:jc w:val="both"/>
      </w:pPr>
      <w:r>
        <w:t>1. Hotărârea nu cuprinde motivele pe care se întemeiază (art. 488 pct. 6 C.pr.civ.)</w:t>
      </w:r>
    </w:p>
    <w:p w:rsidR="00EC2A0D" w:rsidRDefault="0056286E">
      <w:pPr>
        <w:ind w:firstLine="709"/>
        <w:jc w:val="both"/>
      </w:pPr>
      <w:r>
        <w:t>2. Hotărârea cuprinde motive contradictorii (art. 488 pct. 6 C.pr.civ.);</w:t>
      </w:r>
    </w:p>
    <w:p w:rsidR="00EC2A0D" w:rsidRDefault="0056286E">
      <w:pPr>
        <w:ind w:firstLine="709"/>
        <w:jc w:val="both"/>
      </w:pPr>
      <w:r>
        <w:t xml:space="preserve">3. Hotărârea cuprinde aspect străine de natura cauzei ( art. 488 pct. 6 </w:t>
      </w:r>
      <w:r>
        <w:t>C.pr.civ.)</w:t>
      </w:r>
    </w:p>
    <w:p w:rsidR="00EC2A0D" w:rsidRDefault="0056286E">
      <w:pPr>
        <w:ind w:firstLine="709"/>
        <w:jc w:val="both"/>
      </w:pPr>
      <w:r>
        <w:t xml:space="preserve">4. Hotărârea a fost dată cu aplicarea greşită a normelor de drept material (art. 488 pct. 8 C.pr.civ.) </w:t>
      </w:r>
    </w:p>
    <w:p w:rsidR="00EC2A0D" w:rsidRDefault="0056286E">
      <w:pPr>
        <w:ind w:firstLine="709"/>
        <w:jc w:val="both"/>
      </w:pPr>
      <w:r>
        <w:t>Obligaţia instanţei de a-şi motiva hotărârea adoptată, con</w:t>
      </w:r>
      <w:bookmarkStart w:name="_GoBack" w:id="0"/>
      <w:bookmarkEnd w:id="0"/>
      <w:r>
        <w:t xml:space="preserve">sacrată legislativ în dispoziţiile art. 425 C.pr.civ. are în vedere: stabilirea în </w:t>
      </w:r>
      <w:r>
        <w:t>considerentele hotărârii a situaţiei de fapt expusă în detaliu, încadrarea în drept, examinarea argumentelor părţilor şi punctul de vedere al instanţei faţă de fiecare argument relevant, şi, nu în ultimul rând, raţionamentul logico-juridic care a fundament</w:t>
      </w:r>
      <w:r>
        <w:t>at soluţia adoptată.</w:t>
      </w:r>
    </w:p>
    <w:p w:rsidR="00EC2A0D" w:rsidRDefault="0056286E">
      <w:pPr>
        <w:ind w:firstLine="709"/>
        <w:jc w:val="both"/>
      </w:pPr>
      <w:r>
        <w:t>Aceste cerinţe legale sunt impuse de însăşi esenţa înfăptuirii justiţiei, iar forţa de convingere a unei hotărâri judecătoreşti rezidă din raţionamentul logico-juridic clar explicitat de instanța de judecată şi întemeiat pe considerent</w:t>
      </w:r>
      <w:r>
        <w:t>e de drept.</w:t>
      </w:r>
    </w:p>
    <w:p w:rsidR="00EC2A0D" w:rsidRDefault="0056286E">
      <w:pPr>
        <w:ind w:firstLine="709"/>
        <w:jc w:val="both"/>
      </w:pPr>
      <w:r>
        <w:t>În practica judiciară s-a statuat că judecătorii sunt datori să arate în cuprinsul hotărârii motivele de fapt şi de drept în temeiul cărora şi-au format convingerea, cum şi cele pentru care s-au înlăturat cererile părţilor.</w:t>
      </w:r>
    </w:p>
    <w:p w:rsidR="00EC2A0D" w:rsidRDefault="0056286E">
      <w:pPr>
        <w:ind w:firstLine="709"/>
        <w:jc w:val="both"/>
      </w:pPr>
      <w:r>
        <w:t>Fără arătarea motive</w:t>
      </w:r>
      <w:r>
        <w:t>lor şi a probelor nu se poate exercita controlul judiciar şi echivalează cu o nemotivare, ceea ce apreciază că se regăseşte în speţă, criticând astfel hotărârea instanței de fond sub acest aspect.</w:t>
      </w:r>
    </w:p>
    <w:p w:rsidR="00EC2A0D" w:rsidRDefault="0056286E">
      <w:pPr>
        <w:ind w:firstLine="709"/>
        <w:jc w:val="both"/>
      </w:pPr>
      <w:r>
        <w:t>Motivarea hotărârii este necesară pentru ca părţile să cuno</w:t>
      </w:r>
      <w:r>
        <w:t>ască motivele ce au fost avute în vedere de către instanţă în pronunţarea soluţiei, iar instanţa ierarhic superioară să aibă în vedere, în aprecierea legalităţii şi temeiniciei hotărârii, şi considerentele pentru care s-a pronunţat soluţia respectivă.</w:t>
      </w:r>
    </w:p>
    <w:p w:rsidR="00EC2A0D" w:rsidRDefault="0056286E">
      <w:pPr>
        <w:ind w:firstLine="709"/>
        <w:jc w:val="both"/>
      </w:pPr>
      <w:r>
        <w:t>Moti</w:t>
      </w:r>
      <w:r>
        <w:t>varea hotărârii trebuie să fie clară, precisă şi inteligibilă, să nu se rezume la o însuşire de fapte şi argumente, să se refere la probele administrate în cauză şi să fie în concordanţă cu acestea, să răspundă în fapt şi în drept la toate pretenţiile şi a</w:t>
      </w:r>
      <w:r>
        <w:t>părările formulate de părţi şi să conducă în mod logic şi convingător la soluţia cuprinsă în dispozitiv.</w:t>
      </w:r>
    </w:p>
    <w:p w:rsidR="00EC2A0D" w:rsidRDefault="0056286E">
      <w:pPr>
        <w:ind w:firstLine="709"/>
        <w:jc w:val="both"/>
      </w:pPr>
      <w:r>
        <w:t>În practica judiciară, s-a decis că motivarea sumară şi confuză a unei hotărâri judecătoreşti echivalează cu nemotivarea hotărârii. Nemotivarea hotărâr</w:t>
      </w:r>
      <w:r>
        <w:t>ii este un viciu de formă care atrage nulitatea hotărârii.</w:t>
      </w:r>
    </w:p>
    <w:p w:rsidR="00EC2A0D" w:rsidRDefault="0056286E">
      <w:pPr>
        <w:ind w:firstLine="709"/>
        <w:jc w:val="both"/>
      </w:pPr>
      <w:r>
        <w:t>Faţă de aceste prevederi legale imperative, a învederat instanței de casare faptul ca, volumul de acte si probatoriul solicitat a fi administrat în cauză de către reclamantă nu a fost analizat de c</w:t>
      </w:r>
      <w:r>
        <w:t>ătre instanța de fond şi nici nu este motivată înlăturarea sau neluarea în considerare a acestuia.</w:t>
      </w:r>
    </w:p>
    <w:p w:rsidR="00EC2A0D" w:rsidRDefault="0056286E">
      <w:pPr>
        <w:ind w:firstLine="709"/>
        <w:jc w:val="both"/>
      </w:pPr>
      <w:r>
        <w:t>Una din sarcinile prioritare ale Guvernului României asumată prin Tratatul de aderare la Uniunea Europeană este, pe lângă accelerarea procesului de restructu</w:t>
      </w:r>
      <w:r>
        <w:t>rare şi eliminarea subvenţiilor din sectorul minier - prin menţinerea în activitate numai a unităţilor având un potenţial ridicat de rezerve geologice şi condiţii favorabile obţinerii unor produse miniere în condiţii de eficienţă - asumarea responsabilităţ</w:t>
      </w:r>
      <w:r>
        <w:t>ii privind refacerea mediului înconjurător afectat în timp de impactul activităţilor extractive, prin elaborarea şi finanţarea de programe anuale fundamentate pentru derularea eficientă a Procesului de reconstrucţie ecologică a siturilor afectate de activi</w:t>
      </w:r>
      <w:r>
        <w:t>tăţile miniere.</w:t>
      </w:r>
    </w:p>
    <w:p w:rsidR="00EC2A0D" w:rsidRDefault="0056286E">
      <w:pPr>
        <w:ind w:firstLine="709"/>
        <w:jc w:val="both"/>
      </w:pPr>
      <w:r>
        <w:t>Astfel, începând cu anul 1998, în conformitate cu Legea minelor nr.61/1998 şi nr. 85/2003, s-a trecut la conservarea şi închiderea minelor şi carierelor nerentabile, iar până la această dată, prin 11 hotărâri succesive de Guvern, s-a aproba</w:t>
      </w:r>
      <w:r>
        <w:t xml:space="preserve">t închiderea definitivă şi </w:t>
      </w:r>
      <w:r>
        <w:lastRenderedPageBreak/>
        <w:t>reconstrucţia ecologică a zonelor afectate pentru 556 mine/cariere şi alocarea fondurilor necesare pentru conservarea, închiderea şi ecologizarea suprafeţelor afectate, pentru aceste obiective.</w:t>
      </w:r>
    </w:p>
    <w:p w:rsidR="00EC2A0D" w:rsidRDefault="0056286E">
      <w:pPr>
        <w:ind w:firstLine="709"/>
        <w:jc w:val="both"/>
      </w:pPr>
      <w:r>
        <w:t>Luând în consideraţie asumarea de c</w:t>
      </w:r>
      <w:r>
        <w:t>ătre statul Român a responsabilităţii pentru obligaţiile istorice privind refacerea mediului înconjurător afectat de impactul activităţilor extractive cât şi continuarea proceselor de afectare a acestuia, amploarea şi importanţa abordării acestui gen de lu</w:t>
      </w:r>
      <w:r>
        <w:t>crări, procesul de reconstrucţie ecologică a zonelor afectate este una din cele mai complexe activităţi legate de exploatarea şi valorificarea rezervelor de resurse minerale care se derulează la nivelul entităţilor specializate din cadrul Ministerului Econ</w:t>
      </w:r>
      <w:r>
        <w:t>omiei, Comerţului şi Relaţiilor cu Mediul de Afaceri.</w:t>
      </w:r>
    </w:p>
    <w:p w:rsidR="00EC2A0D" w:rsidRDefault="0056286E">
      <w:pPr>
        <w:ind w:firstLine="709"/>
        <w:jc w:val="both"/>
      </w:pPr>
      <w:r>
        <w:t xml:space="preserve">Până la această dată, în urma derulării programului naţional de reconstrucţie ecologică a siturilor afectate de obiectivele miniere neviabile, au fost construite 8 staţii de epurare a apelor de mină </w:t>
      </w:r>
      <w:r>
        <w:t xml:space="preserve">aflate în patrimoniul Ministerului Economiei, administrate de societatea </w:t>
      </w:r>
      <w:r w:rsidR="005F3778">
        <w:t>R1</w:t>
      </w:r>
      <w:r>
        <w:t xml:space="preserve"> S.A. în virtutea administrării şi gestionarii „Programului ...</w:t>
      </w:r>
      <w:r>
        <w:t>”.</w:t>
      </w:r>
    </w:p>
    <w:p w:rsidR="00EC2A0D" w:rsidRDefault="0056286E">
      <w:pPr>
        <w:ind w:firstLine="709"/>
        <w:jc w:val="both"/>
      </w:pPr>
      <w:r>
        <w:t>Aceste stații au</w:t>
      </w:r>
      <w:r>
        <w:t xml:space="preserve"> fost puse în funcţiune anterior emiterii normativului privind stabilirea limitelor de încărcare cu poluanţi a apelor uzate industriale şi orăşeneşti la evacuarea în receptorii naturali, NTPA-001/2002, din 28.02.2002, aprobat prin HG nr. 188/2002, cu modif</w:t>
      </w:r>
      <w:r>
        <w:t>icările şi completările ulterioare.</w:t>
      </w:r>
    </w:p>
    <w:p w:rsidR="00EC2A0D" w:rsidRDefault="0056286E">
      <w:pPr>
        <w:ind w:firstLine="709"/>
        <w:jc w:val="both"/>
      </w:pPr>
      <w:r>
        <w:t xml:space="preserve">Astfel, iar în urma epurării apelor de mină concentraţiile în ioni de metale grele (fier, mangan, plumb, cadmiu, magneziu, crom, nichel, etc.) măsurate în apele evacuate în emisari se încadrează de regulă în prevederile </w:t>
      </w:r>
      <w:r>
        <w:t>normativului, în schimb, datorită limitelor tehnologiei actuale, la indicatorii: reziduu fix, suspensii, sulfaţi, calciu - se înregistrează depăşiri constante la toate staţiile de epurare, în comparaţie cu NTPA-001/2005 solicitat.</w:t>
      </w:r>
    </w:p>
    <w:p w:rsidR="00EC2A0D" w:rsidRDefault="0056286E">
      <w:pPr>
        <w:ind w:firstLine="709"/>
        <w:jc w:val="both"/>
      </w:pPr>
      <w:r>
        <w:t>Această situaţie a fost c</w:t>
      </w:r>
      <w:r>
        <w:t>reată de faptul că în cadrul negocierilor pentru Cap. 22 - Mediu din cadrul Tratatului de Aderare, România şi-a asumat niveluri limită pentru poluanţi la deversarea în emisari, fără a ţine cont de posibilităţile tehnologice actuale de tratare/epurare a ape</w:t>
      </w:r>
      <w:r>
        <w:t xml:space="preserve">lor contaminate, resursele financiare ale bugetului de stat şi, nu în ultimul rând, de valorile fondului natural în poluanţi al emisarilor din perimetrele supuse procesului naţional de reconstrucţie ecologică a siturilor afectate de exploatările miniere. </w:t>
      </w:r>
    </w:p>
    <w:p w:rsidR="00EC2A0D" w:rsidRDefault="0056286E">
      <w:pPr>
        <w:ind w:firstLine="709"/>
        <w:jc w:val="both"/>
      </w:pPr>
      <w:r>
        <w:t>În vederea fundamentării unor soluţii privind aspectele susmenţionate, Ministerul Economiei cu sprijinul instituţional al Ministerului Mediului şi Pădurilor - Administraţia Naţională „Apele Române”, a aprobat includerea celor 8 staţii de epurare, din patri</w:t>
      </w:r>
      <w:r>
        <w:t>moniul Ministerului Economiei, într-un program unic de etapizare şi acordarea de derogări anuale de la limitele stabilite prin NTPA 001/2005 pentru parametri susmenţionaţi, până la data de 31.12.2014, cu condiţia finalizării etapelor negociate prin program</w:t>
      </w:r>
      <w:r>
        <w:t>ul unic, în vederea implementării tehnologiilor optime pentru încadrarea indicatorilor în prevederile normate.</w:t>
      </w:r>
    </w:p>
    <w:p w:rsidR="00EC2A0D" w:rsidRDefault="0056286E">
      <w:pPr>
        <w:ind w:firstLine="709"/>
        <w:jc w:val="both"/>
      </w:pPr>
      <w:r>
        <w:t>În pofida lipsei unei reglementari clare în ceea ce priveşte apele provenite din sectorul minier, a fost semnat un Program de etapizare între Min</w:t>
      </w:r>
      <w:r>
        <w:t>isterul Economiei şi Administraţia Naţională Apele Romane. Acesta a fost convenit iniţial pentru perioada 2010-2014, așa cum rezultă din art. 1 al HG nr. 997/2010, însă, insuficient fondurilor alocate de la bugetul de stat şi situația juridică neclară a te</w:t>
      </w:r>
      <w:r>
        <w:t>renurilor pe care se afla stațiile de epurare, au condus la prelungirea de comun acord între cele două părţi a termenului, pentru perioada 2014 - 2017. Nici acest interval de timp nu a fost însă suficient pentru implementarea integrala a Programului de eta</w:t>
      </w:r>
      <w:r>
        <w:t>pizare, întrucât Ministerul Economiei, a cărui sarcina era să obţină fonduri pentru retehnologizarea stațiilor de la bugetul de stat şi să clarifice situația juridica a terenurilor pe care se afla stațiile de epurare, nu a reuşit rezolvarea acestor aspecte</w:t>
      </w:r>
      <w:r>
        <w:t xml:space="preserve">. În anul 2018, după ce Programul Unic de Etapizare a expirat, </w:t>
      </w:r>
      <w:r w:rsidR="005F3778">
        <w:t>R1</w:t>
      </w:r>
      <w:r>
        <w:t xml:space="preserve"> SA a atenționat Ministerul Economiei prin mai multe adrese, iar Ministerul Economiei a organizat mai multe întâlniri cu reprezentanţi ai Ministerului Apelor şi Pădurilor, Administraţ</w:t>
      </w:r>
      <w:r>
        <w:t xml:space="preserve">iei Naţionale Apele Române, Comisiei Naţionale pentru Siguranţa Barajelor şi altor Lucrări Hidrotehnice, însă problema nu a fost rezolvata, fapt ce a </w:t>
      </w:r>
      <w:r>
        <w:lastRenderedPageBreak/>
        <w:t>generat aplicarea de penalități si sancţiuni contravenţionale atât operatorilor de staţiilor cat si societ</w:t>
      </w:r>
      <w:r>
        <w:t xml:space="preserve">ății </w:t>
      </w:r>
      <w:r w:rsidR="005F3778">
        <w:t>R1</w:t>
      </w:r>
      <w:r>
        <w:t xml:space="preserve"> SA, în calitate de administrator al „Programului </w:t>
      </w:r>
      <w:r w:rsidR="00301D70">
        <w:t>...</w:t>
      </w:r>
      <w:r>
        <w:t>”. Nici în anul 2019, Ministerul Economiei nu a alocat fonduri pentru modernizarea staţiilor» ca l</w:t>
      </w:r>
      <w:r>
        <w:t>a eliberarea apelor de mina in emisar, acestea să se poată încadra în NTPA 001/2005, fapt ce generează probleme similare.</w:t>
      </w:r>
    </w:p>
    <w:p w:rsidR="00EC2A0D" w:rsidRDefault="0056286E">
      <w:pPr>
        <w:ind w:firstLine="709"/>
        <w:jc w:val="both"/>
      </w:pPr>
      <w:r>
        <w:t>La data prezentei, staţiile funcționează din punct de vedere tehnic ca şi atunci când beneficia de condiţiile de derogare ca in perioa</w:t>
      </w:r>
      <w:r>
        <w:t>da 2010 - 2018.</w:t>
      </w:r>
    </w:p>
    <w:p w:rsidR="00EC2A0D" w:rsidRDefault="005F3778">
      <w:pPr>
        <w:ind w:firstLine="709"/>
        <w:jc w:val="both"/>
      </w:pPr>
      <w:r>
        <w:t>R1</w:t>
      </w:r>
      <w:r w:rsidR="0056286E">
        <w:t xml:space="preserve"> SA este obligată să administreze funcţionarea staţiilor în condiţiile date de Ministerul Economiei, întrucât, din punct de vedere tehnic funcţionarea staţiilor de epurare se face în regim de „foc continuu”, şi nu pot fi oprite.</w:t>
      </w:r>
    </w:p>
    <w:p w:rsidR="00EC2A0D" w:rsidRDefault="0056286E">
      <w:pPr>
        <w:ind w:firstLine="709"/>
        <w:jc w:val="both"/>
      </w:pPr>
      <w:r>
        <w:t>O</w:t>
      </w:r>
      <w:r>
        <w:t xml:space="preserve">prirea funcţionarii staţiilor ar produce grave efecte de mediu, cu poluare cu ioni de metale grele şi efecte transfrontaliere, şi nu funcţionarea acestora în condiţiile de derogare din perioada 2010-2018 care nu conduc la niciun prejudiciu de mediu. </w:t>
      </w:r>
    </w:p>
    <w:p w:rsidR="00EC2A0D" w:rsidRDefault="0056286E">
      <w:pPr>
        <w:ind w:firstLine="709"/>
        <w:jc w:val="both"/>
      </w:pPr>
      <w:r>
        <w:t>Stați</w:t>
      </w:r>
      <w:r>
        <w:t>ile de epurare au intrat în patrimoniul Ministerului Economiei in virtutea art. 37 alin. 2 din Legea minelor nr. 85/2003, cu modificările şi completările ulterioare, respectiv, fără nicio indemnizaţie şi libere de orice sarcini, indiferent de natura acesto</w:t>
      </w:r>
      <w:r>
        <w:t>ra.”</w:t>
      </w:r>
    </w:p>
    <w:p w:rsidR="00EC2A0D" w:rsidRDefault="0056286E">
      <w:pPr>
        <w:ind w:firstLine="709"/>
        <w:jc w:val="both"/>
      </w:pPr>
      <w:r>
        <w:t>Activitatea de epurare a apelor de mina/zăcământ nu se regăsește în categoria lucrărilor care se construiesc pe ape sau care au legătură cu apele, așa cum sunt definite de legea apelor nr. 107/1996. În acest context, dispoziţiile HG nr. 188/2002, actu</w:t>
      </w:r>
      <w:r>
        <w:t>alizată, nu sunt aplicabile apelor tratate în stațiile de epurare ale Ministerului Economiei.</w:t>
      </w:r>
    </w:p>
    <w:p w:rsidR="00EC2A0D" w:rsidRDefault="0056286E">
      <w:pPr>
        <w:ind w:firstLine="709"/>
        <w:jc w:val="both"/>
      </w:pPr>
      <w:r>
        <w:t>Motivele de drept care stau la baza acestor afirmaţii sunt date chiar de HG nr. 188/2002, actualizată, art. 1 alin. (1) din Anexa 1 - Norme Tehnice privind colect</w:t>
      </w:r>
      <w:r>
        <w:t>area, epurarea şi evacuarea apelor uzate urbane, NTPA-001, care dispune că: „Prezentele norme tehnice se referă la colectarea, epurarea şi evacuarea apelor uzate urbane şi la epurarea şi evacuarea apelor uzate provenite din sectoarele industriale prevăzute</w:t>
      </w:r>
      <w:r>
        <w:t xml:space="preserve"> în tabelul nr. 4.</w:t>
      </w:r>
    </w:p>
    <w:p w:rsidR="00EC2A0D" w:rsidRDefault="0056286E">
      <w:pPr>
        <w:ind w:firstLine="709"/>
        <w:jc w:val="both"/>
      </w:pPr>
      <w:r>
        <w:t>În tabelul nr. 4, sectorul minier nu este reglementat.</w:t>
      </w:r>
    </w:p>
    <w:p w:rsidR="00EC2A0D" w:rsidRDefault="0056286E">
      <w:pPr>
        <w:ind w:firstLine="709"/>
        <w:jc w:val="both"/>
      </w:pPr>
      <w:r>
        <w:t>Astfel, potrivit cadrului legal existent la data prezentei, ape uzate industriale, sunt definite ca fiind – „orice fel de ape uzate ce se evacuează din incintele în care se desfăşoar</w:t>
      </w:r>
      <w:r>
        <w:t>ă activităţi industriale si/sau comerciale, altele decât apele uzate menajere şi apele meteorice.”</w:t>
      </w:r>
    </w:p>
    <w:p w:rsidR="00EC2A0D" w:rsidRDefault="0056286E">
      <w:pPr>
        <w:ind w:firstLine="709"/>
        <w:jc w:val="both"/>
      </w:pPr>
      <w:r>
        <w:t>Totodată, anexa 1 pct. 13 din Legea apelor nr. 107/1996, defineşte apele uzate ca fiind: ape provenind din activităţi casnice, sociale sau economice, conţinâ</w:t>
      </w:r>
      <w:r>
        <w:t>nd substanţe poluante sau reziduuri care îi alterează caracteristicile fizice, chimice şi bacteriologice iniţiale, precum şi ape de ploaie ce curg pe terenuri poluate, care nu sunt supuse proceselor de epurare, potrivit legii. Un argument al acestei lacune</w:t>
      </w:r>
      <w:r>
        <w:t xml:space="preserve"> legislative este acela că la data promovării Legii apelor, respectiv anul 1996, încă nu începuse acţiunea de închidere şi ecologizare a minelor nerentabile economic, prima Hotărâre de Guvern în acest sens fiind promovată în anul 1998 sub nr. 816 şi prima </w:t>
      </w:r>
      <w:r>
        <w:t>Lege a minelor fiind promovată în acelaşi an sub nr. 61.</w:t>
      </w:r>
    </w:p>
    <w:p w:rsidR="00EC2A0D" w:rsidRDefault="0056286E">
      <w:pPr>
        <w:ind w:firstLine="709"/>
        <w:jc w:val="both"/>
      </w:pPr>
      <w:r>
        <w:t xml:space="preserve">Potrivit cadrului legal existent, activitatea de epurare a apelor de mina/zăcământ nu se regăseşte in categoria lucrărilor care se construiesc pe ape sau care au legătură cu apele, iar asimilarea cu </w:t>
      </w:r>
      <w:r>
        <w:t>apele uzate, rezultate din activități economice excedează cadrului legal şi prejudiciază grav entitățile implicate.</w:t>
      </w:r>
    </w:p>
    <w:p w:rsidR="00EC2A0D" w:rsidRDefault="0056286E">
      <w:pPr>
        <w:ind w:firstLine="709"/>
        <w:jc w:val="both"/>
      </w:pPr>
      <w:r>
        <w:t xml:space="preserve">Astfel, impunerea prin Autorizaţiile de gospodărire a apelor a unor condiţii care nu corespund cu situația din teren, se face de către ANAR </w:t>
      </w:r>
      <w:r>
        <w:t>cu încălcarea dispozițiilor art. 55 alin. 1 şi 2) din Legea apelor nr. 107/1996.</w:t>
      </w:r>
    </w:p>
    <w:p w:rsidR="00EC2A0D" w:rsidRDefault="0056286E">
      <w:pPr>
        <w:ind w:firstLine="709"/>
        <w:jc w:val="both"/>
      </w:pPr>
      <w:r>
        <w:t xml:space="preserve"> </w:t>
      </w:r>
      <w:r w:rsidR="005F3778">
        <w:t>R1</w:t>
      </w:r>
      <w:r>
        <w:t xml:space="preserve"> S.A. este o societate cu capital integral de stat, înfiinţată prin H.G. nr. </w:t>
      </w:r>
      <w:r w:rsidR="00301D70">
        <w:t>...</w:t>
      </w:r>
      <w:r>
        <w:t xml:space="preserve">/2002, completată şi modificată de HG nr. </w:t>
      </w:r>
      <w:r w:rsidR="00301D70">
        <w:t>...</w:t>
      </w:r>
      <w:r>
        <w:t xml:space="preserve">/2003 şi H.G. nr. </w:t>
      </w:r>
      <w:r w:rsidR="00301D70">
        <w:t>...</w:t>
      </w:r>
      <w:r>
        <w:t>/2004 şi îşi desf</w:t>
      </w:r>
      <w:r>
        <w:t>ăşoară activitatea sub autoritatea Ministerului Economiei, Antreprenoriatului şi Turismului.</w:t>
      </w:r>
    </w:p>
    <w:p w:rsidR="00EC2A0D" w:rsidRDefault="0056286E">
      <w:pPr>
        <w:ind w:firstLine="709"/>
        <w:jc w:val="both"/>
      </w:pPr>
      <w:r>
        <w:t xml:space="preserve">Societatea </w:t>
      </w:r>
      <w:r w:rsidR="005F3778">
        <w:t>R1</w:t>
      </w:r>
      <w:r>
        <w:t xml:space="preserve"> SA are calitatea de administrator al fondurilor alocate de la bugetul de stat pentru executarea şi finalizarea lucrărilor şi serviciilor prev</w:t>
      </w:r>
      <w:r>
        <w:t xml:space="preserve">ăzute în “Programul </w:t>
      </w:r>
      <w:r w:rsidR="00301D70">
        <w:t>....</w:t>
      </w:r>
      <w:r>
        <w:t>”, (program exclusiv al Ministerului Economiei) calitate dobândita prin contractul (acord cadru + contracte subsecvente) încheiat cu Ministeru</w:t>
      </w:r>
      <w:r>
        <w:t xml:space="preserve">l Economiei, Antreprenoriatului si Turismului in </w:t>
      </w:r>
      <w:r>
        <w:lastRenderedPageBreak/>
        <w:t xml:space="preserve">temeiul art. 4 din H.G. nr. </w:t>
      </w:r>
      <w:r w:rsidR="00301D70">
        <w:t>...</w:t>
      </w:r>
      <w:r>
        <w:t xml:space="preserve">/2002 privind înfiinţarea Societăţii Comerciale </w:t>
      </w:r>
      <w:r w:rsidR="00301D70">
        <w:t>...</w:t>
      </w:r>
      <w:r>
        <w:t xml:space="preserve"> "</w:t>
      </w:r>
      <w:r w:rsidR="005F3778">
        <w:t>R1</w:t>
      </w:r>
      <w:r>
        <w:t xml:space="preserve">" - S.A, completată şi modificată de HG nr. </w:t>
      </w:r>
      <w:r w:rsidR="00301D70">
        <w:t>...</w:t>
      </w:r>
      <w:r>
        <w:t xml:space="preserve">/2003 şi H.G. nr. </w:t>
      </w:r>
      <w:r w:rsidR="00301D70">
        <w:t>...</w:t>
      </w:r>
      <w:r>
        <w:t>/2004.</w:t>
      </w:r>
    </w:p>
    <w:p w:rsidR="00EC2A0D" w:rsidRDefault="0056286E">
      <w:pPr>
        <w:ind w:firstLine="709"/>
        <w:jc w:val="both"/>
      </w:pPr>
      <w:r>
        <w:t>Obli</w:t>
      </w:r>
      <w:r>
        <w:t xml:space="preserve">gaţia asigurării fondurilor necesare derulării „Programului </w:t>
      </w:r>
      <w:r w:rsidR="00301D70">
        <w:t>...</w:t>
      </w:r>
      <w:r>
        <w:t>" este în sarcina proprietarului, respectiv a Ministerului Economiei, Antreprenoriatului si Turismului</w:t>
      </w:r>
      <w:r>
        <w:t xml:space="preserve"> prin contractele anuale încheiate cu subscrisa, fapt pentru care s-a si consemnat in cuprinsul acestor contracte, care poarta inclusiv girul controlorului delegat al Ministerului Finanţelor Publice, ca societatea </w:t>
      </w:r>
      <w:r w:rsidR="005F3778">
        <w:t>R1</w:t>
      </w:r>
      <w:r>
        <w:t xml:space="preserve"> SA răspunde numai pentru obiect</w:t>
      </w:r>
      <w:r>
        <w:t>ivele pentru care achizitorul a asigurat finanţare.</w:t>
      </w:r>
    </w:p>
    <w:p w:rsidR="00EC2A0D" w:rsidRDefault="0056286E">
      <w:pPr>
        <w:ind w:firstLine="709"/>
        <w:jc w:val="both"/>
      </w:pPr>
      <w:r>
        <w:t xml:space="preserve">Conform contractului încheiat cu Ministerul Economiei, S. </w:t>
      </w:r>
      <w:r w:rsidR="005F3778">
        <w:t>R1</w:t>
      </w:r>
      <w:r>
        <w:t xml:space="preserve"> S.A. are obligaţia să încheie pe seama acestuia acte juridice prin care să gestioneze şi să administreze fondurile alocate de la bugetu</w:t>
      </w:r>
      <w:r>
        <w:t xml:space="preserve">l de stat pentru executarea şi finalizarea lucrărilor şi serviciilor prevăzute în „Programul </w:t>
      </w:r>
      <w:r w:rsidR="00E11BC3">
        <w:t>...</w:t>
      </w:r>
      <w:r>
        <w:t>, în anul...” precum şi de a selecta operatorii economici pentru execu</w:t>
      </w:r>
      <w:r>
        <w:t xml:space="preserve">tarea lucrărilor şi serviciilor din cadrul Programului Anual prin proceduri de achiziţie publică, în conformitate cu prevederile Ordonanţei de Urgenţă a Guvernului nr. </w:t>
      </w:r>
      <w:r w:rsidR="00E11BC3">
        <w:t>...</w:t>
      </w:r>
      <w:r>
        <w:t xml:space="preserve">/2006, cu modificările şi completările ulterioare, şi ale Hotărârii Guvernului nr. </w:t>
      </w:r>
      <w:r w:rsidR="00E11BC3">
        <w:t>...</w:t>
      </w:r>
      <w:r>
        <w:t>/2006, cu modificările şi completările ulterioare.</w:t>
      </w:r>
    </w:p>
    <w:p w:rsidR="00EC2A0D" w:rsidRDefault="0056286E">
      <w:pPr>
        <w:ind w:firstLine="709"/>
        <w:jc w:val="both"/>
      </w:pPr>
      <w:r>
        <w:t xml:space="preserve">Prin urmare societatea </w:t>
      </w:r>
      <w:r w:rsidR="005F3778">
        <w:t>R1</w:t>
      </w:r>
      <w:r>
        <w:t xml:space="preserve"> S.A., după semnarea contractului cu ministerul Economiei, parcurge toate procedurile legale în materie de achiziţii publice, organizate în conformitate cu legislaţia in do</w:t>
      </w:r>
      <w:r>
        <w:t>meniul achiziţiilor publice, mărturie fiind anunţurile de participare/atribuire postate în S.E.A.P. şi J.U.E.</w:t>
      </w:r>
    </w:p>
    <w:p w:rsidR="00EC2A0D" w:rsidRDefault="0056286E">
      <w:pPr>
        <w:ind w:firstLine="709"/>
        <w:jc w:val="both"/>
      </w:pPr>
      <w:r>
        <w:t xml:space="preserve">În acest context, societatea </w:t>
      </w:r>
      <w:r w:rsidR="005F3778">
        <w:t>R1</w:t>
      </w:r>
      <w:r>
        <w:t xml:space="preserve"> SA a derulat proceduri de achiziţie publica si a atribuit mai multe contracte de Servicii de exploatare şi</w:t>
      </w:r>
      <w:r>
        <w:t xml:space="preserve"> întreţinere a staţiilor de epurare - neutralizare ape de mină".</w:t>
      </w:r>
    </w:p>
    <w:p w:rsidR="00EC2A0D" w:rsidRDefault="0056286E">
      <w:pPr>
        <w:ind w:firstLine="709"/>
        <w:jc w:val="both"/>
      </w:pPr>
      <w:r>
        <w:t>Decontaminare a apelor de mina si nu contaminare.</w:t>
      </w:r>
    </w:p>
    <w:p w:rsidR="00EC2A0D" w:rsidRDefault="0056286E">
      <w:pPr>
        <w:ind w:firstLine="709"/>
        <w:jc w:val="both"/>
      </w:pPr>
      <w:r>
        <w:t>Epurarea apelor de mină ce se evacuează din perimetrele miniere închise se realizează în staţiile de epurare existente prin metoda neutraliză</w:t>
      </w:r>
      <w:r>
        <w:t>rii cu soluţie de var şi precipitarea hidroxizilor de metale. Această tehnologie este foarte răspândită pe plan internaţional pentru tratarea apelor de mină, având printre avantaje: costul moderat al reactivului, eficienţa ridicată pentru neutralizare şi p</w:t>
      </w:r>
      <w:r>
        <w:t>recipitare metale grele, o relativă simplitate şi fiabilitate. Tratarea cu soluţie de var a apelor de mină este prima opţiune, mai ales în cazul apelor foarte acide şi puternic poluate cu metale grele.</w:t>
      </w:r>
    </w:p>
    <w:p w:rsidR="00EC2A0D" w:rsidRDefault="0056286E">
      <w:pPr>
        <w:ind w:firstLine="709"/>
        <w:jc w:val="both"/>
      </w:pPr>
      <w:r>
        <w:t>Apele de mina tratate prin staţiile de epurare, nu sun</w:t>
      </w:r>
      <w:r>
        <w:t>t ape uzate, rezultate din activități economice ci apa bruta, naturală/convenţional naturală rezultată din acviferele subterane in urma sistării activității economice/industriale, care debitează natural, nu poate fi înmagazinata sau reinjectată, fiind evac</w:t>
      </w:r>
      <w:r>
        <w:t>uată in cursurile de apă după ce este decontaminată la un nivel corespunzător, asigurat de posibilităţile de tratare ale fiecărei staţii.</w:t>
      </w:r>
    </w:p>
    <w:p w:rsidR="00EC2A0D" w:rsidRDefault="0056286E">
      <w:pPr>
        <w:ind w:firstLine="709"/>
        <w:jc w:val="both"/>
      </w:pPr>
      <w:r>
        <w:t>La nicio mină a cărei activitate a încetat si a fost aprobată la închidere prin una din cele 11 Hotărâri ale Guvernulu</w:t>
      </w:r>
      <w:r>
        <w:t>i, nu se desfăşoară activități industriale şi/sau comerciale si nu sunt ape provenite din activităţi casnice, sociale sau economice. Doar pentru acest tip de ape uzate legiuitorul a impus încadrarea în limitele NTPA 001/2005.</w:t>
      </w:r>
    </w:p>
    <w:p w:rsidR="00EC2A0D" w:rsidRDefault="0056286E">
      <w:pPr>
        <w:ind w:firstLine="709"/>
        <w:jc w:val="both"/>
      </w:pPr>
      <w:r>
        <w:t xml:space="preserve">Concret, reclamanta, atribuie </w:t>
      </w:r>
      <w:r>
        <w:t xml:space="preserve">aceste contracte care se regăsesc în „Programul </w:t>
      </w:r>
      <w:r w:rsidR="00E11BC3">
        <w:t>...</w:t>
      </w:r>
      <w:r>
        <w:t>" iar operatorii desemnaţi câștigători depoluează din fonduri bugetare ape de mina rezultate in urma sistării acti</w:t>
      </w:r>
      <w:r>
        <w:t>vității economice/industriale, care debitează natural, in sensul ca îmbunătăţeşte factorii de mediu pe arealul pe care este amplasata staţia de epurare si nu poluează prin activitatea sa, așa cum in mod eronat s-a înțeles si s-au aplicat dispoziţiile Legii</w:t>
      </w:r>
      <w:r>
        <w:t xml:space="preserve"> apelor nr. 107/1996, care au prejudiciat grav societatea, aceasta fiind sancționata contravenţional de mai multe ori. </w:t>
      </w:r>
    </w:p>
    <w:p w:rsidR="00EC2A0D" w:rsidRDefault="0056286E">
      <w:pPr>
        <w:ind w:firstLine="709"/>
        <w:jc w:val="both"/>
      </w:pPr>
      <w:r>
        <w:t>În dovedire recurenta a solicitat proba cu înscrisuri, precum şi orice alt mijloc de probă a cărui necesitate de administrare ar rezulta</w:t>
      </w:r>
      <w:r>
        <w:t xml:space="preserve"> din dezbateri.</w:t>
      </w:r>
    </w:p>
    <w:p w:rsidR="00EC2A0D" w:rsidRDefault="0056286E">
      <w:pPr>
        <w:ind w:firstLine="709"/>
        <w:jc w:val="both"/>
      </w:pPr>
      <w:r>
        <w:t>În drept, plângerea a fost întemeiată pe dispoziţiile art. 488 CPC, art. 35 CPC, Legea apelor nr. 107/1996, HG nr. 188/2002.</w:t>
      </w:r>
    </w:p>
    <w:p w:rsidR="00EC2A0D" w:rsidRDefault="0056286E">
      <w:pPr>
        <w:ind w:firstLine="709"/>
        <w:jc w:val="both"/>
      </w:pPr>
      <w:r>
        <w:lastRenderedPageBreak/>
        <w:t xml:space="preserve">Recurenta a solicitat judecarea cauzei şi în eventualitatea lipsei la dezbateri. </w:t>
      </w:r>
    </w:p>
    <w:p w:rsidR="00EC2A0D" w:rsidRDefault="0056286E">
      <w:pPr>
        <w:ind w:firstLine="709"/>
        <w:jc w:val="both"/>
      </w:pPr>
      <w:r>
        <w:t xml:space="preserve">În baza art. 223, alin. art. 411 </w:t>
      </w:r>
      <w:r>
        <w:t>alin. 1, pct. 2 din Noul Cod de procedură civilă.</w:t>
      </w:r>
    </w:p>
    <w:p w:rsidR="00EC2A0D" w:rsidRDefault="0056286E">
      <w:pPr>
        <w:ind w:firstLine="709"/>
        <w:jc w:val="both"/>
      </w:pPr>
      <w:r>
        <w:t xml:space="preserve">Intimata Administraţia Bazinală de Apă </w:t>
      </w:r>
      <w:r w:rsidR="00E11BC3">
        <w:t>P1</w:t>
      </w:r>
      <w:r>
        <w:t xml:space="preserve"> a formulat </w:t>
      </w:r>
      <w:r>
        <w:rPr>
          <w:rStyle w:val="Fontdeparagrafimplicit"/>
          <w:b/>
          <w:i/>
        </w:rPr>
        <w:t>întâmpinare</w:t>
      </w:r>
      <w:r>
        <w:t xml:space="preserve"> solicitând respingerea recursului ca nefondat şi păstrarea temeiniciei şi legalitatea sentinţei civile atacate.</w:t>
      </w:r>
    </w:p>
    <w:p w:rsidR="00EC2A0D" w:rsidRDefault="0056286E">
      <w:pPr>
        <w:ind w:firstLine="709"/>
        <w:jc w:val="both"/>
      </w:pPr>
      <w:r>
        <w:t>În motivare, intimata</w:t>
      </w:r>
      <w:r>
        <w:t xml:space="preserve"> a arătat, în esenţă, că susţine excepţia inadmisibilităţii acţiunii promovate cu consecinţa respingerii recursului ca urmare a lipsei procedurii prealabile prevăzute de art. 7 alin. 1 şi alin. 1 ind. 1 din Legea nr. 554/2004 a contenciosului administrativ</w:t>
      </w:r>
      <w:r>
        <w:t>.</w:t>
      </w:r>
    </w:p>
    <w:p w:rsidR="00EC2A0D" w:rsidRDefault="0056286E">
      <w:pPr>
        <w:ind w:firstLine="708"/>
        <w:jc w:val="both"/>
      </w:pPr>
      <w:r>
        <w:t xml:space="preserve">Intimata a mai arătat că recursul la acţiunea în constatare formulată de recurenta </w:t>
      </w:r>
      <w:r w:rsidR="005F3778">
        <w:t>R1</w:t>
      </w:r>
      <w:r>
        <w:t xml:space="preserve"> SA este inadmisibil atâta vreme cât există cadrul legal pentru emiterea actelor de reglementare pe linie de gospodărire a apelor pentru activităţile din sectoru</w:t>
      </w:r>
      <w:r>
        <w:t>l minier, acte normative care până la data prezentei nu au fost modificate sau abrogate.</w:t>
      </w:r>
    </w:p>
    <w:p w:rsidR="00EC2A0D" w:rsidRDefault="0056286E">
      <w:pPr>
        <w:ind w:firstLine="709"/>
        <w:jc w:val="both"/>
      </w:pPr>
      <w:r>
        <w:t xml:space="preserve">Pentru toate considerentele dezvoltate în cuprinsul întâmpinării, intimata a solicitat recursul declarat de </w:t>
      </w:r>
      <w:r w:rsidR="005F3778">
        <w:t>R1</w:t>
      </w:r>
      <w:r>
        <w:t xml:space="preserve"> SA. şi păstrarea temeiniciei şi legalităţii sent</w:t>
      </w:r>
      <w:r>
        <w:t>inţei civile atacate.</w:t>
      </w:r>
    </w:p>
    <w:p w:rsidR="00EC2A0D" w:rsidRDefault="0056286E">
      <w:pPr>
        <w:ind w:firstLine="709"/>
        <w:jc w:val="both"/>
      </w:pPr>
      <w:r>
        <w:t>În drept,  intimata a invocat temeiurile de drept invocate în cuprinsul prezentei întâmpinări.</w:t>
      </w:r>
    </w:p>
    <w:p w:rsidR="00EC2A0D" w:rsidRDefault="0056286E">
      <w:pPr>
        <w:ind w:left="708" w:firstLine="1"/>
        <w:jc w:val="both"/>
      </w:pPr>
      <w:r>
        <w:t xml:space="preserve">În probaţiune, intimata a înţeles să se folosească de înscrisurile existente la dosarul cauzei. </w:t>
      </w:r>
    </w:p>
    <w:p w:rsidR="00EC2A0D" w:rsidRDefault="0056286E">
      <w:pPr>
        <w:ind w:firstLine="708"/>
        <w:jc w:val="both"/>
      </w:pPr>
      <w:r>
        <w:t>Intimata a solicitat judecarea cauzei şi î</w:t>
      </w:r>
      <w:r>
        <w:t>n eventualitatea lipsei de la dezbateri, în baza prevederilor art. 223 din Noul Cod de procedură civilă.</w:t>
      </w:r>
    </w:p>
    <w:p w:rsidR="00EC2A0D" w:rsidRDefault="0056286E">
      <w:pPr>
        <w:ind w:firstLine="708"/>
        <w:jc w:val="both"/>
        <w:rPr>
          <w:rStyle w:val="Fontdeparagrafimplicit"/>
        </w:rPr>
      </w:pPr>
      <w:r>
        <w:t xml:space="preserve">Recurenta-reclamantă a formulat </w:t>
      </w:r>
      <w:r>
        <w:rPr>
          <w:rStyle w:val="Fontdeparagrafimplicit"/>
          <w:b/>
          <w:i/>
        </w:rPr>
        <w:t>răspuns la întâmpinare</w:t>
      </w:r>
      <w:r>
        <w:t xml:space="preserve"> şi a depus </w:t>
      </w:r>
      <w:r>
        <w:rPr>
          <w:rStyle w:val="Fontdeparagrafimplicit"/>
          <w:b/>
          <w:i/>
        </w:rPr>
        <w:t>concluzii scrise.</w:t>
      </w:r>
    </w:p>
    <w:p w:rsidR="00EC2A0D" w:rsidRDefault="0056286E">
      <w:pPr>
        <w:ind w:firstLine="709"/>
        <w:jc w:val="both"/>
      </w:pPr>
      <w:r>
        <w:t xml:space="preserve">Cu privire la </w:t>
      </w:r>
      <w:r>
        <w:rPr>
          <w:rStyle w:val="Fontdeparagrafimplicit"/>
          <w:b/>
          <w:i/>
        </w:rPr>
        <w:t xml:space="preserve">excepţia inadmisibilităţii referitoare la cererea de </w:t>
      </w:r>
      <w:r>
        <w:rPr>
          <w:rStyle w:val="Fontdeparagrafimplicit"/>
          <w:b/>
          <w:i/>
        </w:rPr>
        <w:t>chemare în judecată</w:t>
      </w:r>
      <w:r>
        <w:t>, invocată de intimata-pârâtă prin întâmpinare, Curtea reţine inadmisibilitatea invocării în calea de atac declarată de reclamantă, în lipsa unui recurs propriu.</w:t>
      </w:r>
    </w:p>
    <w:p w:rsidR="00EC2A0D" w:rsidRDefault="0056286E">
      <w:pPr>
        <w:ind w:firstLine="708"/>
        <w:jc w:val="both"/>
        <w:rPr>
          <w:rStyle w:val="Fontdeparagrafimplicit"/>
        </w:rPr>
      </w:pPr>
      <w:r>
        <w:rPr>
          <w:rStyle w:val="Fontdeparagrafimplicit"/>
          <w:b/>
          <w:i/>
        </w:rPr>
        <w:t>Analizând recursul declarat de către ceilalţi recurenţi împotriva sentinţei</w:t>
      </w:r>
      <w:r>
        <w:rPr>
          <w:rStyle w:val="Fontdeparagrafimplicit"/>
          <w:b/>
          <w:i/>
        </w:rPr>
        <w:t xml:space="preserve"> civile recurate, prin prisma motivelor invocate și a actelor și lucrărilor dosarului, Curtea reține următoarele:</w:t>
      </w:r>
    </w:p>
    <w:p w:rsidR="00EC2A0D" w:rsidRDefault="0056286E">
      <w:pPr>
        <w:ind w:firstLine="708"/>
        <w:jc w:val="both"/>
      </w:pPr>
      <w:r>
        <w:t xml:space="preserve">Art. 488 alin. 1 C.proc.civ. prevede: „(1) </w:t>
      </w:r>
      <w:r>
        <w:rPr>
          <w:rStyle w:val="Fontdeparagrafimplicit"/>
          <w:i/>
        </w:rPr>
        <w:t>Casarea unor hotărâri se poate cere numai pentru următoarele motive de nelegalitate</w:t>
      </w:r>
      <w:r>
        <w:t>: (…)</w:t>
      </w:r>
      <w:r>
        <w:rPr>
          <w:rStyle w:val="Fontdeparagrafimplicit"/>
          <w:i/>
        </w:rPr>
        <w:t xml:space="preserve">; </w:t>
      </w:r>
      <w:r>
        <w:rPr>
          <w:rStyle w:val="Fontdeparagrafimplicit"/>
          <w:b/>
          <w:i/>
        </w:rPr>
        <w:t>6.</w:t>
      </w:r>
      <w:r>
        <w:rPr>
          <w:rStyle w:val="Fontdeparagrafimplicit"/>
          <w:i/>
        </w:rPr>
        <w:t xml:space="preserve"> când h</w:t>
      </w:r>
      <w:r>
        <w:rPr>
          <w:rStyle w:val="Fontdeparagrafimplicit"/>
          <w:i/>
        </w:rPr>
        <w:t xml:space="preserve">otărârea nu cuprinde motivele pe care se întemeiază sau când cuprinde motive contradictorii ori numai motive străine de natura cauzei; (…); </w:t>
      </w:r>
      <w:r>
        <w:rPr>
          <w:rStyle w:val="Fontdeparagrafimplicit"/>
          <w:b/>
        </w:rPr>
        <w:t>8.</w:t>
      </w:r>
      <w:r>
        <w:t xml:space="preserve"> </w:t>
      </w:r>
      <w:r>
        <w:rPr>
          <w:rStyle w:val="Fontdeparagrafimplicit"/>
          <w:i/>
        </w:rPr>
        <w:t>când hotărârea a fost dată cu încălcarea sau aplicarea greşită a normelor de drept material</w:t>
      </w:r>
      <w:r>
        <w:t xml:space="preserve">.” </w:t>
      </w:r>
    </w:p>
    <w:p w:rsidR="00EC2A0D" w:rsidRDefault="0056286E">
      <w:pPr>
        <w:ind w:firstLine="708"/>
        <w:jc w:val="both"/>
      </w:pPr>
      <w:r>
        <w:t>Totodată, art. 483</w:t>
      </w:r>
      <w:r>
        <w:t xml:space="preserve"> C.proc.civ. prevede că „(3) </w:t>
      </w:r>
      <w:r>
        <w:rPr>
          <w:rStyle w:val="Fontdeparagrafimplicit"/>
          <w:i/>
        </w:rPr>
        <w:t>Recursul urmăreşte să supună Înaltei Curţi de Casaţie şi Justiţie examinarea, în condiţiile legii, a conformităţii hotărârii atacate cu regulile de drept aplicabile</w:t>
      </w:r>
      <w:r>
        <w:t xml:space="preserve">. (4) </w:t>
      </w:r>
      <w:r>
        <w:rPr>
          <w:rStyle w:val="Fontdeparagrafimplicit"/>
          <w:i/>
        </w:rPr>
        <w:t>În cazurile anume prevăzute de lege, recursul se soluţion</w:t>
      </w:r>
      <w:r>
        <w:rPr>
          <w:rStyle w:val="Fontdeparagrafimplicit"/>
          <w:i/>
        </w:rPr>
        <w:t>ează de către instanţa ierarhic superioară celei care a pronunţat hotărârea atacată. Dispoziţiile alin. (3) se aplică în mod corespunzător</w:t>
      </w:r>
      <w:r>
        <w:t xml:space="preserve">.”. </w:t>
      </w:r>
    </w:p>
    <w:p w:rsidR="00EC2A0D" w:rsidRDefault="0056286E">
      <w:pPr>
        <w:ind w:firstLine="708"/>
        <w:jc w:val="both"/>
      </w:pPr>
      <w:r>
        <w:t>Din interpretarea dispoziţiilor citate în precedent, Curtea reţine că recursul reprezintă acea cale extraordinară</w:t>
      </w:r>
      <w:r>
        <w:t xml:space="preserve"> de atac prin care hotărârea atacată este supusă controlului judiciar prin prisma conformităţii sale cu regulile de drept aplicabile, ceea ce implică recunoaşterea posibilităţii părţii interesate de a o critica doar pentru motive de nelegalitate, iar nu şi</w:t>
      </w:r>
      <w:r>
        <w:t xml:space="preserve"> de netemeinicie. </w:t>
      </w:r>
    </w:p>
    <w:p w:rsidR="00EC2A0D" w:rsidRDefault="0056286E">
      <w:pPr>
        <w:ind w:firstLine="708"/>
        <w:jc w:val="both"/>
      </w:pPr>
      <w:r>
        <w:t>Mai reţine Curtea că potrivit art. 20 alin. 3 din Legea nr. 554/2004 a contenciosului administrativ „</w:t>
      </w:r>
      <w:r>
        <w:rPr>
          <w:rStyle w:val="Fontdeparagrafimplicit"/>
          <w:i/>
        </w:rPr>
        <w:t xml:space="preserve">În cazul admiterii recursului, instanţa de recurs, casând sentinţa, va rejudeca litigiul în fond. Când hotărârea primei instanţe a fost </w:t>
      </w:r>
      <w:r>
        <w:rPr>
          <w:rStyle w:val="Fontdeparagrafimplicit"/>
          <w:i/>
        </w:rPr>
        <w:t xml:space="preserve">pronunţată fără a se judeca fondul ori dacă judecata s-a făcut în lipsa părţii care a fost nelegal citată atât la administrarea probelor, cât şi la dezbaterea fondului, cauza se va trimite, o singură dată, la această instanţă. </w:t>
      </w:r>
      <w:r>
        <w:t xml:space="preserve">(…)”. </w:t>
      </w:r>
    </w:p>
    <w:p w:rsidR="00EC2A0D" w:rsidRDefault="0056286E">
      <w:pPr>
        <w:ind w:firstLine="708"/>
        <w:jc w:val="both"/>
      </w:pPr>
      <w:r>
        <w:t>Examinând recursul, pr</w:t>
      </w:r>
      <w:r>
        <w:t xml:space="preserve">in prisma </w:t>
      </w:r>
      <w:r>
        <w:rPr>
          <w:rStyle w:val="Fontdeparagrafimplicit"/>
          <w:b/>
          <w:i/>
        </w:rPr>
        <w:t>art. 488 alin. 1 pct. 6 din Codul de procedură civilă,</w:t>
      </w:r>
      <w:r>
        <w:t xml:space="preserve"> Curtea constată că acest motiv de casare este întemeiat, recursul fiind astfel fondat, pentru următoarele considerente:</w:t>
      </w:r>
    </w:p>
    <w:p w:rsidR="00EC2A0D" w:rsidRDefault="0056286E">
      <w:pPr>
        <w:ind w:firstLine="708"/>
        <w:jc w:val="both"/>
      </w:pPr>
      <w:r>
        <w:lastRenderedPageBreak/>
        <w:t>Curtea constată că prima instanță nu a prezentat în considerentele sent</w:t>
      </w:r>
      <w:r>
        <w:t xml:space="preserve">inţei recurate raționamentul logico-juridic care a fundamentat soluția adoptată. Astfel, tribunalul nu a stabilit pe baza probelor administrate situația de fapt care a stat la baza pronunțării soluției sale. </w:t>
      </w:r>
    </w:p>
    <w:p w:rsidR="00EC2A0D" w:rsidRDefault="0056286E">
      <w:pPr>
        <w:ind w:firstLine="708"/>
        <w:jc w:val="both"/>
      </w:pPr>
      <w:r>
        <w:t>Fără a analiza situația de fapt, pe baza probel</w:t>
      </w:r>
      <w:r>
        <w:t>or administrate, prima instanță trece direct la expunerea pe larg a prevederilor legale incidente, concluzionând că, prin urmare, contrar susţinerilor reclamantei, faţă de dispoziţiile legale menţionate, a constatat că activitatea de epurare a apelor de mi</w:t>
      </w:r>
      <w:r>
        <w:t>nă sau de zăcământ se regăseşte în categoria lucrărilor care se construiesc pe ape şi în legătură cu apele prevăzute de art. 48 din Legea nr. 107/1996 coroborat cu prevederile H.G. nr. 891/2019 Anexa 1.</w:t>
      </w:r>
    </w:p>
    <w:p w:rsidR="00EC2A0D" w:rsidRDefault="0056286E">
      <w:pPr>
        <w:ind w:firstLine="708"/>
        <w:jc w:val="both"/>
      </w:pPr>
      <w:r>
        <w:t>Curtea reţine că prima instanţă nu a analizat cererea</w:t>
      </w:r>
      <w:r>
        <w:t xml:space="preserve"> de chemare în judecată prin prisma argumentelor invocate de reclamantă, respectiv a apărărilor formulate de pârâtă în cauză.</w:t>
      </w:r>
    </w:p>
    <w:p w:rsidR="00EC2A0D" w:rsidRDefault="0056286E">
      <w:pPr>
        <w:ind w:firstLine="708"/>
        <w:jc w:val="both"/>
      </w:pPr>
      <w:r>
        <w:t>Curtea subliniază că obiectul căii de atac nu îl constituie pretenţia concretă a părţii, ca în cazul cererilor de învestire a prim</w:t>
      </w:r>
      <w:r>
        <w:t>ei instanţe, ci hotărârea judecătorească despre care se pretinde că nu este legală. Altfel spus, judecătorului căii de atac îi revine să verifice raţionamentul judecătorului fondului, căruia îi incumbă să soluţioneze procesul în primă instanţă, iar spre ac</w:t>
      </w:r>
      <w:r>
        <w:t>est rezultat premisele acestui raţionament trebuie să fie accesibile din lectura hotărârii, prin prisma expunerii situaţiei de fapt şi a probelor concrete care o susţin, cu identificarea lor, respectiv prin prisma analizei în drept corespunzătoare acelei s</w:t>
      </w:r>
      <w:r>
        <w:t>ituaţii factuale stabilite.</w:t>
      </w:r>
    </w:p>
    <w:p w:rsidR="00EC2A0D" w:rsidRDefault="0056286E">
      <w:pPr>
        <w:ind w:firstLine="708"/>
        <w:jc w:val="both"/>
      </w:pPr>
      <w:r>
        <w:t>Întrucât prima instanță nu a analizat cauza faptică și juridică a cererii de chemare în judecată, nu a examinat argumente părţilor și nu a expus raționamentul logico – juridic pe care și-a întemeiat soluția pronunțată, curtea re</w:t>
      </w:r>
      <w:r>
        <w:t>ține că sentinţa civilă recurată nu respectă dispozițiile art. 425 C.p.civ, căci hotărârea tribunalului nu clarifică în concret şi de o manieră neechivocă problema litigioasă a cauzei lipsind practic o soluţionare a fondului cauzei.</w:t>
      </w:r>
    </w:p>
    <w:p w:rsidR="00EC2A0D" w:rsidRDefault="0056286E">
      <w:pPr>
        <w:ind w:firstLine="708"/>
        <w:jc w:val="both"/>
      </w:pPr>
      <w:r>
        <w:t>Faţă de disp. art. 20 a</w:t>
      </w:r>
      <w:r>
        <w:t>lin. 3 din Legea nr. 554/2004 şi art. 488 alin. 1 pct. 6 C.proc.civ., se impune admiterea recursului, casarea sentinţei şi trimiterea cauzei pentru rejudecare la tribunal. Relativ la celelalte critici invocate de partea recurentă, Curtea le apreciază ca fi</w:t>
      </w:r>
      <w:r>
        <w:t xml:space="preserve">ind subsecvente, ţinând de analiza fondului cauzei, nemaifiind necesară verificarea lor din moment ce recursul se admite potrivit celor de mai sus. </w:t>
      </w:r>
    </w:p>
    <w:p w:rsidR="00EC2A0D" w:rsidRDefault="00EC2A0D">
      <w:pPr>
        <w:ind w:firstLine="708"/>
        <w:jc w:val="both"/>
      </w:pPr>
    </w:p>
    <w:p w:rsidR="00EC2A0D" w:rsidRDefault="00EC2A0D">
      <w:pPr>
        <w:ind w:firstLine="708"/>
        <w:jc w:val="both"/>
      </w:pPr>
    </w:p>
    <w:p w:rsidR="00EC2A0D" w:rsidRDefault="00EC2A0D">
      <w:pPr>
        <w:ind w:firstLine="708"/>
        <w:jc w:val="both"/>
      </w:pPr>
    </w:p>
    <w:p w:rsidR="00EC2A0D" w:rsidRDefault="0056286E">
      <w:pPr>
        <w:jc w:val="center"/>
        <w:rPr>
          <w:rStyle w:val="Fontdeparagrafimplicit"/>
          <w:b/>
        </w:rPr>
      </w:pPr>
      <w:r>
        <w:rPr>
          <w:rStyle w:val="Fontdeparagrafimplicit"/>
          <w:b/>
        </w:rPr>
        <w:t>PENTRU ACESTE MOTIVE,</w:t>
      </w:r>
    </w:p>
    <w:p w:rsidR="00EC2A0D" w:rsidRDefault="0056286E">
      <w:pPr>
        <w:jc w:val="center"/>
        <w:rPr>
          <w:rStyle w:val="Fontdeparagrafimplicit"/>
          <w:b/>
        </w:rPr>
      </w:pPr>
      <w:r>
        <w:rPr>
          <w:rStyle w:val="Fontdeparagrafimplicit"/>
          <w:b/>
        </w:rPr>
        <w:t>ÎN NUMELE LEGII,</w:t>
      </w:r>
    </w:p>
    <w:p w:rsidR="00EC2A0D" w:rsidRDefault="0056286E">
      <w:pPr>
        <w:jc w:val="center"/>
        <w:rPr>
          <w:rStyle w:val="Fontdeparagrafimplicit"/>
          <w:b/>
        </w:rPr>
      </w:pPr>
      <w:r>
        <w:rPr>
          <w:rStyle w:val="Fontdeparagrafimplicit"/>
          <w:b/>
        </w:rPr>
        <w:t>DECIDE:</w:t>
      </w:r>
    </w:p>
    <w:p w:rsidR="00EC2A0D" w:rsidRDefault="00EC2A0D">
      <w:pPr>
        <w:ind w:firstLine="708"/>
        <w:jc w:val="both"/>
        <w:rPr>
          <w:rStyle w:val="Fontdeparagrafimplicit"/>
        </w:rPr>
      </w:pPr>
    </w:p>
    <w:p w:rsidR="00EC2A0D" w:rsidRDefault="0056286E">
      <w:pPr>
        <w:ind w:firstLine="708"/>
        <w:jc w:val="both"/>
      </w:pPr>
      <w:r>
        <w:t xml:space="preserve">Admite recursul formulat de </w:t>
      </w:r>
      <w:r>
        <w:rPr>
          <w:rStyle w:val="Fontdeparagrafimplicit"/>
          <w:b/>
        </w:rPr>
        <w:t xml:space="preserve">recurenta - reclamantă </w:t>
      </w:r>
      <w:r w:rsidR="005F3778">
        <w:rPr>
          <w:rStyle w:val="Fontdeparagrafimplicit"/>
          <w:b/>
        </w:rPr>
        <w:t>R1</w:t>
      </w:r>
      <w:r>
        <w:rPr>
          <w:rStyle w:val="Fontdeparagrafimplicit"/>
          <w:b/>
        </w:rPr>
        <w:t xml:space="preserve"> SA</w:t>
      </w:r>
      <w:r>
        <w:t xml:space="preserve">, cu sediul în </w:t>
      </w:r>
      <w:r w:rsidR="00E11BC3">
        <w:t>...</w:t>
      </w:r>
      <w:r>
        <w:t xml:space="preserve">, împotriva sentinţei civile nr. </w:t>
      </w:r>
      <w:r w:rsidR="005F3778">
        <w:t>...</w:t>
      </w:r>
      <w:r>
        <w:t>/</w:t>
      </w:r>
      <w:r w:rsidR="005F3778">
        <w:t>...2021</w:t>
      </w:r>
      <w:r>
        <w:t xml:space="preserve"> pronunţată de Tribunalul </w:t>
      </w:r>
      <w:r w:rsidR="00FD5B49">
        <w:t>X</w:t>
      </w:r>
      <w:r>
        <w:t xml:space="preserve"> - Secţia </w:t>
      </w:r>
      <w:r>
        <w:t xml:space="preserve">Contencios administrativ şi fiscal, în dosarul nr. </w:t>
      </w:r>
      <w:r w:rsidR="005F3778">
        <w:t>.../.../2019</w:t>
      </w:r>
      <w:r>
        <w:t>, în contrad</w:t>
      </w:r>
      <w:r>
        <w:t xml:space="preserve">ictoriu cu </w:t>
      </w:r>
      <w:r>
        <w:rPr>
          <w:rStyle w:val="Fontdeparagrafimplicit"/>
          <w:b/>
        </w:rPr>
        <w:t xml:space="preserve">intimata - pârâtă ADMINISTRAŢIA BAZINALĂ DE APĂ </w:t>
      </w:r>
      <w:r w:rsidR="005F3778">
        <w:rPr>
          <w:rStyle w:val="Fontdeparagrafimplicit"/>
          <w:b/>
        </w:rPr>
        <w:t>P1</w:t>
      </w:r>
      <w:r>
        <w:rPr>
          <w:rStyle w:val="Fontdeparagrafimplicit"/>
          <w:b/>
        </w:rPr>
        <w:t xml:space="preserve">, </w:t>
      </w:r>
      <w:r>
        <w:t xml:space="preserve">cu sediul în </w:t>
      </w:r>
      <w:r w:rsidR="00E11BC3">
        <w:t>...</w:t>
      </w:r>
      <w:r>
        <w:t xml:space="preserve">. </w:t>
      </w:r>
    </w:p>
    <w:p w:rsidR="00EC2A0D" w:rsidRDefault="0056286E">
      <w:pPr>
        <w:ind w:firstLine="708"/>
        <w:jc w:val="both"/>
      </w:pPr>
      <w:r>
        <w:t xml:space="preserve">Casează sentinţa recurată şi trimite cauza spre rejudecare primei instanţe. </w:t>
      </w:r>
    </w:p>
    <w:p w:rsidR="00EC2A0D" w:rsidRDefault="0056286E">
      <w:pPr>
        <w:ind w:firstLine="708"/>
        <w:jc w:val="both"/>
      </w:pPr>
      <w:r>
        <w:t xml:space="preserve">Definitivă. </w:t>
      </w:r>
    </w:p>
    <w:p w:rsidR="00EC2A0D" w:rsidRDefault="0056286E">
      <w:pPr>
        <w:ind w:firstLine="708"/>
        <w:jc w:val="both"/>
      </w:pPr>
      <w:r>
        <w:t xml:space="preserve">Pronunţată azi, </w:t>
      </w:r>
      <w:r w:rsidR="00E11BC3">
        <w:t>...</w:t>
      </w:r>
      <w:r>
        <w:t>.2022, în</w:t>
      </w:r>
      <w:r>
        <w:t xml:space="preserve"> cond.art.402 teza finală C.proc.civ..</w:t>
      </w:r>
    </w:p>
    <w:p w:rsidR="00EC2A0D" w:rsidRDefault="0056286E">
      <w:pPr>
        <w:ind w:firstLine="708"/>
        <w:jc w:val="both"/>
      </w:pPr>
      <w:r>
        <w:tab/>
      </w:r>
    </w:p>
    <w:p w:rsidR="00EC2A0D" w:rsidRDefault="0056286E">
      <w:pPr>
        <w:tabs>
          <w:tab w:val="left" w:pos="1200"/>
          <w:tab w:val="left" w:pos="3180"/>
          <w:tab w:val="left" w:pos="6345"/>
        </w:tabs>
        <w:rPr>
          <w:rStyle w:val="Fontdeparagrafimplicit"/>
          <w:b/>
        </w:rPr>
      </w:pPr>
      <w:r>
        <w:rPr>
          <w:rStyle w:val="Fontdeparagrafimplicit"/>
          <w:b/>
        </w:rPr>
        <w:t xml:space="preserve">               PREŞEDINTE,</w:t>
      </w:r>
      <w:r>
        <w:rPr>
          <w:rStyle w:val="Fontdeparagrafimplicit"/>
          <w:b/>
        </w:rPr>
        <w:tab/>
        <w:t xml:space="preserve">                JUDECĂTOR,                        JUDECĂTOR,</w:t>
      </w:r>
    </w:p>
    <w:p w:rsidR="00EC2A0D" w:rsidRDefault="0056286E">
      <w:pPr>
        <w:tabs>
          <w:tab w:val="left" w:pos="1200"/>
          <w:tab w:val="left" w:pos="3180"/>
          <w:tab w:val="left" w:pos="6345"/>
        </w:tabs>
        <w:rPr>
          <w:rStyle w:val="Fontdeparagrafimplicit"/>
          <w:b/>
        </w:rPr>
      </w:pPr>
      <w:r>
        <w:t xml:space="preserve">       </w:t>
      </w:r>
      <w:r w:rsidR="00E11BC3">
        <w:t xml:space="preserve">               </w:t>
      </w:r>
      <w:r>
        <w:t xml:space="preserve"> </w:t>
      </w:r>
      <w:r w:rsidR="00E11BC3">
        <w:t>A0012                                             ...                                                  ...</w:t>
      </w:r>
    </w:p>
    <w:p w:rsidR="00EC2A0D" w:rsidRDefault="00EC2A0D">
      <w:pPr>
        <w:jc w:val="both"/>
        <w:rPr>
          <w:rStyle w:val="Fontdeparagrafimplicit"/>
        </w:rPr>
      </w:pPr>
    </w:p>
    <w:p w:rsidR="00EC2A0D" w:rsidRDefault="00EC2A0D">
      <w:pPr>
        <w:jc w:val="both"/>
        <w:rPr>
          <w:rStyle w:val="Fontdeparagrafimplicit"/>
        </w:rPr>
      </w:pPr>
    </w:p>
    <w:p w:rsidR="00EC2A0D" w:rsidRDefault="0056286E">
      <w:pPr>
        <w:jc w:val="center"/>
        <w:rPr>
          <w:rStyle w:val="Fontdeparagrafimplicit"/>
          <w:b/>
        </w:rPr>
      </w:pPr>
      <w:r>
        <w:tab/>
      </w:r>
      <w:r>
        <w:tab/>
      </w:r>
      <w:r>
        <w:tab/>
      </w:r>
      <w:r>
        <w:rPr>
          <w:rStyle w:val="Fontdeparagrafimplicit"/>
          <w:b/>
        </w:rPr>
        <w:t>GREFIER,</w:t>
      </w:r>
    </w:p>
    <w:p w:rsidR="00EC2A0D" w:rsidRDefault="0056286E">
      <w:pPr>
        <w:jc w:val="center"/>
      </w:pPr>
      <w:r>
        <w:tab/>
      </w:r>
      <w:r>
        <w:tab/>
      </w:r>
      <w:r>
        <w:tab/>
      </w:r>
      <w:r w:rsidR="00E11BC3">
        <w:t>...</w:t>
      </w:r>
    </w:p>
    <w:p w:rsidR="00EC2A0D" w:rsidRDefault="00EC2A0D">
      <w:pPr>
        <w:rPr>
          <w:rStyle w:val="Fontdeparagrafimplicit"/>
          <w:lang w:val="en-US"/>
        </w:rPr>
      </w:pPr>
    </w:p>
    <w:p w:rsidR="00EC2A0D" w:rsidRDefault="00EC2A0D">
      <w:pPr>
        <w:rPr>
          <w:rStyle w:val="Fontdeparagrafimplicit"/>
          <w:lang w:val="en-US"/>
        </w:rPr>
      </w:pPr>
    </w:p>
    <w:p w:rsidR="00EC2A0D" w:rsidRDefault="00EC2A0D">
      <w:pPr>
        <w:rPr>
          <w:rStyle w:val="Fontdeparagrafimplicit"/>
          <w:lang w:val="en-US"/>
        </w:rPr>
      </w:pPr>
    </w:p>
    <w:p w:rsidR="00EC2A0D" w:rsidRDefault="00EC2A0D">
      <w:pPr>
        <w:rPr>
          <w:rStyle w:val="Fontdeparagrafimplicit"/>
          <w:lang w:val="en-US"/>
        </w:rPr>
      </w:pPr>
    </w:p>
    <w:p w:rsidR="00EC2A0D" w:rsidRDefault="00EC2A0D">
      <w:pPr>
        <w:rPr>
          <w:rStyle w:val="Fontdeparagrafimplicit"/>
          <w:lang w:val="en-US"/>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EC2A0D">
      <w:pPr>
        <w:jc w:val="both"/>
        <w:rPr>
          <w:rStyle w:val="Fontdeparagrafimplicit"/>
          <w:i/>
        </w:rPr>
      </w:pPr>
    </w:p>
    <w:p w:rsidR="00EC2A0D" w:rsidRDefault="0056286E">
      <w:pPr>
        <w:jc w:val="both"/>
        <w:rPr>
          <w:rStyle w:val="Fontdeparagrafimplicit"/>
          <w:i/>
          <w:sz w:val="20"/>
        </w:rPr>
      </w:pPr>
      <w:r>
        <w:rPr>
          <w:rStyle w:val="Fontdeparagrafimplicit"/>
          <w:i/>
          <w:sz w:val="20"/>
        </w:rPr>
        <w:t xml:space="preserve">Red. jud. </w:t>
      </w:r>
      <w:r w:rsidR="00E11BC3">
        <w:rPr>
          <w:rStyle w:val="Fontdeparagrafimplicit"/>
          <w:i/>
          <w:sz w:val="20"/>
        </w:rPr>
        <w:t>A0012</w:t>
      </w:r>
      <w:r>
        <w:rPr>
          <w:rStyle w:val="Fontdeparagrafimplicit"/>
          <w:i/>
          <w:sz w:val="20"/>
        </w:rPr>
        <w:t>/2+2 ex.</w:t>
      </w:r>
    </w:p>
    <w:p w:rsidR="00EC2A0D" w:rsidRDefault="0056286E">
      <w:pPr>
        <w:jc w:val="both"/>
        <w:rPr>
          <w:rStyle w:val="Fontdeparagrafimplicit"/>
          <w:i/>
          <w:sz w:val="20"/>
        </w:rPr>
      </w:pPr>
      <w:r>
        <w:rPr>
          <w:rStyle w:val="Fontdeparagrafimplicit"/>
          <w:i/>
          <w:sz w:val="20"/>
        </w:rPr>
        <w:t xml:space="preserve">Jud.fond </w:t>
      </w:r>
      <w:r w:rsidR="00E11BC3">
        <w:rPr>
          <w:rStyle w:val="Fontdeparagrafimplicit"/>
          <w:i/>
          <w:sz w:val="20"/>
        </w:rPr>
        <w:t>...</w:t>
      </w:r>
      <w:r>
        <w:rPr>
          <w:rStyle w:val="Fontdeparagrafimplicit"/>
          <w:i/>
          <w:sz w:val="20"/>
        </w:rPr>
        <w:t xml:space="preserve"> – Tribunalul </w:t>
      </w:r>
      <w:r w:rsidR="00FD5B49">
        <w:rPr>
          <w:rStyle w:val="Fontdeparagrafimplicit"/>
          <w:i/>
          <w:sz w:val="20"/>
        </w:rPr>
        <w:t>X</w:t>
      </w:r>
      <w:r>
        <w:rPr>
          <w:rStyle w:val="Fontdeparagrafimplicit"/>
          <w:i/>
          <w:sz w:val="20"/>
        </w:rPr>
        <w:t xml:space="preserve"> – Secţia </w:t>
      </w:r>
      <w:r>
        <w:rPr>
          <w:rStyle w:val="Fontdeparagrafimplicit"/>
          <w:i/>
          <w:sz w:val="20"/>
        </w:rPr>
        <w:t>CAF</w:t>
      </w:r>
    </w:p>
    <w:p w:rsidR="00EC2A0D" w:rsidRDefault="0056286E">
      <w:pPr>
        <w:jc w:val="both"/>
        <w:rPr>
          <w:rStyle w:val="Fontdeparagrafimplicit"/>
        </w:rPr>
      </w:pPr>
      <w:r>
        <w:rPr>
          <w:rStyle w:val="Fontdeparagrafimplicit"/>
          <w:i/>
          <w:sz w:val="20"/>
        </w:rPr>
        <w:t xml:space="preserve">Lucrate 2 com. la data de </w:t>
      </w:r>
    </w:p>
    <w:sectPr w:rsidR="00EC2A0D">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56286E">
      <w:r>
        <w:separator/>
      </w:r>
    </w:p>
  </w:endnote>
  <w:endnote w:type="continuationSeparator" w:id="0">
    <w:p w:rsidR="00000000" w:rsidRDefault="00562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A0D" w:rsidRDefault="0056286E">
    <w:pPr>
      <w:pStyle w:val="Subsol"/>
      <w:jc w:val="center"/>
    </w:pPr>
    <w:r>
      <w:fldChar w:fldCharType="begin"/>
    </w:r>
    <w:r>
      <w:instrText>PAGE   \* MERGEFORMAT</w:instrText>
    </w:r>
    <w:r>
      <w:fldChar w:fldCharType="separate"/>
    </w:r>
    <w:r>
      <w:rPr>
        <w:noProof/>
      </w:rPr>
      <w:t>8</w:t>
    </w:r>
    <w:r>
      <w:fldChar w:fldCharType="end"/>
    </w:r>
  </w:p>
  <w:p w:rsidR="00EC2A0D" w:rsidRDefault="00EC2A0D">
    <w:pPr>
      <w:pStyle w:val="Subsol"/>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56286E">
      <w:r>
        <w:separator/>
      </w:r>
    </w:p>
  </w:footnote>
  <w:footnote w:type="continuationSeparator" w:id="0">
    <w:p w:rsidR="00000000" w:rsidRDefault="005628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url" w:val="http://10.1.48.53:80/ecris_cdms/document_upload.aspx?id_document=200000004404473&amp;id_departament=58&amp;id_sesiune=4911157&amp;id_user=933&amp;id_institutie=2&amp;actiune=modifica"/>
  </w:docVars>
  <w:rsids>
    <w:rsidRoot w:val="00EC2A0D"/>
    <w:rsid w:val="000D4766"/>
    <w:rsid w:val="001902C8"/>
    <w:rsid w:val="00301D70"/>
    <w:rsid w:val="003903FA"/>
    <w:rsid w:val="00424037"/>
    <w:rsid w:val="0056286E"/>
    <w:rsid w:val="005F3778"/>
    <w:rsid w:val="008A58BB"/>
    <w:rsid w:val="00B521A6"/>
    <w:rsid w:val="00E11BC3"/>
    <w:rsid w:val="00EC2A0D"/>
    <w:rsid w:val="00EF0FA8"/>
    <w:rsid w:val="00FD5B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34AA0"/>
  <w15:docId w15:val="{DA607FEB-F586-4CCE-BA23-DC6874214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3">
    <w:name w:val="Titlu 3"/>
    <w:basedOn w:val="Normal"/>
    <w:next w:val="Normal"/>
    <w:link w:val="Titlu3Caracter"/>
    <w:qFormat/>
    <w:pPr>
      <w:keepNext/>
      <w:spacing w:before="240" w:after="60"/>
      <w:outlineLvl w:val="2"/>
    </w:pPr>
    <w:rPr>
      <w:rFonts w:ascii="Cambria" w:hAnsi="Cambria"/>
      <w:b/>
      <w:sz w:val="26"/>
    </w:rPr>
  </w:style>
  <w:style w:type="paragraph" w:styleId="NormalWeb">
    <w:name w:val="Normal (Web)"/>
    <w:basedOn w:val="Normal"/>
    <w:pPr>
      <w:spacing w:before="100" w:beforeAutospacing="1" w:after="100" w:afterAutospacing="1"/>
    </w:pPr>
  </w:style>
  <w:style w:type="paragraph" w:customStyle="1" w:styleId="Style9">
    <w:name w:val="Style9"/>
    <w:basedOn w:val="Normal"/>
    <w:pPr>
      <w:widowControl w:val="0"/>
      <w:spacing w:line="273" w:lineRule="exact"/>
      <w:ind w:firstLine="542"/>
      <w:jc w:val="both"/>
    </w:pPr>
    <w:rPr>
      <w:lang w:val="en-US"/>
    </w:r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Titlu3Caracter">
    <w:name w:val="Titlu 3 Caracter"/>
    <w:link w:val="Titlu3"/>
    <w:rPr>
      <w:rFonts w:ascii="Cambria" w:hAnsi="Cambria"/>
      <w:b/>
      <w:sz w:val="26"/>
    </w:rPr>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20</ap:TotalTime>
  <ap:Pages>8</ap:Pages>
  <ap:Words>3897</ap:Words>
  <ap:Characters>22604</ap:Characters>
  <ap:Application>Microsoft Office Word</ap:Application>
  <ap:DocSecurity>0</ap:DocSecurity>
  <ap:Lines>188</ap:Lines>
  <ap:Paragraphs>52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26449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