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863B54" w:rsidP="00863B54">
      <w:pPr>
        <w:rPr>
          <w:b/>
        </w:rPr>
      </w:pPr>
      <w:r>
        <w:rPr>
          <w:b/>
        </w:rPr>
        <w:t xml:space="preserve">         HOTĂRÂREA NR. 29</w:t>
      </w:r>
      <w:r>
        <w:rPr>
          <w:b/>
        </w:rPr>
        <w:t xml:space="preserve">                                                         CANDIDAT  A0009</w:t>
      </w:r>
    </w:p>
    <w:p w:rsidR="00BB5BB5">
      <w:pPr>
        <w:ind w:firstLine="567"/>
        <w:rPr>
          <w:rStyle w:val="Fontdeparagrafimplicit"/>
          <w:color w:val="BFBFBF"/>
        </w:rPr>
      </w:pPr>
      <w:r>
        <w:rPr>
          <w:rStyle w:val="Fontdeparagrafimplicit"/>
          <w:color w:val="BFBFBF"/>
        </w:rPr>
        <w:t>Document finalizat</w:t>
      </w:r>
    </w:p>
    <w:p w:rsidR="00BB5BB5">
      <w:pPr>
        <w:ind w:firstLine="567"/>
      </w:pPr>
      <w:r>
        <w:t>Cod ECLI    ECLI:RO:</w:t>
      </w:r>
      <w:r w:rsidR="0040397E">
        <w:t>...........</w:t>
      </w:r>
    </w:p>
    <w:p w:rsidR="00BB5BB5">
      <w:pPr>
        <w:ind w:firstLine="567"/>
      </w:pPr>
      <w:r>
        <w:t xml:space="preserve">Dosar nr. </w:t>
      </w:r>
      <w:r w:rsidR="0040397E">
        <w:t>............</w:t>
      </w:r>
    </w:p>
    <w:p w:rsidR="00BB5BB5">
      <w:pPr>
        <w:ind w:firstLine="567"/>
      </w:pPr>
    </w:p>
    <w:p w:rsidR="00BB5BB5">
      <w:pPr>
        <w:ind w:firstLine="567"/>
        <w:jc w:val="center"/>
      </w:pPr>
      <w:r>
        <w:t>ROMÂNIA</w:t>
      </w:r>
    </w:p>
    <w:p w:rsidR="00BB5BB5">
      <w:pPr>
        <w:ind w:firstLine="567"/>
        <w:jc w:val="center"/>
      </w:pPr>
      <w:r>
        <w:t xml:space="preserve">CURTEA DE APEL </w:t>
      </w:r>
      <w:r w:rsidR="0040397E">
        <w:t>.............</w:t>
      </w:r>
    </w:p>
    <w:p w:rsidR="00BB5BB5">
      <w:pPr>
        <w:ind w:firstLine="567"/>
        <w:jc w:val="center"/>
      </w:pPr>
      <w:r>
        <w:t xml:space="preserve">SECŢIA </w:t>
      </w:r>
      <w:r w:rsidR="0040397E">
        <w:t>............</w:t>
      </w:r>
      <w:r>
        <w:t>CONTENCIOS ADMINISTRATIV ŞI FISCAL</w:t>
      </w:r>
    </w:p>
    <w:p w:rsidR="00BB5BB5">
      <w:pPr>
        <w:ind w:firstLine="567"/>
        <w:jc w:val="center"/>
        <w:rPr>
          <w:rStyle w:val="Fontdeparagrafimplicit"/>
          <w:b/>
          <w:i/>
          <w:u w:val="single"/>
        </w:rPr>
      </w:pPr>
    </w:p>
    <w:p w:rsidR="0040397E">
      <w:pPr>
        <w:ind w:firstLine="567"/>
        <w:jc w:val="center"/>
        <w:rPr>
          <w:rStyle w:val="Fontdeparagrafimplicit"/>
          <w:b/>
          <w:i/>
          <w:u w:val="single"/>
        </w:rPr>
      </w:pPr>
      <w:r>
        <w:rPr>
          <w:rStyle w:val="Fontdeparagrafimplicit"/>
          <w:b/>
          <w:i/>
          <w:u w:val="single"/>
        </w:rPr>
        <w:t>DECIZIA CIVILĂ NR.</w:t>
      </w:r>
      <w:r>
        <w:rPr>
          <w:rStyle w:val="Fontdeparagrafimplicit"/>
          <w:b/>
          <w:i/>
          <w:u w:val="single"/>
        </w:rPr>
        <w:t>.........</w:t>
      </w:r>
    </w:p>
    <w:p w:rsidR="00BB5BB5">
      <w:pPr>
        <w:ind w:firstLine="567"/>
        <w:jc w:val="center"/>
      </w:pPr>
      <w:r>
        <w:t xml:space="preserve"> </w:t>
      </w:r>
      <w:r w:rsidR="00863B54">
        <w:t xml:space="preserve">Şedinţa publică din data de </w:t>
      </w:r>
      <w:r>
        <w:t>..............</w:t>
      </w:r>
    </w:p>
    <w:p w:rsidR="00BB5BB5">
      <w:pPr>
        <w:ind w:firstLine="567"/>
        <w:jc w:val="center"/>
      </w:pPr>
      <w:r>
        <w:t>Curtea constituită din:</w:t>
      </w:r>
    </w:p>
    <w:p w:rsidR="00BB5BB5">
      <w:pPr>
        <w:ind w:firstLine="567"/>
        <w:jc w:val="center"/>
      </w:pPr>
      <w:r>
        <w:t xml:space="preserve">Preşedinte: </w:t>
      </w:r>
      <w:r w:rsidR="0040397E">
        <w:t>................</w:t>
      </w:r>
    </w:p>
    <w:p w:rsidR="00BB5BB5">
      <w:pPr>
        <w:ind w:firstLine="567"/>
        <w:jc w:val="center"/>
      </w:pPr>
      <w:r>
        <w:t xml:space="preserve">Judecător: </w:t>
      </w:r>
      <w:r w:rsidR="0040397E">
        <w:t>................</w:t>
      </w:r>
    </w:p>
    <w:p w:rsidR="00BB5BB5">
      <w:pPr>
        <w:ind w:firstLine="567"/>
        <w:jc w:val="center"/>
      </w:pPr>
      <w:r>
        <w:t xml:space="preserve">Judecător: </w:t>
      </w:r>
      <w:r w:rsidR="0040397E">
        <w:t>CANDIDAT A0009</w:t>
      </w:r>
    </w:p>
    <w:p w:rsidR="00BB5BB5">
      <w:pPr>
        <w:ind w:firstLine="567"/>
        <w:jc w:val="center"/>
      </w:pPr>
      <w:r>
        <w:t xml:space="preserve">Grefier: </w:t>
      </w:r>
      <w:r w:rsidR="0040397E">
        <w:t>................</w:t>
      </w:r>
    </w:p>
    <w:p w:rsidR="00BB5BB5">
      <w:pPr>
        <w:ind w:firstLine="567"/>
        <w:jc w:val="both"/>
      </w:pPr>
    </w:p>
    <w:p w:rsidR="00BB5BB5">
      <w:pPr>
        <w:ind w:firstLine="567"/>
        <w:jc w:val="both"/>
      </w:pPr>
    </w:p>
    <w:p w:rsidR="00BB5BB5">
      <w:pPr>
        <w:ind w:firstLine="567"/>
        <w:jc w:val="both"/>
      </w:pPr>
      <w:r>
        <w:t xml:space="preserve">Pe rol se află judecarea cererii de revizuire formulate de revizuenta </w:t>
      </w:r>
      <w:r w:rsidR="0040397E">
        <w:rPr>
          <w:rStyle w:val="Fontdeparagrafimplicit"/>
          <w:b/>
        </w:rPr>
        <w:t>AB</w:t>
      </w:r>
      <w:r>
        <w:rPr>
          <w:rStyle w:val="Fontdeparagrafimplicit"/>
          <w:b/>
        </w:rPr>
        <w:t>,</w:t>
      </w:r>
      <w:r>
        <w:t xml:space="preserve"> împotriva </w:t>
      </w:r>
      <w:r>
        <w:rPr>
          <w:rStyle w:val="Fontdeparagrafimplicit"/>
          <w:i/>
          <w:color w:val="000000"/>
        </w:rPr>
        <w:t xml:space="preserve">sentinţei civile </w:t>
      </w:r>
      <w:r>
        <w:rPr>
          <w:rStyle w:val="Fontdeparagrafimplicit"/>
          <w:i/>
        </w:rPr>
        <w:t xml:space="preserve">nr. </w:t>
      </w:r>
      <w:r w:rsidR="0040397E">
        <w:rPr>
          <w:rStyle w:val="Fontdeparagrafimplicit"/>
          <w:i/>
        </w:rPr>
        <w:t xml:space="preserve">........... </w:t>
      </w:r>
      <w:r>
        <w:rPr>
          <w:rStyle w:val="Fontdeparagrafimplicit"/>
          <w:i/>
        </w:rPr>
        <w:t xml:space="preserve">pronunţate de </w:t>
      </w:r>
      <w:r w:rsidR="0040397E">
        <w:rPr>
          <w:rStyle w:val="Fontdeparagrafimplicit"/>
          <w:i/>
        </w:rPr>
        <w:t>Curtea de Apel ........ Secţia .........</w:t>
      </w:r>
      <w:r>
        <w:rPr>
          <w:rStyle w:val="Fontdeparagrafimplicit"/>
          <w:i/>
        </w:rPr>
        <w:t xml:space="preserve">contencios administrativ şi fiscal în dosarul nr. </w:t>
      </w:r>
      <w:r w:rsidR="0040397E">
        <w:rPr>
          <w:rStyle w:val="Fontdeparagrafimplicit"/>
          <w:i/>
        </w:rPr>
        <w:t xml:space="preserve"> .........</w:t>
      </w:r>
      <w:r>
        <w:t>, în contradictoriu cuintimaţii:</w:t>
      </w:r>
      <w:r>
        <w:rPr>
          <w:rStyle w:val="Fontdeparagrafimplicit"/>
          <w:b/>
        </w:rPr>
        <w:t xml:space="preserve">MINISTERUL MUNCII FAMILIEI PROTECTIEI SOCIALE SI PERSOANELOR VARSTNICE </w:t>
      </w:r>
      <w:r>
        <w:t>şi</w:t>
      </w:r>
      <w:r>
        <w:rPr>
          <w:rStyle w:val="Fontdeparagrafimplicit"/>
          <w:b/>
        </w:rPr>
        <w:t xml:space="preserve"> </w:t>
      </w:r>
      <w:r w:rsidR="0040397E">
        <w:rPr>
          <w:rStyle w:val="Fontdeparagrafimplicit"/>
          <w:b/>
        </w:rPr>
        <w:t>BC</w:t>
      </w:r>
      <w:r>
        <w:t>, având ca obiect „</w:t>
      </w:r>
      <w:r>
        <w:rPr>
          <w:rStyle w:val="Fontdeparagrafimplicit"/>
          <w:u w:val="single"/>
        </w:rPr>
        <w:t>litigiu privind funcţionarii publici</w:t>
      </w:r>
      <w:r>
        <w:t>”.</w:t>
      </w:r>
    </w:p>
    <w:p w:rsidR="00BB5BB5">
      <w:pPr>
        <w:ind w:firstLine="567"/>
        <w:jc w:val="both"/>
      </w:pPr>
      <w:r>
        <w:t>La apelul nominal făcut în şedinţă publică, în ordinea listei de şedinţă, au răspuns revizuenta, personal, cu datele de identificare menţionate în caietul grefierului de şedinţă şi asistată de avocat, cu împuternicire avocaţială depusă la dosar şi intimaţii, prin consilier juridic, cu delegaţie de reprezentare depusă la dosar.</w:t>
      </w:r>
    </w:p>
    <w:p w:rsidR="00BB5BB5">
      <w:pPr>
        <w:ind w:firstLine="567"/>
        <w:jc w:val="both"/>
      </w:pPr>
      <w:r>
        <w:t>Procedura de citare nu este legal îndeplinită.</w:t>
      </w:r>
    </w:p>
    <w:p w:rsidR="00BB5BB5">
      <w:pPr>
        <w:ind w:firstLine="567"/>
        <w:jc w:val="both"/>
      </w:pPr>
      <w:r>
        <w:t>S-a făcut referatul cauzei de către grefierul de şedinţă, după care,</w:t>
      </w:r>
    </w:p>
    <w:p w:rsidR="00BB5BB5">
      <w:pPr>
        <w:ind w:firstLine="567"/>
        <w:jc w:val="both"/>
      </w:pPr>
      <w:r>
        <w:t>Curtea observă că revizuenta nu a fost citată la domiciliul ales, însă apreciază că lipsa de procedură se acoperă prin prezenţa reprezentantului convenţional al revizuentei.</w:t>
      </w:r>
    </w:p>
    <w:p w:rsidR="00BB5BB5">
      <w:pPr>
        <w:ind w:firstLine="567"/>
        <w:jc w:val="both"/>
      </w:pPr>
      <w:r>
        <w:t xml:space="preserve">Instanţa constată că prin întâmpinare domnul </w:t>
      </w:r>
      <w:r w:rsidR="0040397E">
        <w:t>BC</w:t>
      </w:r>
      <w:r>
        <w:t xml:space="preserve"> a susţinut că, de principiu, nu poate avea calitate procesuală activă în procedura revizuirii, având în vedere soluţia pronunţată cu privire la excepţia lipsei calităţii în proces şi acordă cuvântul asupra acesteia.</w:t>
      </w:r>
    </w:p>
    <w:p w:rsidR="00BB5BB5">
      <w:pPr>
        <w:ind w:firstLine="567"/>
        <w:jc w:val="both"/>
      </w:pPr>
      <w:r>
        <w:t xml:space="preserve">Intimaţii, prin consilier juridic, având cuvântul, arată că domnul </w:t>
      </w:r>
      <w:r w:rsidR="0040397E">
        <w:t>BC</w:t>
      </w:r>
      <w:r>
        <w:t xml:space="preserve"> nu are calitate în prezenta cauză.</w:t>
      </w:r>
    </w:p>
    <w:p w:rsidR="00BB5BB5">
      <w:pPr>
        <w:ind w:firstLine="567"/>
        <w:jc w:val="both"/>
      </w:pPr>
      <w:r>
        <w:t>Revizuenta, prin avocat, având cuvântul, arată că lasă soluţia la aprecierea instanţei.</w:t>
      </w:r>
    </w:p>
    <w:p w:rsidR="00BB5BB5">
      <w:pPr>
        <w:ind w:firstLine="567"/>
        <w:jc w:val="both"/>
      </w:pPr>
      <w:r>
        <w:t>Curtea urmează că analizeze excepţia invocată şi acordă cuvântul asupra cererii de revizuire.</w:t>
      </w:r>
    </w:p>
    <w:p w:rsidR="00BB5BB5">
      <w:pPr>
        <w:ind w:firstLine="567"/>
        <w:jc w:val="both"/>
      </w:pPr>
      <w:r>
        <w:t xml:space="preserve">Revizuenta, prin avocat, solicită admiterea cererii de revizuire împotriva deciziei nr. </w:t>
      </w:r>
      <w:r w:rsidR="0040397E">
        <w:t>...........</w:t>
      </w:r>
      <w:r>
        <w:t xml:space="preserve">pronunţate de </w:t>
      </w:r>
      <w:r w:rsidR="0040397E">
        <w:t>Curtea de Apel ........ Secţia .........</w:t>
      </w:r>
      <w:r>
        <w:t xml:space="preserve">contencios administrativ şi fiscal în dosarul nr. </w:t>
      </w:r>
      <w:r w:rsidR="0040397E">
        <w:t xml:space="preserve"> .........</w:t>
      </w:r>
      <w:r>
        <w:t>. Mai arată că temeiurile de drept sunt prevederile art. 509 alin. 1 pct. 1 şi 5 C.proc.civ..</w:t>
      </w:r>
    </w:p>
    <w:p w:rsidR="00BB5BB5">
      <w:pPr>
        <w:ind w:firstLine="567"/>
        <w:jc w:val="both"/>
      </w:pPr>
      <w:r>
        <w:t xml:space="preserve">Menţionează că instanţa de recurs prin decizia civilă atacată a dat mai mult decât s-a cerut, fără a se pronunţa asupra excepţiilor invocate, respectiv excepţia nulităţii recursului ca nemotivat, având în vedere faptul că în principal motivul de recurs invocat de către recurenta Ministerul Muncii nu se circumscrie motivelor de nelegalitate reglementate de art. 488 alin.1 pct. 8 din C.proc.civ., ci reprezintă o veritabilă cerere de lămurire a sentinţei pronunţate de către instanţa de fond. Precizează că aceste aspecte ţineau de executarea sentinţei civile, recurenta având posibilitatea de a solicita lămurirea înţelesului sau aplicării dispozitivului </w:t>
      </w:r>
      <w:r>
        <w:t>sentinţei civile atacate pe calea contestaţiei la executare privind lămurirea înţelesului sau întinderii titlului executoriu, cu precizarea că acest din urmă mijloc procesual poate fi folosit exclusiv în cazul unei hotărâri judecătoreşti susceptibile de executare silită şi bineînţeles ulterior declanşării procedurii de executare silită. Astfel, apreciază că în temeiul dispozițiilor art.489 alin.2 C.proc.civ., cererea de recurs este nulă.</w:t>
      </w:r>
    </w:p>
    <w:p w:rsidR="00BB5BB5">
      <w:pPr>
        <w:ind w:firstLine="567"/>
        <w:jc w:val="both"/>
      </w:pPr>
      <w:r>
        <w:t>Învederează că instanţa de recurs nu s-a pronunţat asupra excepţiei de nulitate, încălcând principiul disponibilităţii şi reţinând o altă situaţie de fapt faţă de cea reţinută de instanţa de fond, în sensul că s-a pronunţat cu privire la toate aspectele avute în vedere de către instanţa de fond, imprimând astfel un caracter devolutiv cererii de recurs şi cu nesocotirea excepţiilor invocate a admis recursul, casând sentinţa pronunţată de instanţa de fond şi dând intimatei mai mult decât solicitase prin cererea de recurs.</w:t>
      </w:r>
    </w:p>
    <w:p w:rsidR="00BB5BB5">
      <w:pPr>
        <w:ind w:firstLine="567"/>
        <w:jc w:val="both"/>
      </w:pPr>
      <w:r>
        <w:t>Referitor la al doilea temei de drept invocat, respectiv, dispoziţiilor art. 509 alin. 1 pct.5 C.proc.civ. arată că în ceea ce priveşte materialul probator acesta a fost apreciat superficial de către instanţa de recurs.</w:t>
      </w:r>
    </w:p>
    <w:p w:rsidR="00BB5BB5">
      <w:pPr>
        <w:ind w:firstLine="567"/>
        <w:jc w:val="both"/>
      </w:pPr>
      <w:r>
        <w:t>Consideră că interpretarea pe care instanţa de recurs o dă normelor la care face trimitere este una incorectă, interpretarea corectă fiind că refuzul nejustificat se exprimă în scris în raport de actul de numire pe funcţia publică fiind un act subsecvent acestuia. Prin urmare, numirea pe funcţia publică nu trebuie făcută în urma unei cereri pe care revizuenta trebuia să o adreseze recurentei. În acest sens, arată că prezentarea funcţionarului public este un act ulterior numirii sale, iar nu premergător actului de administrare.</w:t>
      </w:r>
    </w:p>
    <w:p w:rsidR="00BB5BB5">
      <w:pPr>
        <w:ind w:firstLine="567"/>
        <w:jc w:val="both"/>
      </w:pPr>
      <w:r>
        <w:t>Menţionează că a solicitat ANFP să i se comunice dovada prin care ordinul de numire a fost trimis şi respectiv primit de către revizuentă şi a primit răspuns. Depune la dosar răspunsul primit de la ANFP, comunicând şi intimaţilor un exemplar. Tot cu privire la acest aspect, arată că este vorba despre o comunicare făcută de ANFP către revizuentă ulterior comunicării făcute Ministerului Muncii în data de 06.01.2016. Mai mult, arată că ANFP face menţiunea că ordinul respectiv a fost primit în data de 22.01.2016 de către revizuentă, aceasta neavând cum să facă cererea pe care a adresat-o Ministerului Muncii mai devreme de data de 22.01.2016, făcând-o în data de 25.01.2016.</w:t>
      </w:r>
    </w:p>
    <w:p w:rsidR="00BB5BB5">
      <w:pPr>
        <w:ind w:firstLine="567"/>
        <w:jc w:val="both"/>
      </w:pPr>
      <w:r>
        <w:t>În consecinţă, solicită admiterea cererii de revizuire.</w:t>
      </w:r>
    </w:p>
    <w:p w:rsidR="00BB5BB5">
      <w:pPr>
        <w:ind w:firstLine="567"/>
        <w:jc w:val="both"/>
      </w:pPr>
      <w:r>
        <w:t>Intimaţii, prin consilier juridic, având cuvântul, pun concluzii de respingere a cererii de revizuire, apreciind că este vorba despre o reluare a fondului şi a recursului. Această dovadă putea fi făcută încă din fond. Mai mult decât atât, arată că fiind invitată de către reprezentanţii Ministerului Muncii revizuenta nu s-a prezentat pentru deja se angajase la Ministerul Finanţelor Publice. Menţionează că nu a existat un raport de serviciu între Ministerul Muncii şi revizuentă din care să izvorască aceste daune solicitate.</w:t>
      </w:r>
    </w:p>
    <w:p w:rsidR="00BB5BB5">
      <w:pPr>
        <w:ind w:firstLine="567"/>
        <w:jc w:val="both"/>
      </w:pPr>
      <w:r>
        <w:t>Curtea reţine cauza în pronunţare.</w:t>
      </w:r>
    </w:p>
    <w:p w:rsidR="00BB5BB5">
      <w:pPr>
        <w:ind w:firstLine="567"/>
        <w:rPr>
          <w:rStyle w:val="Fontdeparagrafimplicit"/>
          <w:b/>
        </w:rPr>
      </w:pPr>
    </w:p>
    <w:p w:rsidR="00BB5BB5">
      <w:pPr>
        <w:ind w:firstLine="567"/>
        <w:rPr>
          <w:rStyle w:val="Fontdeparagrafimplicit"/>
          <w:b/>
        </w:rPr>
      </w:pPr>
    </w:p>
    <w:p w:rsidR="00BB5BB5">
      <w:pPr>
        <w:ind w:firstLine="567"/>
        <w:jc w:val="center"/>
        <w:rPr>
          <w:rStyle w:val="Fontdeparagrafimplicit"/>
          <w:b/>
        </w:rPr>
      </w:pPr>
      <w:r>
        <w:rPr>
          <w:rStyle w:val="Fontdeparagrafimplicit"/>
          <w:b/>
        </w:rPr>
        <w:t xml:space="preserve">CURTEA, </w:t>
      </w:r>
    </w:p>
    <w:p w:rsidR="00BB5BB5">
      <w:pPr>
        <w:ind w:firstLine="567"/>
        <w:jc w:val="center"/>
        <w:rPr>
          <w:rStyle w:val="Fontdeparagrafimplicit"/>
          <w:b/>
        </w:rPr>
      </w:pPr>
    </w:p>
    <w:p w:rsidR="00BB5BB5">
      <w:pPr>
        <w:tabs>
          <w:tab w:val="left" w:pos="9498"/>
        </w:tabs>
        <w:spacing w:after="200" w:line="276" w:lineRule="auto"/>
        <w:ind w:firstLine="567"/>
        <w:jc w:val="both"/>
        <w:rPr>
          <w:rStyle w:val="Fontdeparagrafimplicit"/>
          <w:b/>
        </w:rPr>
      </w:pPr>
      <w:r>
        <w:rPr>
          <w:rStyle w:val="Fontdeparagrafimplicit"/>
          <w:b/>
        </w:rPr>
        <w:t>Deliberând asupra prezentei contestaţii în anulare, constată următoarele:</w:t>
      </w:r>
    </w:p>
    <w:p w:rsidR="00BB5BB5">
      <w:pPr>
        <w:numPr>
          <w:ilvl w:val="0"/>
          <w:numId w:val="1"/>
        </w:numPr>
        <w:spacing w:after="200" w:line="276" w:lineRule="auto"/>
        <w:ind w:left="0" w:firstLine="567"/>
        <w:contextualSpacing/>
        <w:jc w:val="both"/>
        <w:rPr>
          <w:rStyle w:val="Fontdeparagrafimplicit"/>
          <w:b/>
        </w:rPr>
      </w:pPr>
      <w:r>
        <w:rPr>
          <w:rStyle w:val="Fontdeparagrafimplicit"/>
          <w:b/>
        </w:rPr>
        <w:t>Decizie instanței de recurs.</w:t>
      </w:r>
    </w:p>
    <w:p w:rsidR="00BB5BB5">
      <w:pPr>
        <w:ind w:firstLine="567"/>
        <w:jc w:val="both"/>
        <w:rPr>
          <w:rStyle w:val="Fontdeparagrafimplicit"/>
        </w:rPr>
      </w:pPr>
    </w:p>
    <w:p w:rsidR="00BB5BB5">
      <w:pPr>
        <w:ind w:firstLine="567"/>
        <w:jc w:val="both"/>
      </w:pPr>
      <w:r>
        <w:t xml:space="preserve">Prin </w:t>
      </w:r>
      <w:r>
        <w:rPr>
          <w:rStyle w:val="Fontdeparagrafimplicit"/>
          <w:b/>
        </w:rPr>
        <w:t xml:space="preserve">decizia nr. </w:t>
      </w:r>
      <w:r w:rsidR="0040397E">
        <w:rPr>
          <w:rStyle w:val="Fontdeparagrafimplicit"/>
          <w:b/>
        </w:rPr>
        <w:t>.............</w:t>
      </w:r>
      <w:r>
        <w:t>, pronunțată n dosarul nr</w:t>
      </w:r>
      <w:r w:rsidR="0040397E">
        <w:t xml:space="preserve"> .........</w:t>
      </w:r>
      <w:r>
        <w:t xml:space="preserve">, </w:t>
      </w:r>
      <w:r w:rsidR="0040397E">
        <w:t>Curtea de Apel ..........</w:t>
      </w:r>
      <w:r>
        <w:t xml:space="preserve">- Secţia </w:t>
      </w:r>
      <w:r w:rsidR="0040397E">
        <w:t>.........</w:t>
      </w:r>
      <w:r>
        <w:t xml:space="preserve">de contencios administrativ și fiscal a admis recursul formulat de Ministerul Muncii, Familiei, Protecției Sociale și Persoanelor Vârstnice formulat în contradictoriu cu intimații reclamanți </w:t>
      </w:r>
      <w:r w:rsidR="0040397E">
        <w:t>AB</w:t>
      </w:r>
      <w:r>
        <w:t xml:space="preserve"> și </w:t>
      </w:r>
      <w:r w:rsidR="0040397E">
        <w:t>BC</w:t>
      </w:r>
      <w:r>
        <w:t>, a casat în parte sentința și, rejudecând cauza a respins ca neîntemeiată cererea de chemare în judecată.</w:t>
      </w:r>
    </w:p>
    <w:p w:rsidR="00BB5BB5">
      <w:pPr>
        <w:ind w:firstLine="567"/>
        <w:jc w:val="both"/>
        <w:rPr>
          <w:rStyle w:val="Fontdeparagrafimplicit"/>
          <w:b/>
        </w:rPr>
      </w:pPr>
    </w:p>
    <w:p w:rsidR="00BB5BB5">
      <w:pPr>
        <w:numPr>
          <w:ilvl w:val="0"/>
          <w:numId w:val="1"/>
        </w:numPr>
        <w:spacing w:after="200" w:line="276" w:lineRule="auto"/>
        <w:ind w:left="0" w:firstLine="567"/>
        <w:contextualSpacing/>
        <w:jc w:val="both"/>
        <w:rPr>
          <w:rStyle w:val="Fontdeparagrafimplicit"/>
          <w:b/>
        </w:rPr>
      </w:pPr>
      <w:r>
        <w:rPr>
          <w:rStyle w:val="Fontdeparagrafimplicit"/>
          <w:b/>
        </w:rPr>
        <w:t>Cererea de revizuire.</w:t>
      </w:r>
    </w:p>
    <w:p w:rsidR="00BB5BB5">
      <w:pPr>
        <w:ind w:firstLine="567"/>
        <w:jc w:val="both"/>
        <w:rPr>
          <w:rStyle w:val="Fontdeparagrafimplicit"/>
        </w:rPr>
      </w:pPr>
    </w:p>
    <w:p w:rsidR="00BB5BB5">
      <w:pPr>
        <w:ind w:firstLine="567"/>
        <w:jc w:val="both"/>
      </w:pPr>
      <w:r>
        <w:t xml:space="preserve">Împotriva acestei decizii, </w:t>
      </w:r>
      <w:r w:rsidR="0040397E">
        <w:t>AB</w:t>
      </w:r>
      <w:r>
        <w:t xml:space="preserve"> a formulat revizuire, solicitând admiterea cererii de revizuire, schimbarea în tot deciziei atacate, în sensul respingerii recursului ca nefondat.</w:t>
      </w:r>
    </w:p>
    <w:p w:rsidR="00BB5BB5">
      <w:pPr>
        <w:ind w:firstLine="567"/>
        <w:jc w:val="both"/>
      </w:pPr>
      <w:r>
        <w:t>În motivarea cererii de revizuire s-a arătat că instanța de recurs, pe de o parte, a dat mai mul decât s-a cerut, fără a se pronunța asupra excepției nulității recursului invocată prin întâmpinare, iar, pe de altă parte, a apreciat superficial materialul probator, dând o interpretare forțată art. 2 alin. 3 și 4 din Ordinul nr. 4375/10.12.2015. Concret, instanța de recurs a reținut greșit că ordinul menționat impune în sarcina revizuentei obligația de a formula o cerere sau de a se prezenta la instituția publică la care urma să se facă reîncadrarea. În plus s-a arătat că Ordinul nr. 4375/10.12.2015 i-a fost comunicat  în data de 22.01.2016, astfel că cererea sa de numire pe funcția publică formulată la data de 25.01.2016 s-a făcut cu respectarea dispozițiilor art. 2 alin. 3 și 4 din ordinul menționat.</w:t>
      </w:r>
    </w:p>
    <w:p w:rsidR="00BB5BB5">
      <w:pPr>
        <w:ind w:firstLine="567"/>
        <w:jc w:val="both"/>
      </w:pPr>
      <w:r>
        <w:t>În drept, au fost invocate dispozițiile art. 509 alin. 1 pct. 1 și 5 C.p.civ.</w:t>
      </w:r>
    </w:p>
    <w:p w:rsidR="00BB5BB5">
      <w:pPr>
        <w:ind w:firstLine="567"/>
        <w:jc w:val="both"/>
      </w:pPr>
      <w:r>
        <w:t>În probațiune s-a solicitat încuviințarea administrării probei cu înscrisuri.</w:t>
      </w:r>
    </w:p>
    <w:p w:rsidR="00BB5BB5">
      <w:pPr>
        <w:ind w:firstLine="567"/>
        <w:jc w:val="both"/>
        <w:rPr>
          <w:rStyle w:val="Fontdeparagrafimplicit"/>
          <w:b/>
        </w:rPr>
      </w:pPr>
    </w:p>
    <w:p w:rsidR="00BB5BB5">
      <w:pPr>
        <w:numPr>
          <w:ilvl w:val="0"/>
          <w:numId w:val="1"/>
        </w:numPr>
        <w:spacing w:after="200" w:line="276" w:lineRule="auto"/>
        <w:ind w:left="0" w:firstLine="567"/>
        <w:contextualSpacing/>
        <w:jc w:val="both"/>
        <w:rPr>
          <w:rStyle w:val="Fontdeparagrafimplicit"/>
          <w:b/>
        </w:rPr>
      </w:pPr>
      <w:r>
        <w:rPr>
          <w:rStyle w:val="Fontdeparagrafimplicit"/>
          <w:b/>
        </w:rPr>
        <w:t>Întâmpinările.</w:t>
      </w:r>
    </w:p>
    <w:p w:rsidR="00BB5BB5">
      <w:pPr>
        <w:ind w:firstLine="567"/>
        <w:jc w:val="both"/>
        <w:rPr>
          <w:rStyle w:val="Fontdeparagrafimplicit"/>
        </w:rPr>
      </w:pPr>
    </w:p>
    <w:p w:rsidR="00BB5BB5">
      <w:pPr>
        <w:ind w:firstLine="567"/>
        <w:jc w:val="both"/>
      </w:pPr>
      <w:r>
        <w:t xml:space="preserve">La data de 05.10.2018, intimatul </w:t>
      </w:r>
      <w:r w:rsidR="0040397E">
        <w:t xml:space="preserve">BC </w:t>
      </w:r>
      <w:r>
        <w:t>a formulat întâmpinare (filele 12-14), prin care a invocat excepția lipsei calității sale procesual pasive, motivată din perspectiva împrejurării că, în privința sa, prin sentința care a făcut obiectul recursului finalizat cu pronunțarea deciziei supuse prezentei revizuiri, s-a admis excepția lipsei calității procesuale pasive, iar acea parte a sentinței nu a fost criticată în recurs, rămânând definitivă. Or, de vreme ce nu a fost parte în calea de atac a recursului, nu poate fi parte nici în calea de atac a revizuirii îndreptate împotriva deciziei pronunțate în recurs.</w:t>
      </w:r>
    </w:p>
    <w:p w:rsidR="00BB5BB5">
      <w:pPr>
        <w:ind w:firstLine="567"/>
        <w:jc w:val="both"/>
      </w:pPr>
      <w:r>
        <w:t>În drept, au fost invocate dispozițiile art. 205 C.p.civ.</w:t>
      </w:r>
    </w:p>
    <w:p w:rsidR="00BB5BB5">
      <w:pPr>
        <w:ind w:firstLine="567"/>
        <w:jc w:val="both"/>
      </w:pPr>
    </w:p>
    <w:p w:rsidR="00BB5BB5">
      <w:pPr>
        <w:ind w:firstLine="567"/>
        <w:jc w:val="both"/>
      </w:pPr>
      <w:r>
        <w:t xml:space="preserve">La data de 05.10.2018, intimatul Ministerul Muncii și Justiției Sociale a depus întâmpinare (filele 15-17), prin care a invocat excepția lipsei calității procesuale pasive a intimatului </w:t>
      </w:r>
      <w:r w:rsidR="0040397E">
        <w:t>BC</w:t>
      </w:r>
      <w:r>
        <w:t>, pentru argumente similare cu cele prezentate de acesta din urmă, iar, relativ la fondul cererii de revizuire, a arătat că se impune respingerea cererii de revizuire, instanța de recurs pronunțând o decizie legală.</w:t>
      </w:r>
    </w:p>
    <w:p w:rsidR="00BB5BB5">
      <w:pPr>
        <w:ind w:firstLine="567"/>
        <w:jc w:val="both"/>
      </w:pPr>
      <w:r>
        <w:t>În drept, au fost invocate dispozițiile art. 205 C.p.civ.</w:t>
      </w:r>
    </w:p>
    <w:p w:rsidR="00BB5BB5">
      <w:pPr>
        <w:ind w:firstLine="567"/>
        <w:jc w:val="both"/>
      </w:pPr>
    </w:p>
    <w:p w:rsidR="00BB5BB5">
      <w:pPr>
        <w:numPr>
          <w:ilvl w:val="0"/>
          <w:numId w:val="1"/>
        </w:numPr>
        <w:spacing w:after="200" w:line="276" w:lineRule="auto"/>
        <w:ind w:left="0" w:firstLine="567"/>
        <w:contextualSpacing/>
        <w:jc w:val="both"/>
        <w:rPr>
          <w:rStyle w:val="Fontdeparagrafimplicit"/>
          <w:b/>
        </w:rPr>
      </w:pPr>
      <w:r>
        <w:rPr>
          <w:rStyle w:val="Fontdeparagrafimplicit"/>
          <w:b/>
        </w:rPr>
        <w:t>Soluția instanței de revizuire.</w:t>
      </w:r>
    </w:p>
    <w:p w:rsidR="00BB5BB5">
      <w:pPr>
        <w:ind w:firstLine="567"/>
        <w:jc w:val="both"/>
        <w:rPr>
          <w:rStyle w:val="Fontdeparagrafimplicit"/>
          <w:b/>
        </w:rPr>
      </w:pPr>
    </w:p>
    <w:p w:rsidR="00BB5BB5">
      <w:pPr>
        <w:ind w:firstLine="567"/>
        <w:jc w:val="both"/>
        <w:rPr>
          <w:rStyle w:val="Fontdeparagrafimplicit"/>
          <w:b/>
        </w:rPr>
      </w:pPr>
      <w:r>
        <w:rPr>
          <w:rStyle w:val="Fontdeparagrafimplicit"/>
          <w:b/>
        </w:rPr>
        <w:t>IV.1. Excepția lipsei calității procesuale pasive.</w:t>
      </w:r>
    </w:p>
    <w:p w:rsidR="00BB5BB5">
      <w:pPr>
        <w:ind w:firstLine="567"/>
        <w:jc w:val="both"/>
        <w:rPr>
          <w:rStyle w:val="Fontdeparagrafimplicit"/>
          <w:color w:val="FF0000"/>
        </w:rPr>
      </w:pPr>
    </w:p>
    <w:p w:rsidR="00BB5BB5">
      <w:pPr>
        <w:ind w:firstLine="567"/>
        <w:jc w:val="both"/>
      </w:pPr>
      <w:r>
        <w:t>Este de principiu că în cadrul unei cereri de revizuire au calitate procesuală părțile care au figurat în procesul finalizat cu hotărârea supusă revizuirii.</w:t>
      </w:r>
    </w:p>
    <w:p w:rsidR="00BB5BB5">
      <w:pPr>
        <w:ind w:firstLine="567"/>
        <w:jc w:val="both"/>
      </w:pPr>
      <w:r>
        <w:t xml:space="preserve">Întrucât prin sentința civilă nr. </w:t>
      </w:r>
      <w:r w:rsidR="0040397E">
        <w:t xml:space="preserve">........... </w:t>
      </w:r>
      <w:r>
        <w:t xml:space="preserve">s-a admis excepția lipsei calități procesuale pasive a domnului </w:t>
      </w:r>
      <w:r w:rsidR="0040397E">
        <w:t>BC</w:t>
      </w:r>
      <w:r>
        <w:t>, iar această dezlegare nu a făcut obiectul criticilor în recurs, Curtea concluzionează că aspectul referitor la calitatea procesuală pasivă a intimatului a fost tranșat cu caracter definitiv, astfel că nu a avut calitatea de parte în etapa procesuală a recursului.</w:t>
      </w:r>
    </w:p>
    <w:p w:rsidR="00BB5BB5">
      <w:pPr>
        <w:ind w:firstLine="567"/>
        <w:jc w:val="both"/>
      </w:pPr>
      <w:r>
        <w:t xml:space="preserve">Pentru considerentele expuse, Curtea va admite excepția lipsei calității procesuale pasive a intimatului </w:t>
      </w:r>
      <w:r w:rsidR="0040397E">
        <w:t>BC</w:t>
      </w:r>
      <w:r>
        <w:t>, cu consecința respingerii cererii de revizuire formulată în contradictoriu cu acesta, ca fiind îndreptată împotriva unei persoane fără calitate procesuală pasivă.</w:t>
      </w:r>
    </w:p>
    <w:p w:rsidR="00BB5BB5">
      <w:pPr>
        <w:ind w:firstLine="567"/>
        <w:jc w:val="both"/>
        <w:rPr>
          <w:rStyle w:val="Fontdeparagrafimplicit"/>
          <w:b/>
        </w:rPr>
      </w:pPr>
    </w:p>
    <w:p w:rsidR="00BB5BB5">
      <w:pPr>
        <w:ind w:firstLine="567"/>
        <w:jc w:val="both"/>
        <w:rPr>
          <w:rStyle w:val="Fontdeparagrafimplicit"/>
          <w:b/>
        </w:rPr>
      </w:pPr>
      <w:r>
        <w:rPr>
          <w:rStyle w:val="Fontdeparagrafimplicit"/>
          <w:b/>
        </w:rPr>
        <w:t>IV.2 Soluția asupra cererii de revizuire.</w:t>
      </w:r>
    </w:p>
    <w:p w:rsidR="00BB5BB5">
      <w:pPr>
        <w:ind w:firstLine="567"/>
        <w:jc w:val="both"/>
        <w:rPr>
          <w:rStyle w:val="Fontdeparagrafimplicit"/>
        </w:rPr>
      </w:pPr>
    </w:p>
    <w:p w:rsidR="00BB5BB5">
      <w:pPr>
        <w:ind w:firstLine="567"/>
        <w:jc w:val="both"/>
        <w:rPr>
          <w:rStyle w:val="Fontdeparagrafimplicit"/>
        </w:rPr>
      </w:pPr>
    </w:p>
    <w:p w:rsidR="00BB5BB5">
      <w:pPr>
        <w:ind w:firstLine="567"/>
        <w:jc w:val="both"/>
      </w:pPr>
      <w:r>
        <w:t>Curtea constată că revizuenta a invocat două dintre cazurile de revizuire reglementate de art. 509 C.p.civ., respectiv cele de la pct. 1 și 5, acestea urmând a fi analizate distinct în cele ce succed.</w:t>
      </w:r>
    </w:p>
    <w:p w:rsidR="00BB5BB5">
      <w:pPr>
        <w:ind w:firstLine="567"/>
        <w:jc w:val="both"/>
      </w:pPr>
    </w:p>
    <w:p w:rsidR="00BB5BB5">
      <w:pPr>
        <w:numPr>
          <w:ilvl w:val="0"/>
          <w:numId w:val="2"/>
        </w:numPr>
        <w:spacing w:after="200" w:line="276" w:lineRule="auto"/>
        <w:ind w:left="0" w:firstLine="567"/>
        <w:contextualSpacing/>
        <w:jc w:val="both"/>
      </w:pPr>
      <w:r>
        <w:t>instanța „s-a pronunţat asupra unor lucruri care nu s-au cerut sau nu s-a pronunţat asupra unui lucru cerut ori s-a dat mai mult decât s-a cerut;” – art. 509 alin. 1 pct. 1 C.p.civ.</w:t>
      </w:r>
    </w:p>
    <w:p w:rsidR="00BB5BB5">
      <w:pPr>
        <w:ind w:firstLine="567"/>
        <w:jc w:val="both"/>
      </w:pPr>
    </w:p>
    <w:p w:rsidR="00BB5BB5">
      <w:pPr>
        <w:ind w:firstLine="567"/>
        <w:jc w:val="both"/>
      </w:pPr>
      <w:r>
        <w:t xml:space="preserve">În susținerea acestui caz de revizuire, s-a arătat că, întrucât instanța de casare nu s-a pronunțat asupra excepției nulității recursului, a ajuns să soluționeze cauza pe fond. </w:t>
      </w:r>
    </w:p>
    <w:p w:rsidR="00BB5BB5">
      <w:pPr>
        <w:ind w:firstLine="567"/>
        <w:jc w:val="both"/>
      </w:pPr>
      <w:r>
        <w:t>Curtea constată că revizuirea pentru acest motiv se impune a fi respinsă întrucât argumentele invocate de revizuentă nu se încadrează în situațiile  reglementate de art. 509 alin. 1 pct. 1 C.p.civ., textul având în vedere ipotezele extra petita, minus petita sau plus petita,.</w:t>
      </w:r>
    </w:p>
    <w:p w:rsidR="00BB5BB5">
      <w:pPr>
        <w:ind w:firstLine="567"/>
        <w:jc w:val="both"/>
      </w:pPr>
      <w:r>
        <w:t>Dintre cele trei ipoteze, în prezenta cale extraordinară de atac, revizuenta a făcut referire la plus petita, adică la situația în care instanța a dat mai mult decât s-a cerut.</w:t>
      </w:r>
    </w:p>
    <w:p w:rsidR="00BB5BB5">
      <w:pPr>
        <w:ind w:firstLine="567"/>
        <w:jc w:val="both"/>
      </w:pPr>
      <w:r>
        <w:t>Pentru a decide dacă este incident cazul de revizuire de la pct. 1, în varianta plus petita, trebuie să ne raportăm la obiectul cererii de chemare în judecată.</w:t>
      </w:r>
    </w:p>
    <w:p w:rsidR="00BB5BB5">
      <w:pPr>
        <w:ind w:firstLine="567"/>
        <w:jc w:val="both"/>
      </w:pPr>
      <w:r>
        <w:t>Curtea nu poate identifica vreo dispoziție în cuprinsul deciziei care să ducă la concluzia că instanța de recurs, după casarea sentinței și reținerea cauzei spre rejudecare pe fond, prin respingerea acțiunii ca neîntemeiată, a dat  mai mult decât s-a cerut.</w:t>
      </w:r>
    </w:p>
    <w:p w:rsidR="00BB5BB5">
      <w:pPr>
        <w:ind w:firstLine="567"/>
        <w:jc w:val="both"/>
      </w:pPr>
      <w:r>
        <w:t>În lumina celor expuse, Curtea concluzionează că omisiunea instanței de recurs de a se pronunța asupra excepției nulității recursului nu poate reprezenta un plus petita.</w:t>
      </w:r>
    </w:p>
    <w:p w:rsidR="00BB5BB5">
      <w:pPr>
        <w:ind w:firstLine="567"/>
        <w:jc w:val="both"/>
      </w:pPr>
      <w:r>
        <w:t>Mai mult decât atât, din cuprinsul încheierii de ședință din data de 05.12.2017 (fila 91 - dosar recurs), rezultă că instanța de recurs s-a pronunțat asupra excepției nulității căii de atac, respingând-o ca neîntemeiată.</w:t>
      </w:r>
    </w:p>
    <w:p w:rsidR="00BB5BB5">
      <w:pPr>
        <w:ind w:firstLine="567"/>
        <w:jc w:val="both"/>
      </w:pPr>
      <w:r>
        <w:t xml:space="preserve">În sfârșit, Curtea reține că nici argumentele prin care se reiau, în realitate, motivele pentru care s-a solicitat constatarea nulității recursului nu pot determina admiterea cererii de revizuire întrucât, beneficiind ce cele prezentate supra cu privire la semnificația </w:t>
      </w:r>
      <w:r>
        <w:rPr>
          <w:rStyle w:val="Fontdeparagrafimplicit"/>
          <w:i/>
        </w:rPr>
        <w:t>plus petita</w:t>
      </w:r>
      <w:r>
        <w:t xml:space="preserve"> și la constatarea că instanța de casare s-a pronunțat asupra excepției nulității recursului, prin formularea unei cereri de revizuire nu este posibilă formularea unui recurs la recurs.</w:t>
      </w:r>
    </w:p>
    <w:p w:rsidR="00BB5BB5">
      <w:pPr>
        <w:ind w:firstLine="567"/>
        <w:jc w:val="both"/>
      </w:pPr>
    </w:p>
    <w:p w:rsidR="00BB5BB5">
      <w:pPr>
        <w:numPr>
          <w:ilvl w:val="0"/>
          <w:numId w:val="2"/>
        </w:numPr>
        <w:spacing w:after="200" w:line="276" w:lineRule="auto"/>
        <w:ind w:left="0" w:firstLine="567"/>
        <w:contextualSpacing/>
        <w:jc w:val="both"/>
      </w:pPr>
      <w:r>
        <w:t>„după darea hotărârii, s-au descoperit înscrisuri doveditoare, reţinute de partea potrivnică sau care nu au putut fi înfăţişate dintr-o împrejurare mai presus de voinţa părţilor;” – art. 509 alin. 1 pct. 1 C.p.civ.</w:t>
      </w:r>
    </w:p>
    <w:p w:rsidR="00BB5BB5">
      <w:pPr>
        <w:spacing w:after="200" w:line="276" w:lineRule="auto"/>
        <w:ind w:firstLine="567"/>
        <w:contextualSpacing/>
        <w:jc w:val="both"/>
      </w:pPr>
    </w:p>
    <w:p w:rsidR="00BB5BB5">
      <w:pPr>
        <w:spacing w:after="200" w:line="276" w:lineRule="auto"/>
        <w:ind w:firstLine="567"/>
        <w:contextualSpacing/>
        <w:jc w:val="both"/>
      </w:pPr>
      <w:r>
        <w:t xml:space="preserve">Din interpretarea acestor dispoziţii legale, în doctrina de specialitate şi practica judiciară s-a statuat că, pentru admiterea cererii de revizuire, trebuie îndeplinite </w:t>
      </w:r>
      <w:r>
        <w:rPr>
          <w:rStyle w:val="Fontdeparagrafimplicit"/>
          <w:u w:val="single"/>
        </w:rPr>
        <w:t xml:space="preserve">cumulativ </w:t>
      </w:r>
      <w:r>
        <w:t>următoarele condiţii: a) partea interesată să se bazeze pe un înscris probator nou, respectiv care să nu fi fost folosit în proces până la acel moment; b) înscrisul să fi existat la data când a fost pronunţată hotărârea ce se cere a fi revizuită; c) înscrisul să nu fi putut fi produs în procesul în care s-a pronunţat hotărârea atacată, fie pentru că a fost reţinut de partea potrivnică, fie dintr-o împrejurare mai presus de voinţa părţii; d) înscrisul să fie determinant, în sensul că dacă ar fi fost cunoscut de instanţă cu ocazia judecării pricinii, soluţia ar fi putut fi alta decât cea pronunţată; e) înscrisul trebuie prezentat de partea care exercită revizuirea şi nu se poate pretinde instanţei să-l administreze din oficiu.</w:t>
      </w:r>
    </w:p>
    <w:p w:rsidR="00BB5BB5">
      <w:pPr>
        <w:spacing w:after="200" w:line="276" w:lineRule="auto"/>
        <w:ind w:firstLine="567"/>
        <w:contextualSpacing/>
        <w:jc w:val="both"/>
      </w:pPr>
      <w:r>
        <w:t>În urma examinării deciziei pronunțate în recurs, Curtea observă că instanța de casare a admis recursul și, subsecvent, a respins acțiunea ca neîntemeiată pentru două argumente:</w:t>
      </w:r>
    </w:p>
    <w:p w:rsidR="00BB5BB5">
      <w:pPr>
        <w:spacing w:after="200" w:line="276" w:lineRule="auto"/>
        <w:ind w:firstLine="567"/>
        <w:contextualSpacing/>
        <w:jc w:val="both"/>
      </w:pPr>
      <w:r>
        <w:t xml:space="preserve">- „deşi ordinul fusese comunicat de către ANFP şi reclamantei </w:t>
      </w:r>
      <w:r w:rsidR="0040397E">
        <w:t>AB</w:t>
      </w:r>
      <w:r>
        <w:t xml:space="preserve">, conform menţiunilor din cuprinsul acestuia, situaţie necontestată de aceasta, a depus la registratura generală a MMJS cu nr. </w:t>
      </w:r>
      <w:r w:rsidR="0040397E">
        <w:t>.........</w:t>
      </w:r>
      <w:r>
        <w:t xml:space="preserve">/25.01.2016, cererea de numire ca urmare a redistribuirii, deşi în cuprinsul ordinului înregistrat la MMJS cu nr. </w:t>
      </w:r>
      <w:r w:rsidR="0040397E">
        <w:t>.........</w:t>
      </w:r>
      <w:r>
        <w:t xml:space="preserve">/07.01.2016, se prevedea că instituţia/autoritatea publică are obligaţia emiterii actului administrativ de numire în cel mult 10 zile lucrătoare de la data comunicării ordinului, iar la art. 2 alin.(4) din se menţiona că “neprezentarea funcţionarului public în vederea numirii constituie refuz al funcţiei publice în care a fost redistribuit. Reclamanta nu a susţinut că nu cunoştea de obligaţia sa de a se prezenta în vederea numirii, că nu i-ar fi fost comunicat Ordinul de către ANFP sau că nu cunoştea că în termen de 10 zile pârâtul trebuia să emită ordinul de numire pe funcţia publică pe care a fost redistribuită, susţinând că nu era obligată să formuleze o cerere de numire, pârâtul având obligaţia să execute Ordinul ANFP, din oficiu. </w:t>
      </w:r>
    </w:p>
    <w:p w:rsidR="00BB5BB5">
      <w:pPr>
        <w:spacing w:after="200" w:line="276" w:lineRule="auto"/>
        <w:ind w:firstLine="567"/>
        <w:contextualSpacing/>
        <w:jc w:val="both"/>
      </w:pPr>
      <w:r>
        <w:t>Însă, numirea în funcţia publică se face, chiar şi urmare a redistribuirii, cu acordul funcţionarului public în cauză, care avea obligaţia, astfel cum rezultă din cuprinsul art.3 şi 4 din ordin, ca în termen de 5 zile de la numire să comunice refuzul său scris, ori, în lipsă de refuz expres scris, să se prezinte, înlăuntrul termenului de 10 zile în care autoritatea trebuia să emită ordinul şi să-l comunice ANFP, să se prezinte „în vederea numirii”, altfel urmând a se considera refuz.”.</w:t>
      </w:r>
    </w:p>
    <w:p w:rsidR="00BB5BB5">
      <w:pPr>
        <w:spacing w:after="200" w:line="276" w:lineRule="auto"/>
        <w:ind w:firstLine="567"/>
        <w:contextualSpacing/>
        <w:jc w:val="both"/>
      </w:pPr>
      <w:r>
        <w:t xml:space="preserve">În condițiile în care instanța de recurs a reținut în cuprinsul deciziei că „Reclamanta nu a susţinut că nu cunoştea de obligaţia sa de a se prezenta în vederea numirii, că nu i-ar fi fost comunicat Ordinul de către ANFP sau că nu cunoştea că în termen de 10 zile pârâtul trebuia să emită ordinul de numire pe funcţia publică pe care a fost redistribuită, (…), Curtea  apreciază ca fiind stabilit faptul că o astfel de apărare nu a fost invocată în nici în fața primei instanțe și nici în calea extraordinară de atac a recursului. </w:t>
      </w:r>
    </w:p>
    <w:p w:rsidR="00BB5BB5">
      <w:pPr>
        <w:spacing w:after="200" w:line="276" w:lineRule="auto"/>
        <w:ind w:firstLine="567"/>
        <w:contextualSpacing/>
        <w:jc w:val="both"/>
      </w:pPr>
      <w:r>
        <w:t>Or, formularea unei căi extraordinare de atac în cadrul căreia să fie invocate argumente diferite de cele ridicate în fața primei instanțe și a instanței de recurs nu este permisă, astfel că nici înscrisurile invocate în dovedirea acestora nu întrunesc condițiile de la art. 509 alin. 1 pct. 5 C.p.civ.</w:t>
      </w:r>
    </w:p>
    <w:p w:rsidR="00BB5BB5">
      <w:pPr>
        <w:spacing w:after="200" w:line="276" w:lineRule="auto"/>
        <w:ind w:firstLine="567"/>
        <w:contextualSpacing/>
        <w:jc w:val="both"/>
      </w:pPr>
      <w:r>
        <w:t>În plus, Curtea observă instanța de recurs a motivat soluția pronunțată nu doar pornind de la faptul că nu s-a contestat comunicarea ordinului, dar și dintr-o a doua perspectivă.</w:t>
      </w:r>
    </w:p>
    <w:p w:rsidR="00BB5BB5">
      <w:pPr>
        <w:spacing w:after="200" w:line="276" w:lineRule="auto"/>
        <w:ind w:firstLine="567"/>
        <w:contextualSpacing/>
        <w:jc w:val="both"/>
      </w:pPr>
      <w:r>
        <w:t>În acest sens, se constată că, în cuprinsul deciziei de recurs s-au reținut următoarele:„întrucât la data de 27.04.2017, când s-a pronunţat hotărârea instanţei de fond, reclamanta ocupa o funcţie publică, nu mai poate fi numită pe funcţia pe care a fost redistribuită, întrucât este deja în derularea unui raport de serviciu, astfel încât recursul pârâtei este fondat din acest punct de vedere, cererea completatoare a reclamantei rămânând practic fără obiect.”.</w:t>
      </w:r>
    </w:p>
    <w:p w:rsidR="00BB5BB5">
      <w:pPr>
        <w:spacing w:after="200" w:line="276" w:lineRule="auto"/>
        <w:ind w:firstLine="567"/>
        <w:contextualSpacing/>
        <w:jc w:val="both"/>
      </w:pPr>
      <w:r>
        <w:t>Așadar, și în ipoteza în care s-ar reține justificate susținerile revizuentei cu privire la data comunicării ordinului, Curtea apreciază că soluția care se impune este aceea de respingere a revizuirii, înscrisul invocat, neavând vreo relevanță în ceea ce privește cel de-al doilea motiv de admitere a recursului și, subsecvent, a acțiunii, astfel că nu poate duce la poate duce la pronunțarea unei soluții diferite de cea a instanței de recurs.</w:t>
      </w:r>
    </w:p>
    <w:p w:rsidR="00BB5BB5">
      <w:pPr>
        <w:spacing w:after="200" w:line="276" w:lineRule="auto"/>
        <w:ind w:firstLine="567"/>
        <w:contextualSpacing/>
        <w:jc w:val="both"/>
        <w:rPr>
          <w:rStyle w:val="Fontdeparagrafimplicit"/>
        </w:rPr>
      </w:pPr>
      <w:r>
        <w:rPr>
          <w:rStyle w:val="Fontdeparagrafimplicit"/>
          <w:rFonts w:ascii="Calibri" w:hAnsi="Calibri"/>
          <w:sz w:val="22"/>
        </w:rPr>
        <w:t>Faţă de aceste considerente, Curtea va respinge revizuirea ca neîntemeiată..</w:t>
      </w:r>
    </w:p>
    <w:p w:rsidR="00BB5BB5">
      <w:pPr>
        <w:ind w:firstLine="567"/>
        <w:jc w:val="both"/>
        <w:rPr>
          <w:rStyle w:val="Fontdeparagrafimplicit"/>
        </w:rPr>
      </w:pPr>
    </w:p>
    <w:p w:rsidR="00BB5BB5">
      <w:pPr>
        <w:tabs>
          <w:tab w:val="left" w:pos="3930"/>
        </w:tabs>
        <w:ind w:firstLine="567"/>
        <w:jc w:val="center"/>
        <w:rPr>
          <w:rStyle w:val="Fontdeparagrafimplicit"/>
          <w:b/>
        </w:rPr>
      </w:pPr>
      <w:r>
        <w:rPr>
          <w:rStyle w:val="Fontdeparagrafimplicit"/>
          <w:b/>
        </w:rPr>
        <w:t>PENTRU ACESTE MOTIVE,</w:t>
      </w:r>
    </w:p>
    <w:p w:rsidR="00BB5BB5">
      <w:pPr>
        <w:tabs>
          <w:tab w:val="left" w:pos="3930"/>
        </w:tabs>
        <w:ind w:firstLine="567"/>
        <w:jc w:val="center"/>
        <w:rPr>
          <w:rStyle w:val="Fontdeparagrafimplicit"/>
          <w:b/>
        </w:rPr>
      </w:pPr>
      <w:r>
        <w:rPr>
          <w:rStyle w:val="Fontdeparagrafimplicit"/>
          <w:b/>
        </w:rPr>
        <w:t>ÎN NUMELE LEGII</w:t>
      </w:r>
    </w:p>
    <w:p w:rsidR="00BB5BB5">
      <w:pPr>
        <w:tabs>
          <w:tab w:val="left" w:pos="3930"/>
        </w:tabs>
        <w:ind w:firstLine="567"/>
        <w:jc w:val="center"/>
        <w:rPr>
          <w:rStyle w:val="Fontdeparagrafimplicit"/>
          <w:b/>
        </w:rPr>
      </w:pPr>
      <w:r>
        <w:rPr>
          <w:rStyle w:val="Fontdeparagrafimplicit"/>
          <w:b/>
        </w:rPr>
        <w:t>DECIDE:</w:t>
      </w:r>
    </w:p>
    <w:p w:rsidR="00BB5BB5">
      <w:pPr>
        <w:jc w:val="both"/>
        <w:rPr>
          <w:rStyle w:val="Fontdeparagrafimplicit"/>
        </w:rPr>
      </w:pPr>
    </w:p>
    <w:p w:rsidR="00BB5BB5">
      <w:pPr>
        <w:ind w:firstLine="567"/>
        <w:jc w:val="both"/>
      </w:pPr>
      <w:r>
        <w:t xml:space="preserve">Admite excepţia lipsei calităţii procesuale pasive a intimatului </w:t>
      </w:r>
      <w:r>
        <w:rPr>
          <w:rStyle w:val="Fontdeparagrafimplicit"/>
          <w:b/>
        </w:rPr>
        <w:t>B</w:t>
      </w:r>
      <w:r w:rsidR="0040397E">
        <w:rPr>
          <w:rStyle w:val="Fontdeparagrafimplicit"/>
          <w:b/>
        </w:rPr>
        <w:t>C</w:t>
      </w:r>
      <w:r>
        <w:t xml:space="preserve">, cu domiciliul în </w:t>
      </w:r>
      <w:r w:rsidR="0040397E">
        <w:t>........, .........</w:t>
      </w:r>
      <w:r>
        <w:t>, str.</w:t>
      </w:r>
      <w:r w:rsidR="0040397E">
        <w:t>.........., nr...........</w:t>
      </w:r>
      <w:r>
        <w:t xml:space="preserve"> şi respinge cererea de revizuire formulată în contradictoriu cu acest intimat ca fiind îndreptată împotriva unei persoane fără calitate. </w:t>
      </w:r>
    </w:p>
    <w:p w:rsidR="00BB5BB5">
      <w:pPr>
        <w:ind w:firstLine="567"/>
        <w:jc w:val="both"/>
      </w:pPr>
      <w:r>
        <w:t xml:space="preserve">Respinge cererea de revizuire formulată de revizuenta </w:t>
      </w:r>
      <w:r w:rsidR="0040397E">
        <w:rPr>
          <w:rStyle w:val="Fontdeparagrafimplicit"/>
          <w:b/>
        </w:rPr>
        <w:t>AB</w:t>
      </w:r>
      <w:r>
        <w:t xml:space="preserve">, cu domiciliul ales în </w:t>
      </w:r>
      <w:r w:rsidR="0040397E">
        <w:t>............, ........., str..........</w:t>
      </w:r>
      <w:r>
        <w:t xml:space="preserve">, </w:t>
      </w:r>
      <w:r w:rsidR="0040397E">
        <w:t>.........., nr........., et........., ap.......</w:t>
      </w:r>
      <w:r>
        <w:t xml:space="preserve">, împotriva sentinţei civile nr. </w:t>
      </w:r>
      <w:r w:rsidR="0040397E">
        <w:t>...........</w:t>
      </w:r>
      <w:r>
        <w:t xml:space="preserve">pronunţate de </w:t>
      </w:r>
      <w:r w:rsidR="0040397E">
        <w:t>Curtea de Apel ........ Secţia .........</w:t>
      </w:r>
      <w:r>
        <w:t xml:space="preserve">contencios administrativ şi fiscal în dosarul nr. </w:t>
      </w:r>
      <w:r w:rsidR="0040397E">
        <w:t xml:space="preserve"> .........</w:t>
      </w:r>
      <w:r>
        <w:t xml:space="preserve">, în contradictoriu cu intimatul </w:t>
      </w:r>
      <w:r>
        <w:rPr>
          <w:rStyle w:val="Fontdeparagrafimplicit"/>
          <w:color w:val="FF0000"/>
        </w:rPr>
        <w:t>Ministerul Muncii și Justiției Sociale</w:t>
      </w:r>
      <w:r w:rsidR="0040397E">
        <w:t>, cu sediul în ..........</w:t>
      </w:r>
      <w:r>
        <w:t xml:space="preserve">, </w:t>
      </w:r>
      <w:r w:rsidR="0040397E">
        <w:t>........., str.........., nr..........</w:t>
      </w:r>
      <w:r>
        <w:t xml:space="preserve">, ca neîntemeiată. </w:t>
      </w:r>
    </w:p>
    <w:p w:rsidR="00BB5BB5">
      <w:pPr>
        <w:ind w:firstLine="567"/>
        <w:jc w:val="both"/>
      </w:pPr>
      <w:r>
        <w:t xml:space="preserve">Definitivă. </w:t>
      </w:r>
    </w:p>
    <w:p w:rsidR="00BB5BB5">
      <w:pPr>
        <w:ind w:firstLine="567"/>
        <w:jc w:val="both"/>
      </w:pPr>
      <w:r>
        <w:t xml:space="preserve">Pronunţată în şedinţă publică astăzi, </w:t>
      </w:r>
      <w:r w:rsidR="0040397E">
        <w:t>..............</w:t>
      </w:r>
      <w:r>
        <w:t>.</w:t>
      </w:r>
    </w:p>
    <w:p w:rsidR="00BB5BB5">
      <w:pPr>
        <w:ind w:firstLine="567"/>
        <w:jc w:val="both"/>
      </w:pPr>
    </w:p>
    <w:p w:rsidR="00BB5BB5">
      <w:pPr>
        <w:tabs>
          <w:tab w:val="left" w:pos="1200"/>
          <w:tab w:val="left" w:pos="3180"/>
          <w:tab w:val="left" w:pos="6345"/>
        </w:tabs>
        <w:ind w:firstLine="567"/>
      </w:pPr>
      <w:r>
        <w:t xml:space="preserve">              PREŞEDINTE,</w:t>
      </w:r>
      <w:r>
        <w:tab/>
        <w:t xml:space="preserve">              JUDECĂTOR,                          JUDECĂTOR,</w:t>
      </w:r>
    </w:p>
    <w:p w:rsidR="00BB5BB5">
      <w:pPr>
        <w:tabs>
          <w:tab w:val="left" w:pos="1200"/>
          <w:tab w:val="left" w:pos="3180"/>
          <w:tab w:val="left" w:pos="5865"/>
        </w:tabs>
        <w:ind w:firstLine="567"/>
        <w:rPr>
          <w:rStyle w:val="Fontdeparagrafimplicit"/>
          <w:b/>
        </w:rPr>
      </w:pPr>
      <w:r>
        <w:t xml:space="preserve">      </w:t>
      </w:r>
      <w:r w:rsidR="0040397E">
        <w:t xml:space="preserve">          </w:t>
      </w:r>
      <w:r>
        <w:t xml:space="preserve"> </w:t>
      </w:r>
      <w:r w:rsidR="0040397E">
        <w:t>................</w:t>
      </w:r>
      <w:r>
        <w:t xml:space="preserve">      </w:t>
      </w:r>
      <w:r w:rsidR="0040397E">
        <w:t xml:space="preserve">                     ................</w:t>
      </w:r>
      <w:r>
        <w:t xml:space="preserve">          </w:t>
      </w:r>
      <w:r w:rsidR="0040397E">
        <w:t xml:space="preserve">              CANDIDAT A0009</w:t>
      </w:r>
      <w:r>
        <w:t xml:space="preserve">                        </w:t>
      </w:r>
    </w:p>
    <w:p w:rsidR="00BB5BB5">
      <w:pPr>
        <w:ind w:firstLine="567"/>
        <w:jc w:val="both"/>
      </w:pPr>
    </w:p>
    <w:p w:rsidR="00BB5BB5">
      <w:pPr>
        <w:ind w:firstLine="567"/>
        <w:jc w:val="both"/>
      </w:pPr>
    </w:p>
    <w:p w:rsidR="00BB5BB5">
      <w:pPr>
        <w:ind w:firstLine="567"/>
        <w:jc w:val="both"/>
      </w:pPr>
    </w:p>
    <w:p w:rsidR="00BB5BB5">
      <w:pPr>
        <w:ind w:firstLine="567"/>
        <w:jc w:val="center"/>
      </w:pPr>
      <w:r>
        <w:t xml:space="preserve">                                       GREFIER</w:t>
      </w:r>
    </w:p>
    <w:p w:rsidR="00BB5BB5">
      <w:pPr>
        <w:ind w:firstLine="567"/>
        <w:jc w:val="center"/>
      </w:pPr>
      <w:r>
        <w:t xml:space="preserve">                                    </w:t>
      </w:r>
      <w:r w:rsidR="0040397E">
        <w:t>................</w:t>
      </w:r>
    </w:p>
    <w:p w:rsidR="00BB5BB5">
      <w:pPr>
        <w:ind w:firstLine="567"/>
        <w:jc w:val="both"/>
      </w:pPr>
    </w:p>
    <w:p w:rsidR="00BB5BB5">
      <w:pPr>
        <w:ind w:firstLine="567"/>
        <w:jc w:val="both"/>
      </w:pPr>
    </w:p>
    <w:p w:rsidR="00BB5BB5">
      <w:pPr>
        <w:ind w:firstLine="567"/>
        <w:rPr>
          <w:rStyle w:val="Fontdeparagrafimplicit"/>
          <w:b/>
        </w:rPr>
      </w:pPr>
    </w:p>
    <w:p w:rsidR="00BB5BB5">
      <w:pPr>
        <w:ind w:firstLine="567"/>
        <w:jc w:val="both"/>
        <w:rPr>
          <w:rStyle w:val="Fontdeparagrafimplicit"/>
        </w:rPr>
      </w:pPr>
    </w:p>
    <w:p w:rsidR="00BB5BB5">
      <w:pPr>
        <w:ind w:firstLine="567"/>
        <w:jc w:val="both"/>
        <w:rPr>
          <w:rStyle w:val="Fontdeparagrafimplicit"/>
        </w:rPr>
      </w:pPr>
    </w:p>
    <w:p w:rsidR="00BB5BB5">
      <w:pPr>
        <w:ind w:firstLine="567"/>
        <w:jc w:val="center"/>
        <w:rPr>
          <w:rStyle w:val="Fontdeparagrafimplicit"/>
        </w:rPr>
      </w:pPr>
    </w:p>
    <w:p w:rsidR="00BB5BB5">
      <w:pPr>
        <w:ind w:firstLine="567"/>
        <w:rPr>
          <w:rStyle w:val="Fontdeparagrafimplicit"/>
          <w:sz w:val="16"/>
        </w:rPr>
      </w:pPr>
    </w:p>
    <w:p w:rsidR="00BB5BB5">
      <w:pPr>
        <w:ind w:firstLine="567"/>
        <w:jc w:val="both"/>
        <w:rPr>
          <w:rStyle w:val="Fontdeparagrafimplicit"/>
          <w:sz w:val="16"/>
        </w:rPr>
      </w:pPr>
      <w:r>
        <w:rPr>
          <w:rStyle w:val="Fontdeparagrafimplicit"/>
          <w:sz w:val="16"/>
        </w:rPr>
        <w:t>Red.jud. CANDIDAT A0009</w:t>
      </w:r>
      <w:r w:rsidR="00863B54">
        <w:rPr>
          <w:rStyle w:val="Fontdeparagrafimplicit"/>
          <w:sz w:val="16"/>
        </w:rPr>
        <w:t xml:space="preserve"> /5ex./ </w:t>
      </w:r>
    </w:p>
    <w:p w:rsidR="00BB5BB5">
      <w:pPr>
        <w:ind w:firstLine="567"/>
        <w:jc w:val="both"/>
        <w:rPr>
          <w:rStyle w:val="Fontdeparagrafimplicit"/>
          <w:sz w:val="16"/>
        </w:rPr>
      </w:pPr>
      <w:r>
        <w:rPr>
          <w:rStyle w:val="Fontdeparagrafimplicit"/>
          <w:sz w:val="16"/>
        </w:rPr>
        <w:t>Jud. fond –........, ..........</w:t>
      </w:r>
      <w:r w:rsidR="00863B54">
        <w:rPr>
          <w:rStyle w:val="Fontdeparagrafimplicit"/>
          <w:sz w:val="16"/>
        </w:rPr>
        <w:t xml:space="preserve"> şi </w:t>
      </w:r>
      <w:r>
        <w:rPr>
          <w:rStyle w:val="Fontdeparagrafimplicit"/>
          <w:sz w:val="16"/>
        </w:rPr>
        <w:t>........</w:t>
      </w:r>
    </w:p>
    <w:p w:rsidR="00BB5BB5">
      <w:pPr>
        <w:ind w:firstLine="567"/>
        <w:jc w:val="both"/>
        <w:rPr>
          <w:rStyle w:val="Fontdeparagrafimplicit"/>
          <w:sz w:val="16"/>
        </w:rPr>
      </w:pPr>
      <w:r>
        <w:rPr>
          <w:rStyle w:val="Fontdeparagrafimplicit"/>
          <w:sz w:val="16"/>
        </w:rPr>
        <w:t>Curtea de Apel ........ Secţia .........</w:t>
      </w:r>
      <w:r w:rsidR="00863B54">
        <w:rPr>
          <w:rStyle w:val="Fontdeparagrafimplicit"/>
          <w:sz w:val="16"/>
        </w:rPr>
        <w:t xml:space="preserve">contencios administrativ şi fiscal </w:t>
      </w:r>
    </w:p>
    <w:p w:rsidR="00BB5BB5">
      <w:pPr>
        <w:ind w:firstLine="567"/>
        <w:jc w:val="both"/>
        <w:rPr>
          <w:rStyle w:val="Fontdeparagrafimplicit"/>
          <w:sz w:val="16"/>
        </w:rPr>
      </w:pPr>
      <w:r>
        <w:rPr>
          <w:rStyle w:val="Fontdeparagrafimplicit"/>
          <w:sz w:val="16"/>
        </w:rPr>
        <w:t>Lucrat 3 comunicări la data de _____________</w:t>
      </w:r>
    </w:p>
    <w:p w:rsidR="00BB5BB5">
      <w:pPr>
        <w:ind w:firstLine="567"/>
        <w:rPr>
          <w:rStyle w:val="Fontdeparagrafimplicit"/>
          <w:sz w:val="16"/>
        </w:rPr>
      </w:pPr>
    </w:p>
    <w:p w:rsidR="00BB5BB5">
      <w:pPr>
        <w:ind w:firstLine="567"/>
        <w:rPr>
          <w:rStyle w:val="Fontdeparagrafimplicit"/>
          <w:sz w:val="16"/>
        </w:rPr>
      </w:pPr>
    </w:p>
    <w:p w:rsidR="00BB5BB5">
      <w:pPr>
        <w:ind w:firstLine="567"/>
        <w:rPr>
          <w:rStyle w:val="Fontdeparagrafimplicit"/>
          <w:sz w:val="16"/>
        </w:rPr>
      </w:pPr>
    </w:p>
    <w:p w:rsidR="00BB5BB5">
      <w:pPr>
        <w:ind w:firstLine="567"/>
        <w:jc w:val="both"/>
        <w:rPr>
          <w:rStyle w:val="Fontdeparagrafimplicit"/>
          <w:sz w:val="16"/>
        </w:rPr>
      </w:pPr>
    </w:p>
    <w:p w:rsidR="00BB5BB5">
      <w:pPr>
        <w:ind w:firstLine="567"/>
        <w:jc w:val="both"/>
        <w:rPr>
          <w:rStyle w:val="Fontdeparagrafimplicit"/>
          <w:sz w:val="16"/>
        </w:rPr>
      </w:pPr>
    </w:p>
    <w:sectPr w:rsidSect="00BB5BB5">
      <w:pgSz w:w="11906" w:h="16838"/>
      <w:pgMar w:top="1417" w:right="1417" w:bottom="1417" w:left="1417"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95596"/>
    <w:multiLevelType w:val="multilevel"/>
    <w:tmpl w:val="36C8FA0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66384A49"/>
    <w:multiLevelType w:val="multilevel"/>
    <w:tmpl w:val="9CAAAADE"/>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characterSpacingControl w:val="doNotCompress"/>
  <w:compat/>
  <w:rsids>
    <w:rsidRoot w:val="00BB5BB5"/>
    <w:rsid w:val="0040397E"/>
    <w:rsid w:val="00455935"/>
    <w:rsid w:val="005E4CA1"/>
    <w:rsid w:val="00863B54"/>
    <w:rsid w:val="00BB5BB5"/>
  </w:rsids>
  <w:docVars>
    <w:docVar w:name="url" w:val="http://10.1.48.53:80/ecris_cdms/document_upload.aspx?id_document=200000003070145&amp;id_departament=5&amp;id_sesiune=2660231&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BB5"/>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BB5BB5"/>
    <w:pPr>
      <w:keepNext/>
      <w:jc w:val="center"/>
      <w:outlineLvl w:val="0"/>
    </w:pPr>
    <w:rPr>
      <w:b/>
      <w:sz w:val="28"/>
      <w:lang w:val="en-US"/>
    </w:rPr>
  </w:style>
  <w:style w:type="paragraph" w:styleId="NormalWeb">
    <w:name w:val="Normal (Web)"/>
    <w:basedOn w:val="Normal"/>
    <w:rsid w:val="00BB5BB5"/>
    <w:pPr>
      <w:spacing w:before="100" w:beforeAutospacing="1" w:after="100" w:afterAutospacing="1"/>
    </w:pPr>
  </w:style>
  <w:style w:type="paragraph" w:customStyle="1" w:styleId="Antet">
    <w:name w:val="Antet"/>
    <w:basedOn w:val="Normal"/>
    <w:link w:val="AntetCaracter"/>
    <w:rsid w:val="00BB5BB5"/>
    <w:pPr>
      <w:tabs>
        <w:tab w:val="center" w:pos="4536"/>
        <w:tab w:val="right" w:pos="9072"/>
      </w:tabs>
    </w:pPr>
  </w:style>
  <w:style w:type="paragraph" w:customStyle="1" w:styleId="Subsol">
    <w:name w:val="Subsol"/>
    <w:basedOn w:val="Normal"/>
    <w:link w:val="SubsolCaracter"/>
    <w:rsid w:val="00BB5BB5"/>
    <w:pPr>
      <w:tabs>
        <w:tab w:val="center" w:pos="4536"/>
        <w:tab w:val="right" w:pos="9072"/>
      </w:tabs>
    </w:pPr>
  </w:style>
  <w:style w:type="character" w:styleId="LineNumber">
    <w:name w:val="line number"/>
    <w:basedOn w:val="DefaultParagraphFont"/>
    <w:semiHidden/>
    <w:rsid w:val="00BB5BB5"/>
  </w:style>
  <w:style w:type="character" w:styleId="Hyperlink">
    <w:name w:val="Hyperlink"/>
    <w:rsid w:val="00BB5BB5"/>
    <w:rPr>
      <w:color w:val="0000FF"/>
      <w:u w:val="single"/>
    </w:rPr>
  </w:style>
  <w:style w:type="character" w:customStyle="1" w:styleId="Fontdeparagrafimplicit">
    <w:name w:val="Font de paragraf implicit"/>
    <w:rsid w:val="00BB5BB5"/>
  </w:style>
  <w:style w:type="character" w:customStyle="1" w:styleId="AntetCaracter">
    <w:name w:val="Antet Caracter"/>
    <w:link w:val="Antet"/>
    <w:rsid w:val="00BB5BB5"/>
  </w:style>
  <w:style w:type="character" w:customStyle="1" w:styleId="SubsolCaracter">
    <w:name w:val="Subsol Caracter"/>
    <w:link w:val="Subsol"/>
    <w:rsid w:val="00BB5BB5"/>
  </w:style>
  <w:style w:type="table" w:styleId="TableSimple1">
    <w:name w:val="Table Simple 1"/>
    <w:basedOn w:val="TableNormal"/>
    <w:rsid w:val="00BB5B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BB5BB5"/>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13</ap:TotalTime>
  <ap:Pages>6</ap:Pages>
  <ap:Words>2703</ap:Words>
  <ap:Characters>15684</ap:Characters>
  <ap:Application>Microsoft Office Word</ap:Application>
  <ap:DocSecurity>0</ap:DocSecurity>
  <ap:Lines>130</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18351</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