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5.5.0 -->
  <w:body>
    <w:p w:rsidRPr="000C63A7" w:rsidR="000C63A7" w:rsidP="000C63A7">
      <w:pPr>
        <w:keepNext/>
        <w:spacing w:before="240" w:after="60"/>
        <w:jc w:val="center"/>
        <w:outlineLvl w:val="2"/>
        <w:rPr>
          <w:rFonts w:cs="Arial"/>
          <w:b/>
          <w:bCs/>
          <w:szCs w:val="26"/>
        </w:rPr>
      </w:pPr>
      <w:r w:rsidRPr="000C63A7">
        <w:rPr>
          <w:rFonts w:cs="Arial"/>
          <w:b/>
          <w:bCs/>
          <w:szCs w:val="26"/>
        </w:rPr>
        <w:t>R O M Â N I A</w:t>
      </w:r>
    </w:p>
    <w:p w:rsidRPr="000C63A7" w:rsidR="000C63A7" w:rsidP="000C63A7">
      <w:pPr>
        <w:jc w:val="center"/>
      </w:pPr>
    </w:p>
    <w:p w:rsidRPr="000C63A7" w:rsidR="000C63A7" w:rsidP="000C63A7">
      <w:pPr>
        <w:jc w:val="center"/>
      </w:pPr>
      <w:r w:rsidRPr="000C63A7">
        <w:t xml:space="preserve">CURTEA DE APEL </w:t>
      </w:r>
      <w:r w:rsidR="004F1DC0">
        <w:t xml:space="preserve">....... </w:t>
      </w:r>
    </w:p>
    <w:p w:rsidRPr="004F1DC0" w:rsidR="000C63A7" w:rsidP="000C63A7">
      <w:pPr>
        <w:jc w:val="center"/>
        <w:rPr>
          <w:szCs w:val="15"/>
          <w:lang w:val="pt-PT"/>
        </w:rPr>
      </w:pPr>
      <w:r w:rsidRPr="000C63A7">
        <w:t xml:space="preserve">SECŢIA </w:t>
      </w:r>
      <w:r w:rsidR="004F1DC0">
        <w:t xml:space="preserve">............ </w:t>
      </w:r>
    </w:p>
    <w:p w:rsidRPr="000C63A7" w:rsidR="000C63A7" w:rsidP="000C63A7">
      <w:pPr>
        <w:rPr>
          <w:sz w:val="20"/>
          <w:szCs w:val="20"/>
        </w:rPr>
      </w:pPr>
      <w:r w:rsidRPr="000C63A7">
        <w:rPr>
          <w:sz w:val="20"/>
          <w:szCs w:val="20"/>
        </w:rPr>
        <w:t xml:space="preserve">Prezentul document este supus reglementărilor aflate sub incidenţa Regulamentului U.E. 2016/679 Cod ECLI    </w:t>
      </w:r>
    </w:p>
    <w:p w:rsidRPr="000C63A7" w:rsidR="000C63A7" w:rsidP="000C63A7">
      <w:pPr>
        <w:jc w:val="center"/>
        <w:rPr>
          <w:sz w:val="20"/>
          <w:szCs w:val="20"/>
        </w:rPr>
      </w:pPr>
      <w:r w:rsidRPr="000C63A7">
        <w:rPr>
          <w:sz w:val="20"/>
          <w:szCs w:val="20"/>
        </w:rPr>
        <w:t xml:space="preserve">Complet </w:t>
      </w:r>
      <w:r w:rsidR="004F1DC0">
        <w:rPr>
          <w:sz w:val="20"/>
          <w:szCs w:val="20"/>
        </w:rPr>
        <w:t>...........</w:t>
      </w:r>
    </w:p>
    <w:p w:rsidRPr="000C63A7" w:rsidR="000C63A7" w:rsidP="000C63A7">
      <w:pPr>
        <w:jc w:val="center"/>
        <w:rPr>
          <w:sz w:val="20"/>
          <w:szCs w:val="20"/>
        </w:rPr>
      </w:pPr>
    </w:p>
    <w:p w:rsidRPr="000C63A7" w:rsidR="000C63A7" w:rsidP="000C63A7">
      <w:pPr>
        <w:jc w:val="center"/>
        <w:rPr>
          <w:sz w:val="20"/>
          <w:szCs w:val="20"/>
        </w:rPr>
      </w:pPr>
    </w:p>
    <w:p w:rsidRPr="000C63A7" w:rsidR="000C63A7" w:rsidP="000C63A7">
      <w:r w:rsidRPr="000C63A7">
        <w:t>Cod ECLI    ECLI:RO:</w:t>
      </w:r>
      <w:r w:rsidR="004F1DC0">
        <w:t xml:space="preserve">............ </w:t>
      </w:r>
    </w:p>
    <w:p w:rsidRPr="000C63A7" w:rsidR="000C63A7" w:rsidP="000C63A7">
      <w:r w:rsidRPr="000C63A7">
        <w:t xml:space="preserve">Dosar nr. </w:t>
      </w:r>
      <w:r w:rsidR="004F1DC0">
        <w:t xml:space="preserve">1 </w:t>
      </w:r>
    </w:p>
    <w:p w:rsidRPr="000C63A7" w:rsidR="000C63A7" w:rsidP="000C63A7"/>
    <w:p w:rsidRPr="000C63A7" w:rsidR="000C63A7" w:rsidP="000C63A7">
      <w:pPr>
        <w:tabs>
          <w:tab w:val="left" w:pos="1620"/>
          <w:tab w:val="left" w:pos="1995"/>
        </w:tabs>
        <w:jc w:val="both"/>
        <w:rPr>
          <w:b/>
        </w:rPr>
      </w:pPr>
    </w:p>
    <w:p w:rsidRPr="000C63A7" w:rsidR="000C63A7" w:rsidP="000C63A7">
      <w:pPr>
        <w:tabs>
          <w:tab w:val="left" w:pos="3119"/>
        </w:tabs>
        <w:jc w:val="center"/>
        <w:rPr>
          <w:b/>
        </w:rPr>
      </w:pPr>
      <w:r w:rsidRPr="000C63A7">
        <w:rPr>
          <w:b/>
        </w:rPr>
        <w:t xml:space="preserve">DECIZIA CIVILĂ NR. </w:t>
      </w:r>
      <w:r w:rsidR="004F1DC0">
        <w:rPr>
          <w:b/>
        </w:rPr>
        <w:t xml:space="preserve">1 </w:t>
      </w:r>
    </w:p>
    <w:p w:rsidRPr="000C63A7" w:rsidR="000C63A7" w:rsidP="000C63A7">
      <w:pPr>
        <w:jc w:val="center"/>
      </w:pPr>
      <w:r w:rsidRPr="000C63A7">
        <w:t xml:space="preserve">Şedinţa publică din data de </w:t>
      </w:r>
      <w:r w:rsidR="004F1DC0">
        <w:t xml:space="preserve">............ </w:t>
      </w:r>
    </w:p>
    <w:p w:rsidRPr="000C63A7" w:rsidR="000C63A7" w:rsidP="000C63A7">
      <w:pPr>
        <w:jc w:val="center"/>
      </w:pPr>
      <w:r w:rsidRPr="000C63A7">
        <w:t>Instanţa constituită din:</w:t>
      </w:r>
    </w:p>
    <w:p w:rsidRPr="000C63A7" w:rsidR="000C63A7" w:rsidP="000C63A7">
      <w:pPr>
        <w:jc w:val="center"/>
        <w:rPr>
          <w:b/>
        </w:rPr>
      </w:pPr>
      <w:r w:rsidRPr="000C63A7">
        <w:rPr>
          <w:b/>
        </w:rPr>
        <w:t xml:space="preserve">PREŞEDINTE: </w:t>
      </w:r>
      <w:r w:rsidR="004F1DC0">
        <w:rPr>
          <w:b/>
        </w:rPr>
        <w:t>A0019</w:t>
      </w:r>
    </w:p>
    <w:p w:rsidRPr="000C63A7" w:rsidR="000C63A7" w:rsidP="000C63A7">
      <w:pPr>
        <w:jc w:val="center"/>
        <w:rPr>
          <w:b/>
        </w:rPr>
      </w:pPr>
      <w:r w:rsidRPr="000C63A7">
        <w:rPr>
          <w:b/>
        </w:rPr>
        <w:t xml:space="preserve">JUDECĂTOR: </w:t>
      </w:r>
      <w:r w:rsidR="004F1DC0">
        <w:rPr>
          <w:b/>
        </w:rPr>
        <w:t xml:space="preserve">............ </w:t>
      </w:r>
    </w:p>
    <w:p w:rsidRPr="000C63A7" w:rsidR="000C63A7" w:rsidP="000C63A7">
      <w:pPr>
        <w:jc w:val="center"/>
        <w:rPr>
          <w:b/>
        </w:rPr>
      </w:pPr>
      <w:r w:rsidRPr="000C63A7">
        <w:rPr>
          <w:b/>
        </w:rPr>
        <w:t xml:space="preserve">GREFIER: </w:t>
      </w:r>
      <w:r w:rsidR="004F1DC0">
        <w:rPr>
          <w:b/>
        </w:rPr>
        <w:t xml:space="preserve">............ </w:t>
      </w:r>
    </w:p>
    <w:p w:rsidRPr="000C63A7" w:rsidR="000C63A7" w:rsidP="000C63A7">
      <w:pPr>
        <w:jc w:val="center"/>
        <w:rPr>
          <w:b/>
        </w:rPr>
      </w:pPr>
    </w:p>
    <w:p w:rsidRPr="000C63A7" w:rsidR="000C63A7" w:rsidP="000C63A7">
      <w:pPr>
        <w:jc w:val="center"/>
        <w:rPr>
          <w:b/>
        </w:rPr>
      </w:pPr>
    </w:p>
    <w:p w:rsidRPr="000C63A7" w:rsidR="000C63A7" w:rsidP="000C63A7">
      <w:pPr>
        <w:ind w:firstLine="708"/>
        <w:jc w:val="both"/>
      </w:pPr>
      <w:r w:rsidRPr="000C63A7">
        <w:t>La ordine fiind apelul declarat de pârâta</w:t>
      </w:r>
      <w:r w:rsidRPr="000C63A7">
        <w:rPr>
          <w:b/>
        </w:rPr>
        <w:t xml:space="preserve"> CASA JUDEŢEANĂ DE PENSII </w:t>
      </w:r>
      <w:r w:rsidR="004F1DC0">
        <w:rPr>
          <w:b/>
        </w:rPr>
        <w:t xml:space="preserve">S......... </w:t>
      </w:r>
      <w:r w:rsidRPr="000C63A7">
        <w:t xml:space="preserve">împotriva sentinţei civile nr. </w:t>
      </w:r>
      <w:r w:rsidR="004F1DC0">
        <w:t>....</w:t>
      </w:r>
      <w:r w:rsidR="004F1DC0">
        <w:t xml:space="preserve">..... </w:t>
      </w:r>
      <w:r w:rsidRPr="000C63A7">
        <w:t xml:space="preserve"> din </w:t>
      </w:r>
      <w:r w:rsidR="004F1DC0">
        <w:t xml:space="preserve">......... </w:t>
      </w:r>
      <w:r w:rsidRPr="000C63A7">
        <w:t xml:space="preserve">, pronunţată de Tribunalul </w:t>
      </w:r>
      <w:r w:rsidR="004F1DC0">
        <w:t xml:space="preserve">S......... </w:t>
      </w:r>
      <w:r w:rsidRPr="000C63A7">
        <w:t xml:space="preserve">în dosarul nr. </w:t>
      </w:r>
      <w:r w:rsidR="004F1DC0">
        <w:t xml:space="preserve">1 </w:t>
      </w:r>
      <w:r w:rsidRPr="000C63A7">
        <w:t xml:space="preserve">, intimat fiind reclamantul </w:t>
      </w:r>
      <w:r w:rsidR="004F1DC0">
        <w:rPr>
          <w:b/>
        </w:rPr>
        <w:t xml:space="preserve">1 </w:t>
      </w:r>
      <w:r w:rsidRPr="000C63A7">
        <w:rPr>
          <w:b/>
        </w:rPr>
        <w:t>,</w:t>
      </w:r>
      <w:r w:rsidRPr="000C63A7">
        <w:t xml:space="preserve"> având ca obiect contestaţie împotriva deciziei de pensionare.</w:t>
      </w:r>
    </w:p>
    <w:p w:rsidRPr="000C63A7" w:rsidR="000C63A7" w:rsidP="000C63A7">
      <w:pPr>
        <w:ind w:firstLine="708"/>
        <w:jc w:val="both"/>
      </w:pPr>
      <w:r w:rsidRPr="000C63A7">
        <w:t xml:space="preserve">La apelul nominal făcut în cauză se prezintă reprezentantul reclamantului intimat, domnul avocat </w:t>
      </w:r>
      <w:r w:rsidR="004F1DC0">
        <w:t xml:space="preserve">2 </w:t>
      </w:r>
      <w:r w:rsidRPr="000C63A7">
        <w:t xml:space="preserve">din cadrul Baroului </w:t>
      </w:r>
      <w:r w:rsidR="004F1DC0">
        <w:t xml:space="preserve">S...... </w:t>
      </w:r>
      <w:r w:rsidRPr="000C63A7">
        <w:t>, cu împuternicire avocaţială la dosar.</w:t>
      </w:r>
    </w:p>
    <w:p w:rsidRPr="000C63A7" w:rsidR="000C63A7" w:rsidP="000C63A7">
      <w:pPr>
        <w:ind w:firstLine="708"/>
      </w:pPr>
      <w:r w:rsidRPr="000C63A7">
        <w:t>Procedura de citare este legal îndeplinită.</w:t>
      </w:r>
    </w:p>
    <w:p w:rsidRPr="000C63A7" w:rsidR="000C63A7" w:rsidP="000C63A7">
      <w:pPr>
        <w:ind w:firstLine="708"/>
        <w:jc w:val="both"/>
        <w:rPr>
          <w:bCs/>
        </w:rPr>
      </w:pPr>
      <w:r w:rsidRPr="000C63A7">
        <w:rPr>
          <w:bCs/>
        </w:rPr>
        <w:t>S-a făcut referatul cauzei de către grefierul de şedinţă care învederează că în cauză judecata a fost suspendată la data de 28.102.</w:t>
      </w:r>
      <w:r w:rsidRPr="000C63A7">
        <w:rPr>
          <w:bCs/>
        </w:rPr>
        <w:t xml:space="preserve">2024, termenul de judecată de azi fiind acordat în vederea repunerii pe rol a cauzei, urmare pronunţării deciziei nr. </w:t>
      </w:r>
      <w:r w:rsidR="004F1DC0">
        <w:rPr>
          <w:bCs/>
        </w:rPr>
        <w:t xml:space="preserve">......./2024 </w:t>
      </w:r>
      <w:r w:rsidRPr="000C63A7">
        <w:rPr>
          <w:bCs/>
        </w:rPr>
        <w:t>de către Înalta Curte de Casaţie şi Justiţie şi publicării ei în Monitorul Oficial al României.</w:t>
      </w:r>
    </w:p>
    <w:p w:rsidRPr="000C63A7" w:rsidR="000C63A7" w:rsidP="000C63A7">
      <w:pPr>
        <w:ind w:firstLine="708"/>
        <w:jc w:val="both"/>
        <w:rPr>
          <w:bCs/>
        </w:rPr>
      </w:pPr>
      <w:r w:rsidRPr="000C63A7">
        <w:rPr>
          <w:bCs/>
        </w:rPr>
        <w:t>Constatând că nu mai subzistă motivul de suspendare, Curte</w:t>
      </w:r>
      <w:r w:rsidRPr="000C63A7">
        <w:rPr>
          <w:bCs/>
        </w:rPr>
        <w:t>a dispune repunerea pe rol a cauzei.</w:t>
      </w:r>
    </w:p>
    <w:p w:rsidRPr="000C63A7" w:rsidR="000C63A7" w:rsidP="000C63A7">
      <w:pPr>
        <w:ind w:firstLine="709"/>
        <w:jc w:val="both"/>
      </w:pPr>
      <w:r w:rsidRPr="000C63A7">
        <w:t>Reprezentantul intimatului arată că nu are cereri de formulat.</w:t>
      </w:r>
    </w:p>
    <w:p w:rsidRPr="000C63A7" w:rsidR="000C63A7" w:rsidP="000C63A7">
      <w:pPr>
        <w:ind w:firstLine="709"/>
        <w:jc w:val="both"/>
      </w:pPr>
      <w:r w:rsidRPr="000C63A7">
        <w:t>Nefiind chestiuni prealabile, Curtea constată că prezenta cauză se află în stare de judecată, declară închisă faza cercetării j</w:t>
      </w:r>
      <w:r w:rsidRPr="000C63A7">
        <w:t>udecătoreşti şi acordă cuvântul asupra apelului.</w:t>
      </w:r>
    </w:p>
    <w:p w:rsidRPr="000C63A7" w:rsidR="000C63A7" w:rsidP="000C63A7">
      <w:pPr>
        <w:ind w:firstLine="709"/>
        <w:jc w:val="both"/>
      </w:pPr>
      <w:r w:rsidRPr="000C63A7">
        <w:t xml:space="preserve">Reprezentantul intimatului solicită respingerea ca nefondat a apelului pentru considerentele expuse în scris prin întâmpinarea formulată, cu cheltuieli de judecată. În esenţă arată că prin paragraful 110 al deciziei nr. </w:t>
      </w:r>
      <w:r w:rsidR="004F1DC0">
        <w:t xml:space="preserve">......./2024 </w:t>
      </w:r>
      <w:r w:rsidRPr="000C63A7">
        <w:t xml:space="preserve">pronunţate de către Înalta Curte de Casaţie şi Justiţie se arată că </w:t>
      </w:r>
      <w:r w:rsidRPr="000C63A7">
        <w:rPr>
          <w:color w:val="000000"/>
          <w:shd w:val="clear" w:color="auto" w:fill="FFFFFF"/>
        </w:rPr>
        <w:t>drepturile personalului silvic, se acordă beneficiarilor fără limitare în timp şi fără nicio altă trimitere la prevederi legale adiacente domeniului de interes în</w:t>
      </w:r>
      <w:r w:rsidRPr="000C63A7">
        <w:rPr>
          <w:color w:val="000000"/>
          <w:shd w:val="clear" w:color="auto" w:fill="FFFFFF"/>
        </w:rPr>
        <w:t xml:space="preserve"> discuţie sau la criterii şi metodologii de încadrare a locurilor de muncă.</w:t>
      </w:r>
    </w:p>
    <w:p w:rsidRPr="000C63A7" w:rsidR="000C63A7" w:rsidP="000C63A7">
      <w:pPr>
        <w:ind w:firstLine="709"/>
        <w:jc w:val="both"/>
      </w:pPr>
      <w:r w:rsidRPr="000C63A7">
        <w:t>Curtea reţine cauza în pronunţare.</w:t>
      </w:r>
    </w:p>
    <w:p w:rsidRPr="000C63A7" w:rsidR="000C63A7" w:rsidP="000C63A7">
      <w:pPr>
        <w:ind w:firstLine="709"/>
        <w:jc w:val="both"/>
      </w:pPr>
    </w:p>
    <w:p w:rsidRPr="000C63A7" w:rsidR="000C63A7" w:rsidP="000C63A7">
      <w:pPr>
        <w:jc w:val="both"/>
      </w:pPr>
    </w:p>
    <w:p w:rsidRPr="000C63A7" w:rsidR="000C63A7" w:rsidP="000C63A7">
      <w:pPr>
        <w:autoSpaceDE w:val="0"/>
        <w:autoSpaceDN w:val="0"/>
        <w:adjustRightInd w:val="0"/>
        <w:ind w:left="3540"/>
        <w:rPr>
          <w:b/>
        </w:rPr>
      </w:pPr>
      <w:r w:rsidRPr="000C63A7">
        <w:rPr>
          <w:i/>
        </w:rPr>
        <w:tab/>
      </w:r>
      <w:r w:rsidRPr="000C63A7">
        <w:rPr>
          <w:b/>
        </w:rPr>
        <w:t xml:space="preserve">C U R T E A </w:t>
      </w:r>
    </w:p>
    <w:p w:rsidRPr="000C63A7" w:rsidR="000C63A7" w:rsidP="000C63A7">
      <w:pPr>
        <w:jc w:val="both"/>
      </w:pPr>
    </w:p>
    <w:p w:rsidRPr="000C63A7" w:rsidR="000C63A7" w:rsidP="000C63A7">
      <w:pPr>
        <w:jc w:val="both"/>
        <w:rPr>
          <w:b/>
          <w:i/>
        </w:rPr>
      </w:pPr>
      <w:r w:rsidRPr="000C63A7">
        <w:rPr>
          <w:i/>
        </w:rPr>
        <w:tab/>
      </w:r>
      <w:r w:rsidRPr="000C63A7">
        <w:rPr>
          <w:b/>
          <w:i/>
        </w:rPr>
        <w:t>Deliberând asupra apelului civil dedus judecăţii, constată următoarele:</w:t>
      </w:r>
    </w:p>
    <w:p w:rsidRPr="000C63A7" w:rsidR="000C63A7" w:rsidP="000C63A7">
      <w:pPr>
        <w:ind w:firstLine="708"/>
        <w:jc w:val="both"/>
      </w:pPr>
      <w:r w:rsidRPr="000C63A7">
        <w:t xml:space="preserve">Prin contestaţia formulată de reclamantul </w:t>
      </w:r>
      <w:r w:rsidR="004F1DC0">
        <w:t>1</w:t>
      </w:r>
      <w:r w:rsidRPr="000C63A7">
        <w:t xml:space="preserve">, în contradictoriu cu pârâta Casa Județeană de Pensii </w:t>
      </w:r>
      <w:r w:rsidR="004F1DC0">
        <w:t xml:space="preserve">S......... </w:t>
      </w:r>
      <w:r w:rsidRPr="000C63A7">
        <w:t>s-a solicitat:</w:t>
      </w:r>
    </w:p>
    <w:p w:rsidRPr="000C63A7" w:rsidR="000C63A7" w:rsidP="000C63A7">
      <w:pPr>
        <w:ind w:firstLine="708"/>
        <w:jc w:val="both"/>
      </w:pPr>
      <w:r w:rsidRPr="000C63A7">
        <w:t xml:space="preserve">- anularea Deciziei nr. </w:t>
      </w:r>
      <w:r w:rsidR="004F1DC0">
        <w:t xml:space="preserve">3 </w:t>
      </w:r>
      <w:r w:rsidRPr="000C63A7">
        <w:t xml:space="preserve">din 11.03.2024  emisă de pârâta Casa Judeţeană de Pensii </w:t>
      </w:r>
      <w:r w:rsidR="004F1DC0">
        <w:t xml:space="preserve">S...... </w:t>
      </w:r>
      <w:r w:rsidRPr="000C63A7">
        <w:t>, prin care, la stabilirea drepturilor de pensie, nu i-a fost luată în considerare activitatea d</w:t>
      </w:r>
      <w:r w:rsidRPr="000C63A7">
        <w:t xml:space="preserve">esfăşurată în condiţii speciale de muncă, respectiv  perioadele 01.11.1991 – 31.10.2006 (regăsită în adeverinţa nr. </w:t>
      </w:r>
      <w:r w:rsidR="004F1DC0">
        <w:t>4</w:t>
      </w:r>
      <w:r w:rsidRPr="000C63A7">
        <w:t xml:space="preserve">/29.12.2023), 01.11.2006 - 21.01.2008 (regăsită în adeverinţa nr. </w:t>
      </w:r>
      <w:r w:rsidR="004F1DC0">
        <w:t>5</w:t>
      </w:r>
      <w:r w:rsidRPr="000C63A7">
        <w:t xml:space="preserve">/22.11.2023) şi 06.07.2009 – 14.02.2024 (regăsită în adeverinţa nr. </w:t>
      </w:r>
      <w:r w:rsidR="004F1DC0">
        <w:t xml:space="preserve">6 </w:t>
      </w:r>
      <w:r w:rsidRPr="000C63A7">
        <w:t>/1</w:t>
      </w:r>
      <w:r w:rsidRPr="000C63A7">
        <w:t>4.02.2024);</w:t>
      </w:r>
    </w:p>
    <w:p w:rsidRPr="000C63A7" w:rsidR="000C63A7" w:rsidP="000C63A7">
      <w:pPr>
        <w:ind w:firstLine="708"/>
        <w:jc w:val="both"/>
      </w:pPr>
      <w:r w:rsidRPr="000C63A7">
        <w:t>- obligarea pârâtei să emită o nouă decizie de pensie prin care să se valorifice perioadele menţionate în adeverinţele menţionate mai sus, ca fiind lucrate în condiţii speciale, în procent de 100%;</w:t>
      </w:r>
    </w:p>
    <w:p w:rsidRPr="000C63A7" w:rsidR="000C63A7" w:rsidP="000C63A7">
      <w:pPr>
        <w:ind w:firstLine="708"/>
        <w:jc w:val="both"/>
      </w:pPr>
      <w:r w:rsidRPr="000C63A7">
        <w:t>- obligarea pârâtei să majoreze cu 50% punctajele lunare de pensie realizate în perioadele r</w:t>
      </w:r>
      <w:r w:rsidRPr="000C63A7">
        <w:t>egăsite în adeverinţele menţionate mai sus, conform dispoziţiilor coroborate ale art. 20 alin. 2 şi 3 din OUG nr. 59/2000 şi art. 100 alin. 1, lit. b) din Legea nr. 263/2010;</w:t>
      </w:r>
    </w:p>
    <w:p w:rsidRPr="000C63A7" w:rsidR="000C63A7" w:rsidP="000C63A7">
      <w:pPr>
        <w:ind w:firstLine="708"/>
        <w:jc w:val="both"/>
      </w:pPr>
      <w:r w:rsidRPr="000C63A7">
        <w:t>- obligarea pârâtei la plata difere</w:t>
      </w:r>
      <w:r w:rsidRPr="000C63A7">
        <w:t>nţelor dintre drepturile de pensie acordate efectiv şi cele care urmează a fi recalculate conform prezentei hotărâri, începând cu data depunerii cererii privind acordarea pensiei (21.02.2024), cu dobânda legală aferentă de la data scadenţei (01.03.2024) şi până la data plăţii efective;</w:t>
      </w:r>
    </w:p>
    <w:p w:rsidRPr="000C63A7" w:rsidR="000C63A7" w:rsidP="000C63A7">
      <w:pPr>
        <w:ind w:firstLine="708"/>
        <w:jc w:val="both"/>
      </w:pPr>
      <w:r w:rsidRPr="000C63A7">
        <w:t>- obligarea pârâtei la plata cheltuielilor de judecată.</w:t>
      </w:r>
    </w:p>
    <w:p w:rsidRPr="000C63A7" w:rsidR="000C63A7" w:rsidP="000C63A7">
      <w:pPr>
        <w:ind w:firstLine="708"/>
        <w:jc w:val="both"/>
      </w:pPr>
      <w:r w:rsidRPr="000C63A7">
        <w:rPr>
          <w:b/>
          <w:i/>
        </w:rPr>
        <w:t xml:space="preserve">Prin sentinţa civilă nr. </w:t>
      </w:r>
      <w:r w:rsidR="004F1DC0">
        <w:rPr>
          <w:b/>
          <w:i/>
        </w:rPr>
        <w:t xml:space="preserve">......... </w:t>
      </w:r>
      <w:r w:rsidRPr="000C63A7">
        <w:rPr>
          <w:b/>
          <w:i/>
        </w:rPr>
        <w:t>/</w:t>
      </w:r>
      <w:r w:rsidR="004F1DC0">
        <w:rPr>
          <w:b/>
          <w:i/>
        </w:rPr>
        <w:t xml:space="preserve">......... </w:t>
      </w:r>
      <w:r w:rsidRPr="000C63A7">
        <w:t xml:space="preserve"> a fost admisă contestaţia formulată de reclamantul </w:t>
      </w:r>
      <w:r w:rsidR="004F1DC0">
        <w:t xml:space="preserve">1 </w:t>
      </w:r>
      <w:r w:rsidRPr="000C63A7">
        <w:t xml:space="preserve">, în contradictoriu cu pârâta Casa Județeană de Pensii </w:t>
      </w:r>
      <w:r w:rsidR="004F1DC0">
        <w:t xml:space="preserve">S......... </w:t>
      </w:r>
      <w:r w:rsidRPr="000C63A7">
        <w:t xml:space="preserve">și </w:t>
      </w:r>
      <w:r w:rsidRPr="000C63A7">
        <w:t>în consecință:</w:t>
      </w:r>
    </w:p>
    <w:p w:rsidRPr="000C63A7" w:rsidR="000C63A7" w:rsidP="000C63A7">
      <w:pPr>
        <w:ind w:firstLine="708"/>
        <w:jc w:val="both"/>
      </w:pPr>
      <w:r w:rsidRPr="000C63A7">
        <w:t xml:space="preserve">S-a dispus anularea deciziei nr. </w:t>
      </w:r>
      <w:r w:rsidR="004F1DC0">
        <w:t>3</w:t>
      </w:r>
      <w:r w:rsidRPr="000C63A7">
        <w:t xml:space="preserve">/11.03.2024, privind respingerea pensiei pentru limită de vârstă, emisă de pârâta Casa Judeţeană de Pensii </w:t>
      </w:r>
      <w:r w:rsidR="004F1DC0">
        <w:t xml:space="preserve">S......... </w:t>
      </w:r>
      <w:r w:rsidRPr="000C63A7">
        <w:t xml:space="preserve">şi a fost obligată pârâta să emită o nouă decizie prin care să se valorifice în favoarea reclamantului stagiul de cotizare menţionat în adeverinţele nr. </w:t>
      </w:r>
      <w:r w:rsidR="004F1DC0">
        <w:t>4</w:t>
      </w:r>
      <w:r w:rsidRPr="000C63A7">
        <w:t xml:space="preserve">/29.12.2023 eliberată de Direcţia Silvică </w:t>
      </w:r>
      <w:r w:rsidR="004F1DC0">
        <w:t xml:space="preserve">S......... </w:t>
      </w:r>
      <w:r w:rsidRPr="000C63A7">
        <w:t xml:space="preserve">– Ocolul Silvic </w:t>
      </w:r>
      <w:r w:rsidR="004F1DC0">
        <w:t xml:space="preserve">I........ </w:t>
      </w:r>
      <w:r w:rsidRPr="000C63A7">
        <w:t xml:space="preserve">, nr. </w:t>
      </w:r>
      <w:r w:rsidR="004F1DC0">
        <w:t>5</w:t>
      </w:r>
      <w:r w:rsidRPr="000C63A7">
        <w:t xml:space="preserve">/22.11.2023  eliberată de Regia Naţională a Pădurilor Romsilva – Direcţia Silvică </w:t>
      </w:r>
      <w:r w:rsidR="004F1DC0">
        <w:t xml:space="preserve">S......... </w:t>
      </w:r>
      <w:r w:rsidRPr="000C63A7">
        <w:t>– Ocolul Sil</w:t>
      </w:r>
      <w:r w:rsidRPr="000C63A7">
        <w:t xml:space="preserve">vic </w:t>
      </w:r>
      <w:r w:rsidR="004F1DC0">
        <w:t xml:space="preserve">J....... </w:t>
      </w:r>
      <w:r w:rsidRPr="000C63A7">
        <w:t xml:space="preserve">şi nr. </w:t>
      </w:r>
      <w:r w:rsidR="004F1DC0">
        <w:t>6</w:t>
      </w:r>
      <w:r w:rsidRPr="000C63A7">
        <w:t xml:space="preserve">/14.02.2024 eliberată de eliberată de Regia Naţională a Pădurilor Romsilva – Direcţia Silvică </w:t>
      </w:r>
      <w:r w:rsidR="004F1DC0">
        <w:t xml:space="preserve">S......... </w:t>
      </w:r>
      <w:r w:rsidRPr="000C63A7">
        <w:t xml:space="preserve">– Ocolul Silvic </w:t>
      </w:r>
      <w:r w:rsidR="004F1DC0">
        <w:t xml:space="preserve">C..... S....... </w:t>
      </w:r>
      <w:r w:rsidRPr="000C63A7">
        <w:t xml:space="preserve">, ca fiind realizat în condiţii speciale de muncă, în procent de 100%, începând cu data de 21.02.2024. </w:t>
      </w:r>
    </w:p>
    <w:p w:rsidRPr="000C63A7" w:rsidR="000C63A7" w:rsidP="000C63A7">
      <w:pPr>
        <w:ind w:firstLine="708"/>
        <w:jc w:val="both"/>
      </w:pPr>
      <w:r w:rsidRPr="000C63A7">
        <w:t xml:space="preserve">A fost obligată pârâta să majoreze cu 50 % punctajele lunare de pensie ale reclamantului realizate în perioadele regăsite în adeverinţele: nr. </w:t>
      </w:r>
      <w:r w:rsidR="004F1DC0">
        <w:t>4</w:t>
      </w:r>
      <w:r w:rsidRPr="000C63A7">
        <w:t xml:space="preserve">/29.12.2023 eliberată de Direcţia Silvică </w:t>
      </w:r>
      <w:r w:rsidR="004F1DC0">
        <w:t xml:space="preserve">S......... </w:t>
      </w:r>
      <w:r w:rsidRPr="000C63A7">
        <w:t xml:space="preserve">– Ocolul Silvic </w:t>
      </w:r>
      <w:r w:rsidR="004F1DC0">
        <w:t xml:space="preserve">I........ </w:t>
      </w:r>
      <w:r w:rsidRPr="000C63A7">
        <w:t xml:space="preserve">, nr. </w:t>
      </w:r>
      <w:r w:rsidR="004F1DC0">
        <w:t>5</w:t>
      </w:r>
      <w:r w:rsidRPr="000C63A7">
        <w:t>/22.11.2023 eliberat</w:t>
      </w:r>
      <w:r w:rsidRPr="000C63A7">
        <w:t xml:space="preserve">ă de Regia Naţională a Pădurilor Romsilva – Direcţia Silvică </w:t>
      </w:r>
      <w:r w:rsidR="004F1DC0">
        <w:t xml:space="preserve">S......... </w:t>
      </w:r>
      <w:r w:rsidRPr="000C63A7">
        <w:t xml:space="preserve">– Ocolul Silvic </w:t>
      </w:r>
      <w:r w:rsidR="004F1DC0">
        <w:t xml:space="preserve">J....... </w:t>
      </w:r>
      <w:r w:rsidRPr="000C63A7">
        <w:t xml:space="preserve">şi nr. </w:t>
      </w:r>
      <w:r w:rsidR="004F1DC0">
        <w:t>6</w:t>
      </w:r>
      <w:r w:rsidRPr="000C63A7">
        <w:t xml:space="preserve">/14.02.2024 eliberată de eliberată de Regia Naţională a Pădurilor Romsilva – Direcţia Silvică </w:t>
      </w:r>
      <w:r w:rsidR="004F1DC0">
        <w:t xml:space="preserve">S......... </w:t>
      </w:r>
      <w:r w:rsidRPr="000C63A7">
        <w:t xml:space="preserve">– Ocolul Silvic </w:t>
      </w:r>
      <w:r w:rsidR="004F1DC0">
        <w:t xml:space="preserve">C..... S....... </w:t>
      </w:r>
      <w:r w:rsidRPr="000C63A7">
        <w:t>, conform art.</w:t>
      </w:r>
      <w:r w:rsidRPr="000C63A7">
        <w:t xml:space="preserve"> 100 alin. 1 lit. b) din Legea nr. 263/2010. </w:t>
      </w:r>
    </w:p>
    <w:p w:rsidRPr="000C63A7" w:rsidR="000C63A7" w:rsidP="000C63A7">
      <w:pPr>
        <w:ind w:firstLine="708"/>
        <w:jc w:val="both"/>
      </w:pPr>
      <w:r w:rsidRPr="000C63A7">
        <w:t xml:space="preserve">A fost obligată pârâta să calculeze şi să-i plătească reclamantului drepturile băneşti cuvenite în urma emiterii noii decizii de acordare a pensiei pentru limită de vârstă, începând cu data depunerii cererii de pensionare, respectiv 21.02.2024, la care se va adăuga dobânda legală începând cu data scadenţei (01.03.2024) şi până la data plăţii efective. </w:t>
      </w:r>
    </w:p>
    <w:p w:rsidRPr="000C63A7" w:rsidR="000C63A7" w:rsidP="000C63A7">
      <w:pPr>
        <w:ind w:firstLine="708"/>
        <w:jc w:val="both"/>
      </w:pPr>
      <w:r w:rsidRPr="000C63A7">
        <w:t>A fost obligată pârâta la plata către reclamant a sumei de 1500 lei cu titlu de cheltuieli de judecată.</w:t>
      </w:r>
    </w:p>
    <w:p w:rsidRPr="000C63A7" w:rsidR="000C63A7" w:rsidP="000C63A7">
      <w:pPr>
        <w:ind w:firstLine="708"/>
        <w:jc w:val="both"/>
        <w:rPr>
          <w:rFonts w:eastAsia="Calibri"/>
          <w:b/>
          <w:i/>
        </w:rPr>
      </w:pPr>
      <w:r w:rsidRPr="000C63A7">
        <w:rPr>
          <w:rFonts w:eastAsia="Calibri"/>
          <w:b/>
          <w:i/>
        </w:rPr>
        <w:t xml:space="preserve">Pentru </w:t>
      </w:r>
      <w:r w:rsidRPr="000C63A7">
        <w:rPr>
          <w:rFonts w:eastAsia="Calibri"/>
          <w:b/>
          <w:i/>
        </w:rPr>
        <w:t xml:space="preserve">a hotărî astfel, tribunalul a reţinut următoarele: </w:t>
      </w:r>
    </w:p>
    <w:p w:rsidRPr="000C63A7" w:rsidR="000C63A7" w:rsidP="000C63A7">
      <w:pPr>
        <w:ind w:firstLine="720"/>
        <w:jc w:val="both"/>
        <w:rPr>
          <w:rFonts w:eastAsia="Calibri"/>
        </w:rPr>
      </w:pPr>
      <w:r w:rsidRPr="000C63A7">
        <w:rPr>
          <w:rFonts w:eastAsia="Calibri"/>
        </w:rPr>
        <w:t xml:space="preserve">Din înscrisurile depuse la dosar instanța a reținut că reclamantul </w:t>
      </w:r>
      <w:r w:rsidR="004F1DC0">
        <w:rPr>
          <w:rFonts w:eastAsia="Calibri"/>
        </w:rPr>
        <w:t xml:space="preserve">1 </w:t>
      </w:r>
      <w:r w:rsidRPr="000C63A7">
        <w:rPr>
          <w:rFonts w:eastAsia="Calibri"/>
        </w:rPr>
        <w:t xml:space="preserve">, în perioada 01.11.1991 – 14.02.2024, a fost angajat al Direcţiei Silvice </w:t>
      </w:r>
      <w:r w:rsidR="004F1DC0">
        <w:rPr>
          <w:rFonts w:eastAsia="Calibri"/>
        </w:rPr>
        <w:t xml:space="preserve">S...... </w:t>
      </w:r>
      <w:r w:rsidRPr="000C63A7">
        <w:rPr>
          <w:rFonts w:eastAsia="Calibri"/>
        </w:rPr>
        <w:t xml:space="preserve">, respectiv al Ocolului Silvic </w:t>
      </w:r>
      <w:r w:rsidR="004F1DC0">
        <w:rPr>
          <w:rFonts w:eastAsia="Calibri"/>
        </w:rPr>
        <w:t xml:space="preserve">I........ </w:t>
      </w:r>
      <w:r w:rsidRPr="000C63A7">
        <w:rPr>
          <w:rFonts w:eastAsia="Calibri"/>
        </w:rPr>
        <w:t>, al Ocolul</w:t>
      </w:r>
      <w:r w:rsidRPr="000C63A7">
        <w:rPr>
          <w:rFonts w:eastAsia="Calibri"/>
        </w:rPr>
        <w:t xml:space="preserve">ui Silvic </w:t>
      </w:r>
      <w:r w:rsidR="004F1DC0">
        <w:rPr>
          <w:rFonts w:eastAsia="Calibri"/>
        </w:rPr>
        <w:t xml:space="preserve">J....... </w:t>
      </w:r>
      <w:r w:rsidRPr="000C63A7">
        <w:rPr>
          <w:rFonts w:eastAsia="Calibri"/>
        </w:rPr>
        <w:t xml:space="preserve">şi al ocolului Silvic </w:t>
      </w:r>
      <w:r w:rsidR="004F1DC0">
        <w:rPr>
          <w:rFonts w:eastAsia="Calibri"/>
        </w:rPr>
        <w:t xml:space="preserve">C..... S....... </w:t>
      </w:r>
      <w:r w:rsidRPr="000C63A7">
        <w:rPr>
          <w:rFonts w:eastAsia="Calibri"/>
        </w:rPr>
        <w:t xml:space="preserve">, acesta desfăşurându-şi activitatea în condiții speciale de muncă, aşa cum a rezultat din adeverinţele nr. </w:t>
      </w:r>
      <w:r w:rsidR="004F1DC0">
        <w:rPr>
          <w:rFonts w:eastAsia="Calibri"/>
        </w:rPr>
        <w:t>4</w:t>
      </w:r>
      <w:r w:rsidRPr="000C63A7">
        <w:rPr>
          <w:rFonts w:eastAsia="Calibri"/>
        </w:rPr>
        <w:t xml:space="preserve">/29.12.2023 eliberată de Ocolul Silvic </w:t>
      </w:r>
      <w:r w:rsidR="004F1DC0">
        <w:rPr>
          <w:rFonts w:eastAsia="Calibri"/>
        </w:rPr>
        <w:t xml:space="preserve">I........ </w:t>
      </w:r>
      <w:r w:rsidRPr="000C63A7">
        <w:rPr>
          <w:rFonts w:eastAsia="Calibri"/>
        </w:rPr>
        <w:t xml:space="preserve">, </w:t>
      </w:r>
      <w:r w:rsidR="004F1DC0">
        <w:rPr>
          <w:rFonts w:eastAsia="Calibri"/>
        </w:rPr>
        <w:t>5</w:t>
      </w:r>
      <w:r w:rsidRPr="000C63A7">
        <w:rPr>
          <w:rFonts w:eastAsia="Calibri"/>
        </w:rPr>
        <w:t xml:space="preserve">/22.11.2023 eliberată de ocolul Silvic </w:t>
      </w:r>
      <w:r w:rsidR="004F1DC0">
        <w:rPr>
          <w:rFonts w:eastAsia="Calibri"/>
        </w:rPr>
        <w:t xml:space="preserve">J....... </w:t>
      </w:r>
      <w:r w:rsidRPr="000C63A7">
        <w:rPr>
          <w:rFonts w:eastAsia="Calibri"/>
        </w:rPr>
        <w:t xml:space="preserve">şi nr. </w:t>
      </w:r>
      <w:r w:rsidR="004F1DC0">
        <w:rPr>
          <w:rFonts w:eastAsia="Calibri"/>
        </w:rPr>
        <w:t>6</w:t>
      </w:r>
      <w:r w:rsidRPr="000C63A7">
        <w:rPr>
          <w:rFonts w:eastAsia="Calibri"/>
        </w:rPr>
        <w:t xml:space="preserve">/14.02.2024 eliberată de Ocolul Silvic </w:t>
      </w:r>
      <w:r w:rsidR="004F1DC0">
        <w:rPr>
          <w:rFonts w:eastAsia="Calibri"/>
        </w:rPr>
        <w:t xml:space="preserve">C..... S....... </w:t>
      </w:r>
      <w:r w:rsidRPr="000C63A7">
        <w:rPr>
          <w:rFonts w:eastAsia="Calibri"/>
        </w:rPr>
        <w:t xml:space="preserve">.  </w:t>
      </w:r>
    </w:p>
    <w:p w:rsidRPr="000C63A7" w:rsidR="000C63A7" w:rsidP="000C63A7">
      <w:pPr>
        <w:ind w:firstLine="720"/>
        <w:jc w:val="both"/>
        <w:rPr>
          <w:rFonts w:eastAsia="Calibri"/>
        </w:rPr>
      </w:pPr>
      <w:r w:rsidRPr="000C63A7">
        <w:rPr>
          <w:rFonts w:eastAsia="Calibri"/>
        </w:rPr>
        <w:t xml:space="preserve">Prin cererea nr. </w:t>
      </w:r>
      <w:r w:rsidR="004F1DC0">
        <w:rPr>
          <w:rFonts w:eastAsia="Calibri"/>
        </w:rPr>
        <w:t>7</w:t>
      </w:r>
      <w:r w:rsidRPr="000C63A7">
        <w:rPr>
          <w:rFonts w:eastAsia="Calibri"/>
        </w:rPr>
        <w:t>/21.02.20243, reclamantul a solicitat pârâtei acordarea pensiei pentru limită de vârstă, ataşând cererii sale cele trei adeverinţe menţionate mai sus, adeverințe</w:t>
      </w:r>
      <w:r w:rsidRPr="000C63A7">
        <w:rPr>
          <w:rFonts w:eastAsia="Calibri"/>
        </w:rPr>
        <w:t xml:space="preserve"> care au atestat încadrarea perioadei 01.11.1991 – 14.02.2024 ca fiind stagiu de cotizare în condiţii speciale, însă pârâta prin decizia nr. R</w:t>
      </w:r>
      <w:r w:rsidR="004F1DC0">
        <w:rPr>
          <w:rFonts w:eastAsia="Calibri"/>
        </w:rPr>
        <w:t>3</w:t>
      </w:r>
      <w:r w:rsidRPr="000C63A7">
        <w:rPr>
          <w:rFonts w:eastAsia="Calibri"/>
        </w:rPr>
        <w:t xml:space="preserve">/11.03.2024 a respins cererea reclamantului, fiind redată motivarea deciziei de respingere a acordării  pensiei pentru limită de vârstă. </w:t>
      </w:r>
    </w:p>
    <w:p w:rsidRPr="000C63A7" w:rsidR="000C63A7" w:rsidP="000C63A7">
      <w:pPr>
        <w:ind w:firstLine="720"/>
        <w:jc w:val="both"/>
        <w:rPr>
          <w:rFonts w:eastAsia="Calibri"/>
        </w:rPr>
      </w:pPr>
      <w:r w:rsidRPr="000C63A7">
        <w:rPr>
          <w:rFonts w:eastAsia="Calibri"/>
        </w:rPr>
        <w:t xml:space="preserve">Deşi în întâmpinarea depusă pârâta a făcut referire doar la adeverinţele nr. </w:t>
      </w:r>
      <w:r w:rsidR="004F1DC0">
        <w:rPr>
          <w:rFonts w:eastAsia="Calibri"/>
        </w:rPr>
        <w:t>6</w:t>
      </w:r>
      <w:r w:rsidRPr="000C63A7">
        <w:rPr>
          <w:rFonts w:eastAsia="Calibri"/>
        </w:rPr>
        <w:t xml:space="preserve">/14.02.2024 şi </w:t>
      </w:r>
      <w:r w:rsidR="004F1DC0">
        <w:rPr>
          <w:rFonts w:eastAsia="Calibri"/>
        </w:rPr>
        <w:t>5</w:t>
      </w:r>
      <w:r w:rsidRPr="000C63A7">
        <w:rPr>
          <w:rFonts w:eastAsia="Calibri"/>
        </w:rPr>
        <w:t>/22.11.2023, instanţa a constatat că reclamantul a ataşat cererii sale de acordare a pensiei pentru limită de vârstă toate cele trei adev</w:t>
      </w:r>
      <w:r w:rsidRPr="000C63A7">
        <w:rPr>
          <w:rFonts w:eastAsia="Calibri"/>
        </w:rPr>
        <w:t xml:space="preserve">erințe menţionate mai sus, aspect care a rezultat din faptul că în motivarea respingerii cererii de acordare a pensiei, pârâta a făcut şi ea referire la toate cele trei adeverinţe. În plus, pârâta a depus la dosar copia dosarului de pensie al reclamantului, în cuprinsul căruia se regăseau toate cele trei adeverinţe la care a făcut referire reclamantul. </w:t>
      </w:r>
    </w:p>
    <w:p w:rsidRPr="000C63A7" w:rsidR="000C63A7" w:rsidP="000C63A7">
      <w:pPr>
        <w:ind w:firstLine="720"/>
        <w:jc w:val="both"/>
        <w:rPr>
          <w:rFonts w:eastAsia="Calibri"/>
        </w:rPr>
      </w:pPr>
      <w:r w:rsidRPr="000C63A7">
        <w:rPr>
          <w:rFonts w:eastAsia="Calibri"/>
        </w:rPr>
        <w:t>Tribunalul a constatat că prin cererea de chemare în judecată, reclamantul a solicitat obligarea pârâtei la anularea deciziei de respingere a cererii de aco</w:t>
      </w:r>
      <w:r w:rsidRPr="000C63A7">
        <w:rPr>
          <w:rFonts w:eastAsia="Calibri"/>
        </w:rPr>
        <w:t xml:space="preserve">rdare a pensiei pentru limită de vârstă şi obligarea reclamantei la emiterea unei noi decizii de acordare a pensiei pentru limită de vârstă prin care să se valorifice perioadele menţionate în adeverinţele nr. </w:t>
      </w:r>
      <w:r w:rsidR="004F1DC0">
        <w:rPr>
          <w:rFonts w:eastAsia="Calibri"/>
        </w:rPr>
        <w:t>6</w:t>
      </w:r>
      <w:r w:rsidRPr="000C63A7">
        <w:rPr>
          <w:rFonts w:eastAsia="Calibri"/>
        </w:rPr>
        <w:t xml:space="preserve">/14.02.2024, </w:t>
      </w:r>
      <w:r w:rsidR="004F1DC0">
        <w:rPr>
          <w:rFonts w:eastAsia="Calibri"/>
        </w:rPr>
        <w:t>5</w:t>
      </w:r>
      <w:r w:rsidRPr="000C63A7">
        <w:rPr>
          <w:rFonts w:eastAsia="Calibri"/>
        </w:rPr>
        <w:t xml:space="preserve">/22.11.2023 şi </w:t>
      </w:r>
      <w:r w:rsidR="004F1DC0">
        <w:rPr>
          <w:rFonts w:eastAsia="Calibri"/>
        </w:rPr>
        <w:t>4</w:t>
      </w:r>
      <w:r w:rsidRPr="000C63A7">
        <w:rPr>
          <w:rFonts w:eastAsia="Calibri"/>
        </w:rPr>
        <w:t>/29.12.2023, ca fiind lucrate în condiţii speciale în procent de 100%, cu majorarea punctajelor lunare de pensie cu 50 % conform dispoziţiilor art. 20 alin. 2 şi 3 din OUG nr. 59/2000 şi a art. 100 alin. 1 lit. b) din Legea nr. 263/2010, plata drepturilor de pensie (de la</w:t>
      </w:r>
      <w:r w:rsidRPr="000C63A7">
        <w:rPr>
          <w:rFonts w:eastAsia="Calibri"/>
        </w:rPr>
        <w:t xml:space="preserve"> data depunerii cererii) şi plata dobânzii legale de la data scadenţei (01.03.2024) şi până la data plăţii efective.  </w:t>
      </w:r>
    </w:p>
    <w:p w:rsidRPr="000C63A7" w:rsidR="000C63A7" w:rsidP="000C63A7">
      <w:pPr>
        <w:ind w:firstLine="720"/>
        <w:jc w:val="both"/>
        <w:rPr>
          <w:rFonts w:eastAsia="Calibri"/>
        </w:rPr>
      </w:pPr>
      <w:r w:rsidRPr="000C63A7">
        <w:rPr>
          <w:rFonts w:eastAsia="Calibri"/>
        </w:rPr>
        <w:t>Instanța a reţinut ca aplicabile dispoziţiile art. 20 alin. 2, 3 și 4 din OUG nr. 59/2000 privind Statutul personalului silvic, astfel cum a fost modificat prin Legea nr. 234/2019, în vigoare începând cu 16.12.2019, fiind redate aceste prevederi în cuprinsul hotărârii.</w:t>
      </w:r>
    </w:p>
    <w:p w:rsidRPr="000C63A7" w:rsidR="000C63A7" w:rsidP="000C63A7">
      <w:pPr>
        <w:ind w:firstLine="720"/>
        <w:jc w:val="both"/>
        <w:rPr>
          <w:rFonts w:eastAsia="Calibri"/>
        </w:rPr>
      </w:pPr>
      <w:r w:rsidRPr="000C63A7">
        <w:rPr>
          <w:rFonts w:eastAsia="Calibri"/>
        </w:rPr>
        <w:t xml:space="preserve">S-a mai constatat că din adeverinţele nr. </w:t>
      </w:r>
      <w:r w:rsidR="004F1DC0">
        <w:rPr>
          <w:rFonts w:eastAsia="Calibri"/>
        </w:rPr>
        <w:t>4</w:t>
      </w:r>
      <w:r w:rsidRPr="000C63A7">
        <w:rPr>
          <w:rFonts w:eastAsia="Calibri"/>
        </w:rPr>
        <w:t xml:space="preserve">/29.12.2023 eliberată de Ocolul Silvic </w:t>
      </w:r>
      <w:r w:rsidR="004F1DC0">
        <w:rPr>
          <w:rFonts w:eastAsia="Calibri"/>
        </w:rPr>
        <w:t xml:space="preserve">I........ </w:t>
      </w:r>
      <w:r w:rsidRPr="000C63A7">
        <w:rPr>
          <w:rFonts w:eastAsia="Calibri"/>
        </w:rPr>
        <w:t xml:space="preserve">, nr. </w:t>
      </w:r>
      <w:r w:rsidR="004F1DC0">
        <w:rPr>
          <w:rFonts w:eastAsia="Calibri"/>
        </w:rPr>
        <w:t>5</w:t>
      </w:r>
      <w:r w:rsidRPr="000C63A7">
        <w:rPr>
          <w:rFonts w:eastAsia="Calibri"/>
        </w:rPr>
        <w:t>/22.11.2023 eliberată de</w:t>
      </w:r>
      <w:r w:rsidRPr="000C63A7">
        <w:rPr>
          <w:rFonts w:eastAsia="Calibri"/>
        </w:rPr>
        <w:t xml:space="preserve"> ocolul Silvic </w:t>
      </w:r>
      <w:r w:rsidR="004F1DC0">
        <w:rPr>
          <w:rFonts w:eastAsia="Calibri"/>
        </w:rPr>
        <w:t xml:space="preserve">J....... </w:t>
      </w:r>
      <w:r w:rsidRPr="000C63A7">
        <w:rPr>
          <w:rFonts w:eastAsia="Calibri"/>
        </w:rPr>
        <w:t xml:space="preserve">şi nr. </w:t>
      </w:r>
      <w:r w:rsidR="004F1DC0">
        <w:rPr>
          <w:rFonts w:eastAsia="Calibri"/>
        </w:rPr>
        <w:t>6</w:t>
      </w:r>
      <w:r w:rsidRPr="000C63A7">
        <w:rPr>
          <w:rFonts w:eastAsia="Calibri"/>
        </w:rPr>
        <w:t xml:space="preserve">/14.02.2024 eliberată de Ocolul Silvic </w:t>
      </w:r>
      <w:r w:rsidR="004F1DC0">
        <w:rPr>
          <w:rFonts w:eastAsia="Calibri"/>
        </w:rPr>
        <w:t xml:space="preserve">C..... S....... </w:t>
      </w:r>
      <w:r w:rsidRPr="000C63A7">
        <w:rPr>
          <w:rFonts w:eastAsia="Calibri"/>
        </w:rPr>
        <w:t xml:space="preserve"> a rezultat că reclamantul a lucrat în perioada 01.11.1991 – 14.02.2024 în domeniul silviculturii, menționându-se că activităţile desfăşurate de către acesta, constând în exploatări forestiere, paza fondului forestier, lucrări specifice de teren în activitatea de fond forestier şi împăduriri, respectiv activităţi de control silvic şi ci</w:t>
      </w:r>
      <w:r w:rsidRPr="000C63A7">
        <w:rPr>
          <w:rFonts w:eastAsia="Calibri"/>
        </w:rPr>
        <w:t>negetic, se încadrează în prevederile art. 20 alin. 2 din OUG nr. 59/2000, cu modificăr</w:t>
      </w:r>
      <w:r w:rsidRPr="000C63A7">
        <w:rPr>
          <w:rFonts w:eastAsia="Calibri"/>
        </w:rPr>
        <w:t xml:space="preserve">ile şi completările ulterioare, fiind astfel efectuate în condiții speciale de muncă. </w:t>
      </w:r>
    </w:p>
    <w:p w:rsidRPr="000C63A7" w:rsidR="000C63A7" w:rsidP="000C63A7">
      <w:pPr>
        <w:ind w:firstLine="720"/>
        <w:jc w:val="both"/>
        <w:rPr>
          <w:rFonts w:eastAsia="Calibri"/>
        </w:rPr>
      </w:pPr>
      <w:r w:rsidRPr="000C63A7">
        <w:rPr>
          <w:rFonts w:eastAsia="Calibri"/>
        </w:rPr>
        <w:t xml:space="preserve">S-a apreciat că prin aceste adeverinţe eliberate de către fostul angajator s-a atestat în mod explicit starea de fapt expusă, care se încadra în ipoteza normei legale menționate și a atras </w:t>
      </w:r>
      <w:r w:rsidRPr="000C63A7">
        <w:rPr>
          <w:rFonts w:eastAsia="Calibri"/>
          <w:i/>
        </w:rPr>
        <w:t>ope legis</w:t>
      </w:r>
      <w:r w:rsidRPr="000C63A7">
        <w:rPr>
          <w:rFonts w:eastAsia="Calibri"/>
        </w:rPr>
        <w:t xml:space="preserve"> încadrarea activităţii reclamantului în condiții speciale, cu beneficiile indicate în art. 20 alin. 3 din OUG nr. 59/2000. Adeverințele au fost întocmite, conform mențiunilor exprese din cuprinsul acesteia, anume în temeiul și</w:t>
      </w:r>
      <w:r w:rsidRPr="000C63A7">
        <w:rPr>
          <w:rFonts w:eastAsia="Calibri"/>
        </w:rPr>
        <w:t xml:space="preserve"> pentru aplicarea art. 20 din OUG nr.59/2000. </w:t>
      </w:r>
    </w:p>
    <w:p w:rsidRPr="000C63A7" w:rsidR="000C63A7" w:rsidP="000C63A7">
      <w:pPr>
        <w:ind w:firstLine="720"/>
        <w:jc w:val="both"/>
        <w:rPr>
          <w:rFonts w:eastAsia="Calibri"/>
        </w:rPr>
      </w:pPr>
      <w:r w:rsidRPr="000C63A7">
        <w:rPr>
          <w:rFonts w:eastAsia="Calibri"/>
        </w:rPr>
        <w:t>Contrar celor susținute de către pârâtă, instanţa a găsit întemeiată cererea formulată de reclamant şi a reţinut că acordarea acestor beneficii nu putea fi condiționată de îndeplinirea de către angajator a unor obligații personale, precum plata unei contribuții superioare la bugetul asigurărilor sociale, care să fi rezultat din declaraţia nominală de asigurare, deoarece o atare măsură nu era prevăzută nici de legea specială, respectiv art. 20 din OUG nr. 59/200</w:t>
      </w:r>
      <w:r w:rsidRPr="000C63A7">
        <w:rPr>
          <w:rFonts w:eastAsia="Calibri"/>
        </w:rPr>
        <w:t>0 și nici de legea generală în materia drepturilor de asigurări sociale și anume Legea nr. 263/2010. Nu a prezentat relevanţă nici dacă era vorba despre o persoană care avea calitatea de pensionar la acest moment sau de o persoană care urmează să dobândească această calitate, beneficiul acordat a privit toate persoanele care se încadrau în prevederile art. 20 din OUG nr. 59/2000, fără nicio distincţie.</w:t>
      </w:r>
    </w:p>
    <w:p w:rsidRPr="000C63A7" w:rsidR="000C63A7" w:rsidP="000C63A7">
      <w:pPr>
        <w:ind w:firstLine="720"/>
        <w:jc w:val="both"/>
        <w:rPr>
          <w:rFonts w:eastAsia="Calibri"/>
        </w:rPr>
      </w:pPr>
      <w:r w:rsidRPr="000C63A7">
        <w:rPr>
          <w:rFonts w:eastAsia="Calibri"/>
        </w:rPr>
        <w:t xml:space="preserve">În opinia instanţe chestiunile de drept de care a depins soluţionarea acţiunii au fost tranşate de Înalta </w:t>
      </w:r>
      <w:r w:rsidRPr="000C63A7">
        <w:rPr>
          <w:rFonts w:eastAsia="Calibri"/>
        </w:rPr>
        <w:t>Curte de Casaţie şi Justiţie prin Decizia nr. 36/2023 – Completul pentru dezlegarea unor chestiuni de drept.</w:t>
      </w:r>
    </w:p>
    <w:p w:rsidRPr="000C63A7" w:rsidR="000C63A7" w:rsidP="000C63A7">
      <w:pPr>
        <w:ind w:firstLine="720"/>
        <w:jc w:val="both"/>
        <w:rPr>
          <w:rFonts w:eastAsia="Calibri"/>
        </w:rPr>
      </w:pPr>
      <w:r w:rsidRPr="000C63A7">
        <w:rPr>
          <w:rFonts w:eastAsia="Calibri"/>
        </w:rPr>
        <w:t xml:space="preserve">Instanţa a reţinut că în această situaţie se regăseşte şi reclamantul, atâta timp cât din adeverinţă au rezultat activităţile desfăşurate şi încadrarea în condiţii speciale, astfel încât, acesta trebuia să beneficieze de avantajele conferite de art. 20 alin. 3 al OUG nr. 59/2000 şi constatate </w:t>
      </w:r>
      <w:r w:rsidRPr="000C63A7">
        <w:rPr>
          <w:rFonts w:eastAsia="Calibri"/>
        </w:rPr>
        <w:t>prin Decizia nr. 36/2023 a ÎCCJ, respectiv de reducerea vârstei standard de pensionare, precum şi de avantaje</w:t>
      </w:r>
      <w:r w:rsidRPr="000C63A7">
        <w:rPr>
          <w:rFonts w:eastAsia="Calibri"/>
        </w:rPr>
        <w:t xml:space="preserve">le conferite de art. 100 alin. 1 lit. b) din Legea nr. 263/2010, respectiv majorarea cu 50 % a punctajelor lunare realizate în perioadele în care activitatea sa a fost încadrată în condiţii speciale, aceasta fiind singura dispoziţie legală din legislaţia naţională care reglementează procentul cu care se majorează punctajele lunare de pensii pentru persoanele care au desfăşurat activitate în condiţii speciale de muncă. </w:t>
      </w:r>
    </w:p>
    <w:p w:rsidRPr="000C63A7" w:rsidR="000C63A7" w:rsidP="000C63A7">
      <w:pPr>
        <w:ind w:firstLine="720"/>
        <w:jc w:val="both"/>
        <w:rPr>
          <w:rFonts w:eastAsia="Calibri"/>
        </w:rPr>
      </w:pPr>
      <w:r w:rsidRPr="000C63A7">
        <w:rPr>
          <w:rFonts w:eastAsia="Calibri"/>
        </w:rPr>
        <w:t>Având în vedere Decizia nr. 36/2023 pronunțată de ÎCCJ – completul pentru dezlegarea unor</w:t>
      </w:r>
      <w:r w:rsidRPr="000C63A7">
        <w:rPr>
          <w:rFonts w:eastAsia="Calibri"/>
        </w:rPr>
        <w:t xml:space="preserve"> chestiuni de drept, dezlegare care era obligatorie, instanța a admis acțiunea formulată de către reclamant și a dispus anularea deciziei nr. R</w:t>
      </w:r>
      <w:r w:rsidR="003603FA">
        <w:rPr>
          <w:rFonts w:eastAsia="Calibri"/>
        </w:rPr>
        <w:t xml:space="preserve"> </w:t>
      </w:r>
      <w:r w:rsidR="004F1DC0">
        <w:rPr>
          <w:rFonts w:eastAsia="Calibri"/>
        </w:rPr>
        <w:t>3</w:t>
      </w:r>
      <w:r w:rsidRPr="000C63A7">
        <w:rPr>
          <w:rFonts w:eastAsia="Calibri"/>
        </w:rPr>
        <w:t xml:space="preserve">/11.03.2024, privind respingerea pensiei pentru limită de vârstă, emisă de pârâta Casa Judeţeană de Pensii </w:t>
      </w:r>
      <w:r w:rsidR="004F1DC0">
        <w:rPr>
          <w:rFonts w:eastAsia="Calibri"/>
        </w:rPr>
        <w:t>S...</w:t>
      </w:r>
      <w:r w:rsidR="004F1DC0">
        <w:rPr>
          <w:rFonts w:eastAsia="Calibri"/>
        </w:rPr>
        <w:t xml:space="preserve">... </w:t>
      </w:r>
      <w:r w:rsidRPr="000C63A7">
        <w:rPr>
          <w:rFonts w:eastAsia="Calibri"/>
        </w:rPr>
        <w:t xml:space="preserve">. </w:t>
      </w:r>
    </w:p>
    <w:p w:rsidRPr="000C63A7" w:rsidR="000C63A7" w:rsidP="000C63A7">
      <w:pPr>
        <w:ind w:firstLine="720"/>
        <w:jc w:val="both"/>
        <w:rPr>
          <w:rFonts w:eastAsia="Calibri"/>
        </w:rPr>
      </w:pPr>
      <w:r w:rsidRPr="000C63A7">
        <w:rPr>
          <w:rFonts w:eastAsia="Calibri"/>
        </w:rPr>
        <w:t xml:space="preserve">Totodată, instanţa a obligat pârâta să emită o nouă decizie prin care să se valorifice în favoarea reclamantului stagiul de cotizare menţionat în adeverinţele nr. </w:t>
      </w:r>
      <w:r w:rsidR="004F1DC0">
        <w:rPr>
          <w:rFonts w:eastAsia="Calibri"/>
        </w:rPr>
        <w:t>4</w:t>
      </w:r>
      <w:r w:rsidRPr="000C63A7">
        <w:rPr>
          <w:rFonts w:eastAsia="Calibri"/>
        </w:rPr>
        <w:t xml:space="preserve">/29.12.2023 eliberată de Direcţia Silvică </w:t>
      </w:r>
      <w:r w:rsidR="004F1DC0">
        <w:rPr>
          <w:rFonts w:eastAsia="Calibri"/>
        </w:rPr>
        <w:t xml:space="preserve">S......... </w:t>
      </w:r>
      <w:r w:rsidRPr="000C63A7">
        <w:rPr>
          <w:rFonts w:eastAsia="Calibri"/>
        </w:rPr>
        <w:t xml:space="preserve">– Ocolul Silvic </w:t>
      </w:r>
      <w:r w:rsidR="004F1DC0">
        <w:rPr>
          <w:rFonts w:eastAsia="Calibri"/>
        </w:rPr>
        <w:t xml:space="preserve">I........ </w:t>
      </w:r>
      <w:r w:rsidRPr="000C63A7">
        <w:rPr>
          <w:rFonts w:eastAsia="Calibri"/>
        </w:rPr>
        <w:t xml:space="preserve">, nr. </w:t>
      </w:r>
      <w:r w:rsidR="004F1DC0">
        <w:rPr>
          <w:rFonts w:eastAsia="Calibri"/>
        </w:rPr>
        <w:t>5</w:t>
      </w:r>
      <w:r w:rsidRPr="000C63A7">
        <w:rPr>
          <w:rFonts w:eastAsia="Calibri"/>
        </w:rPr>
        <w:t xml:space="preserve">/22.11.2023  eliberată de Regia Naţională a Pădurilor Romsilva – Direcţia Silvică </w:t>
      </w:r>
      <w:r w:rsidR="004F1DC0">
        <w:rPr>
          <w:rFonts w:eastAsia="Calibri"/>
        </w:rPr>
        <w:t xml:space="preserve">S......... </w:t>
      </w:r>
      <w:r w:rsidRPr="000C63A7">
        <w:rPr>
          <w:rFonts w:eastAsia="Calibri"/>
        </w:rPr>
        <w:t xml:space="preserve">– Ocolul Silvic </w:t>
      </w:r>
      <w:r w:rsidR="004F1DC0">
        <w:rPr>
          <w:rFonts w:eastAsia="Calibri"/>
        </w:rPr>
        <w:t xml:space="preserve">J....... </w:t>
      </w:r>
      <w:r w:rsidRPr="000C63A7">
        <w:rPr>
          <w:rFonts w:eastAsia="Calibri"/>
        </w:rPr>
        <w:t xml:space="preserve">şi nr. </w:t>
      </w:r>
      <w:r w:rsidR="004F1DC0">
        <w:rPr>
          <w:rFonts w:eastAsia="Calibri"/>
        </w:rPr>
        <w:t>6</w:t>
      </w:r>
      <w:r w:rsidRPr="000C63A7">
        <w:rPr>
          <w:rFonts w:eastAsia="Calibri"/>
        </w:rPr>
        <w:t xml:space="preserve">/14.02.2024 eliberată de eliberată de Regia Naţională a Pădurilor Romsilva – Direcţia Silvică </w:t>
      </w:r>
      <w:r w:rsidR="004F1DC0">
        <w:rPr>
          <w:rFonts w:eastAsia="Calibri"/>
        </w:rPr>
        <w:t xml:space="preserve">S......... </w:t>
      </w:r>
      <w:r w:rsidRPr="000C63A7">
        <w:rPr>
          <w:rFonts w:eastAsia="Calibri"/>
        </w:rPr>
        <w:t xml:space="preserve">– Ocolul Silvic </w:t>
      </w:r>
      <w:r w:rsidR="004F1DC0">
        <w:rPr>
          <w:rFonts w:eastAsia="Calibri"/>
        </w:rPr>
        <w:t>C..... S</w:t>
      </w:r>
      <w:r w:rsidR="004F1DC0">
        <w:rPr>
          <w:rFonts w:eastAsia="Calibri"/>
        </w:rPr>
        <w:t xml:space="preserve">....... </w:t>
      </w:r>
      <w:r w:rsidRPr="000C63A7">
        <w:rPr>
          <w:rFonts w:eastAsia="Calibri"/>
        </w:rPr>
        <w:t xml:space="preserve">, ca fiind realizat în condiţii speciale de muncă, în procent de 100%, începând cu data de 21.02.2024. </w:t>
      </w:r>
    </w:p>
    <w:p w:rsidRPr="000C63A7" w:rsidR="000C63A7" w:rsidP="000C63A7">
      <w:pPr>
        <w:ind w:firstLine="720"/>
        <w:jc w:val="both"/>
        <w:rPr>
          <w:rFonts w:eastAsia="Calibri"/>
        </w:rPr>
      </w:pPr>
      <w:r w:rsidRPr="000C63A7">
        <w:rPr>
          <w:rFonts w:eastAsia="Calibri"/>
        </w:rPr>
        <w:t xml:space="preserve">De asemenea, în baza art. 100 alin. 1 lit. b) din Legea nr. 263/2010 pârâta a fost obligată să majoreze cu 50 % punctajele lunare de pensie ale reclamantului realizate în perioadele regăsite în adeverinţele nr. </w:t>
      </w:r>
      <w:r w:rsidR="004F1DC0">
        <w:rPr>
          <w:rFonts w:eastAsia="Calibri"/>
        </w:rPr>
        <w:t>4</w:t>
      </w:r>
      <w:r w:rsidRPr="000C63A7">
        <w:rPr>
          <w:rFonts w:eastAsia="Calibri"/>
        </w:rPr>
        <w:t xml:space="preserve">/29.12.2023 eliberată de Direcţia Silvică </w:t>
      </w:r>
      <w:r w:rsidR="004F1DC0">
        <w:rPr>
          <w:rFonts w:eastAsia="Calibri"/>
        </w:rPr>
        <w:t xml:space="preserve">S......... </w:t>
      </w:r>
      <w:r w:rsidRPr="000C63A7">
        <w:rPr>
          <w:rFonts w:eastAsia="Calibri"/>
        </w:rPr>
        <w:t xml:space="preserve">– Ocolul Silvic </w:t>
      </w:r>
      <w:r w:rsidR="004F1DC0">
        <w:rPr>
          <w:rFonts w:eastAsia="Calibri"/>
        </w:rPr>
        <w:t xml:space="preserve">I........ </w:t>
      </w:r>
      <w:r w:rsidRPr="000C63A7">
        <w:rPr>
          <w:rFonts w:eastAsia="Calibri"/>
        </w:rPr>
        <w:t xml:space="preserve">, nr. </w:t>
      </w:r>
      <w:r w:rsidR="004F1DC0">
        <w:rPr>
          <w:rFonts w:eastAsia="Calibri"/>
        </w:rPr>
        <w:t>5</w:t>
      </w:r>
      <w:r w:rsidRPr="000C63A7">
        <w:rPr>
          <w:rFonts w:eastAsia="Calibri"/>
        </w:rPr>
        <w:t xml:space="preserve">/22.11.2023  eliberată de Regia Naţională a Pădurilor Romsilva – Direcţia Silvică </w:t>
      </w:r>
      <w:r w:rsidR="004F1DC0">
        <w:rPr>
          <w:rFonts w:eastAsia="Calibri"/>
        </w:rPr>
        <w:t xml:space="preserve">S......... </w:t>
      </w:r>
      <w:r w:rsidRPr="000C63A7">
        <w:rPr>
          <w:rFonts w:eastAsia="Calibri"/>
        </w:rPr>
        <w:t xml:space="preserve">– Ocolul </w:t>
      </w:r>
      <w:r w:rsidRPr="000C63A7">
        <w:rPr>
          <w:rFonts w:eastAsia="Calibri"/>
        </w:rPr>
        <w:t xml:space="preserve">Silvic </w:t>
      </w:r>
      <w:r w:rsidR="004F1DC0">
        <w:rPr>
          <w:rFonts w:eastAsia="Calibri"/>
        </w:rPr>
        <w:t xml:space="preserve">J....... </w:t>
      </w:r>
      <w:r w:rsidRPr="000C63A7">
        <w:rPr>
          <w:rFonts w:eastAsia="Calibri"/>
        </w:rPr>
        <w:t xml:space="preserve">şi nr. </w:t>
      </w:r>
      <w:r w:rsidR="004F1DC0">
        <w:rPr>
          <w:rFonts w:eastAsia="Calibri"/>
        </w:rPr>
        <w:t>6</w:t>
      </w:r>
      <w:r w:rsidRPr="000C63A7">
        <w:rPr>
          <w:rFonts w:eastAsia="Calibri"/>
        </w:rPr>
        <w:t xml:space="preserve">/14.02.2024 eliberată de eliberată de Regia Naţională a Pădurilor Romsilva – Direcţia Silvică </w:t>
      </w:r>
      <w:r w:rsidR="004F1DC0">
        <w:rPr>
          <w:rFonts w:eastAsia="Calibri"/>
        </w:rPr>
        <w:t xml:space="preserve">S......... </w:t>
      </w:r>
      <w:r w:rsidRPr="000C63A7">
        <w:rPr>
          <w:rFonts w:eastAsia="Calibri"/>
        </w:rPr>
        <w:t xml:space="preserve">– Ocolul Silvic </w:t>
      </w:r>
      <w:r w:rsidR="004F1DC0">
        <w:rPr>
          <w:rFonts w:eastAsia="Calibri"/>
        </w:rPr>
        <w:t xml:space="preserve">C..... S....... </w:t>
      </w:r>
      <w:r w:rsidRPr="000C63A7">
        <w:rPr>
          <w:rFonts w:eastAsia="Calibri"/>
        </w:rPr>
        <w:t>.</w:t>
      </w:r>
    </w:p>
    <w:p w:rsidRPr="000C63A7" w:rsidR="000C63A7" w:rsidP="000C63A7">
      <w:pPr>
        <w:ind w:firstLine="720"/>
        <w:jc w:val="both"/>
        <w:rPr>
          <w:rFonts w:eastAsia="Calibri"/>
        </w:rPr>
      </w:pPr>
      <w:r w:rsidRPr="000C63A7">
        <w:rPr>
          <w:rFonts w:eastAsia="Calibri"/>
        </w:rPr>
        <w:t>În ceea ce priveşte data acordării acestor drepturi, instanţa a reţinut că în speţă sunt aplicabile dispozițiile art. 104 alin. 2 din Legea nr. 263/2010, sens în care a obligat pârâta la</w:t>
      </w:r>
      <w:r w:rsidRPr="000C63A7">
        <w:rPr>
          <w:rFonts w:eastAsia="Calibri"/>
        </w:rPr>
        <w:t xml:space="preserve"> plata drepturilor de pensie începând cu 21.02.2024, raportat la data depunerii cererii de acordare a pensiei pentru limită de vârstă.    </w:t>
      </w:r>
    </w:p>
    <w:p w:rsidRPr="000C63A7" w:rsidR="000C63A7" w:rsidP="000C63A7">
      <w:pPr>
        <w:ind w:firstLine="720"/>
        <w:jc w:val="both"/>
        <w:rPr>
          <w:rFonts w:eastAsia="Calibri"/>
        </w:rPr>
      </w:pPr>
      <w:r w:rsidRPr="000C63A7">
        <w:rPr>
          <w:rFonts w:eastAsia="Calibri"/>
        </w:rPr>
        <w:t>Referitor la plata dobân</w:t>
      </w:r>
      <w:r w:rsidRPr="000C63A7">
        <w:rPr>
          <w:rFonts w:eastAsia="Calibri"/>
        </w:rPr>
        <w:t>zii legale aferente acestor sume, instanţa a reţinut că reclamantul era îndreptăţit la acestea, în conformitate cu dispoziţiile art. 1531 alin. l şi alin. 2 Codul Civil.</w:t>
      </w:r>
    </w:p>
    <w:p w:rsidRPr="000C63A7" w:rsidR="000C63A7" w:rsidP="000C63A7">
      <w:pPr>
        <w:ind w:firstLine="720"/>
        <w:jc w:val="both"/>
        <w:rPr>
          <w:rFonts w:eastAsia="Calibri"/>
        </w:rPr>
      </w:pPr>
      <w:r w:rsidRPr="000C63A7">
        <w:rPr>
          <w:rFonts w:eastAsia="Calibri"/>
        </w:rPr>
        <w:t xml:space="preserve">Întrucât pârâta Casa Judeţeană de Pensii </w:t>
      </w:r>
      <w:r w:rsidR="004F1DC0">
        <w:rPr>
          <w:rFonts w:eastAsia="Calibri"/>
        </w:rPr>
        <w:t xml:space="preserve">S......... </w:t>
      </w:r>
      <w:r w:rsidRPr="000C63A7">
        <w:rPr>
          <w:rFonts w:eastAsia="Calibri"/>
        </w:rPr>
        <w:t xml:space="preserve">nu a luat în considerare adeverinţele nr. </w:t>
      </w:r>
      <w:r w:rsidR="004F1DC0">
        <w:rPr>
          <w:rFonts w:eastAsia="Calibri"/>
        </w:rPr>
        <w:t>6</w:t>
      </w:r>
      <w:r w:rsidRPr="000C63A7">
        <w:rPr>
          <w:rFonts w:eastAsia="Calibri"/>
        </w:rPr>
        <w:t xml:space="preserve">/14.02.2024, </w:t>
      </w:r>
      <w:r w:rsidR="004F1DC0">
        <w:rPr>
          <w:rFonts w:eastAsia="Calibri"/>
        </w:rPr>
        <w:t>5</w:t>
      </w:r>
      <w:r w:rsidRPr="000C63A7">
        <w:rPr>
          <w:rFonts w:eastAsia="Calibri"/>
        </w:rPr>
        <w:t xml:space="preserve">/22.11.2023 şi </w:t>
      </w:r>
      <w:r w:rsidR="004F1DC0">
        <w:rPr>
          <w:rFonts w:eastAsia="Calibri"/>
        </w:rPr>
        <w:t>4</w:t>
      </w:r>
      <w:r w:rsidRPr="000C63A7">
        <w:rPr>
          <w:rFonts w:eastAsia="Calibri"/>
        </w:rPr>
        <w:t>/29.12.2023, privind stagiul de cotizare realizat de reclamant în condiţii speciale, cererea de obligare la plata dobânzii legale aferentă drepturilor de pensie cuvenite şi neacordate a fost apreciată întemeiată, urmâ</w:t>
      </w:r>
      <w:r w:rsidRPr="000C63A7">
        <w:rPr>
          <w:rFonts w:eastAsia="Calibri"/>
        </w:rPr>
        <w:t>nd ca plata dobânzii să se facă de la data de scadenţei acestora, respectiv 01.03.2024, conform solicitării reclamantului.</w:t>
      </w:r>
    </w:p>
    <w:p w:rsidRPr="000C63A7" w:rsidR="000C63A7" w:rsidP="000C63A7">
      <w:pPr>
        <w:ind w:firstLine="720"/>
        <w:jc w:val="both"/>
        <w:rPr>
          <w:rFonts w:eastAsia="Calibri"/>
        </w:rPr>
      </w:pPr>
      <w:r w:rsidRPr="000C63A7">
        <w:rPr>
          <w:rFonts w:eastAsia="Calibri"/>
        </w:rPr>
        <w:t>În baza art. 453 Cod procedură civilă, reţinând culpa procesuală a pârâtei în purtarea prezentului proces, respectiv refuzul nejustificat al acesteia de a acorda reclamantului pensia pentru limită de vârstă, Tribunalul o obligat la plata către reclamant a sumei de 1</w:t>
      </w:r>
      <w:r w:rsidRPr="000C63A7">
        <w:rPr>
          <w:rFonts w:eastAsia="Calibri"/>
        </w:rPr>
        <w:t xml:space="preserve">500 lei cu titlu de cheltuieli judiciare constând în onorariu avocaţial conform chitanţei depuse la dosar. </w:t>
      </w:r>
    </w:p>
    <w:p w:rsidRPr="000C63A7" w:rsidR="000C63A7" w:rsidP="000C63A7">
      <w:pPr>
        <w:ind w:firstLine="720"/>
        <w:jc w:val="both"/>
      </w:pPr>
      <w:r w:rsidRPr="000C63A7">
        <w:rPr>
          <w:b/>
          <w:i/>
        </w:rPr>
        <w:t>Împotriva acest</w:t>
      </w:r>
      <w:r w:rsidRPr="000C63A7">
        <w:rPr>
          <w:b/>
          <w:i/>
        </w:rPr>
        <w:t xml:space="preserve">ei hotărâri a declarat apel pârâta Casa Judeţeană de Pensii </w:t>
      </w:r>
      <w:r w:rsidR="004F1DC0">
        <w:rPr>
          <w:b/>
          <w:i/>
        </w:rPr>
        <w:t xml:space="preserve">S...... </w:t>
      </w:r>
      <w:r w:rsidRPr="000C63A7">
        <w:rPr>
          <w:b/>
          <w:i/>
        </w:rPr>
        <w:t xml:space="preserve">, </w:t>
      </w:r>
      <w:r w:rsidRPr="000C63A7">
        <w:t>solicitând admiterea apelului şi anularea sentinţei atacate şi implicit respingerea acţiunii ca netemeinică şi nefondată.</w:t>
      </w:r>
    </w:p>
    <w:p w:rsidRPr="000C63A7" w:rsidR="000C63A7" w:rsidP="000C63A7">
      <w:pPr>
        <w:ind w:firstLine="720"/>
        <w:jc w:val="both"/>
      </w:pPr>
      <w:r w:rsidRPr="000C63A7">
        <w:t>Apelanta a apreciat că, cele dispuse de către instanţa de fond în dispozitivul sentinţei, respectiv majorarea punctajelor lunare</w:t>
      </w:r>
      <w:r w:rsidRPr="000C63A7">
        <w:t xml:space="preserve"> de pensie cu 50% sunt contrare dispoziţiilor legale, în sensul că nu se precizează actul normativ în baza căruia se majorează cu 50% punctajele lunare în condiţiile în care cadrul special, ar</w:t>
      </w:r>
      <w:r w:rsidRPr="000C63A7">
        <w:t>t. 20 alin. 3 din OUG nr. 59/2000 aşa cum a fost modificat prin Legea nr. 234/2019 nu stipulează nimic cu privire la modalitatea de majorare a punctajelor lunare.</w:t>
      </w:r>
    </w:p>
    <w:p w:rsidRPr="000C63A7" w:rsidR="000C63A7" w:rsidP="000C63A7">
      <w:pPr>
        <w:ind w:firstLine="720"/>
        <w:jc w:val="both"/>
      </w:pPr>
      <w:r w:rsidRPr="000C63A7">
        <w:t>În opinia apelantei, acolo unde legea nu dispune nici instanţa de judecată nu poate dispune, ori din aceste considerente a solicitat anularea sentinţei atacate.</w:t>
      </w:r>
    </w:p>
    <w:p w:rsidRPr="000C63A7" w:rsidR="000C63A7" w:rsidP="000C63A7">
      <w:pPr>
        <w:ind w:firstLine="720"/>
        <w:jc w:val="both"/>
      </w:pPr>
      <w:r w:rsidRPr="000C63A7">
        <w:t>În speţă, încadrarea în condiţii speciale este</w:t>
      </w:r>
      <w:r>
        <w:t xml:space="preserve"> </w:t>
      </w:r>
      <w:r w:rsidRPr="000C63A7">
        <w:t>reglementată de art. 20 din Legea nr. 234/2019 care modifică OUG nr. 59/2000, iar beneficiile acestor încadrări în speciale sunt stipulate la</w:t>
      </w:r>
      <w:r w:rsidRPr="000C63A7">
        <w:t xml:space="preserve"> art. 20 alin. 3, respectiv încadrarea în condiţii speciale de muncă, reducerea vârstei standard de pensionare cu un an pentru fiecare 5 ani, majorarea punctajelor lunare de pensie.</w:t>
      </w:r>
    </w:p>
    <w:p w:rsidRPr="000C63A7" w:rsidR="000C63A7" w:rsidP="000C63A7">
      <w:pPr>
        <w:ind w:firstLine="720"/>
        <w:jc w:val="both"/>
      </w:pPr>
      <w:r w:rsidRPr="000C63A7">
        <w:t>Primele două fiind clare, în ceea ce priveşte punctajele lunare de pensie, s-a apreciat că lucrurile sunt interpretabile, fiind un vid legislativ de</w:t>
      </w:r>
      <w:r w:rsidRPr="000C63A7">
        <w:t>oarece legiuitorul nu a stabilit că, majorarea punctajelor lunare de pensie se va face conform Legii nr. 263/2010, cu modificările şi completările ulterioare. Prin urmare, nefăcând t</w:t>
      </w:r>
      <w:r w:rsidRPr="000C63A7">
        <w:t>rimitere la cadrul general - Legea nr. 263/2010, nu se putea vorbi de punctaje majorate.</w:t>
      </w:r>
    </w:p>
    <w:p w:rsidRPr="000C63A7" w:rsidR="000C63A7" w:rsidP="000C63A7">
      <w:pPr>
        <w:ind w:firstLine="720"/>
        <w:jc w:val="both"/>
      </w:pPr>
      <w:r w:rsidRPr="000C63A7">
        <w:t>S-a susţinut că acest cadru special constituie o situaţie atipică deoarece conform cadrului general - Legea nr. 263/2010, după data de 01.04.2001 condiţiile speciale se acordă de către angajator şi se regăsesc în declaraţii nominale conform art. 10 alin. 1 din acest act normativ. Achitarea contribuţiilor s-a făcut conform art. 27 alin. 3 lit. c din Legea nr. 263/2010 şi s-au achitat contribuţii la bugetul asigurărilor s</w:t>
      </w:r>
      <w:r w:rsidRPr="000C63A7">
        <w:t>ociale de stat, pe când în Legea nr. 234/2019 încadrarea nu se făcea prin declaraţii nominale şi nici nu se achitau contribuţii.</w:t>
      </w:r>
    </w:p>
    <w:p w:rsidRPr="000C63A7" w:rsidR="000C63A7" w:rsidP="000C63A7">
      <w:pPr>
        <w:ind w:firstLine="720"/>
        <w:jc w:val="both"/>
      </w:pPr>
      <w:r w:rsidRPr="000C63A7">
        <w:t>Cadrul general, Legea nr. 263/2010 la art. 30 a prevăzut în mod expres locurile de muncă încadrate în condiţii speciale de muncă. Sub acest aspect, s-a apreciat ca inechitabil ca o persoană care nu a fost încadrată de către angajator în condiţii speciale</w:t>
      </w:r>
      <w:r w:rsidRPr="000C63A7">
        <w:t xml:space="preserve"> prin declaraţii nominale, nu s-au achitat contribuţii, să beneficieze de majorarea punctajelor ca şi o persoană pentru care s-au depus declaraţii şi s-au achitat contribuţii.</w:t>
      </w:r>
    </w:p>
    <w:p w:rsidRPr="000C63A7" w:rsidR="000C63A7" w:rsidP="000C63A7">
      <w:pPr>
        <w:ind w:firstLine="720"/>
        <w:jc w:val="both"/>
      </w:pPr>
      <w:r w:rsidRPr="000C63A7">
        <w:t>Ocolul silvic, nici după publicarea în Monitorul Oficial a Legii nr.234/2019, nu a</w:t>
      </w:r>
      <w:r w:rsidRPr="000C63A7">
        <w:t xml:space="preserve"> emis declaraţii nominale privind încadrarea în condiţii speciale pentru nici o persoana, s-a rezumat doar la emiterea de adeverinţe, şi nici nu a achitat contribuţii.</w:t>
      </w:r>
    </w:p>
    <w:p w:rsidRPr="000C63A7" w:rsidR="000C63A7" w:rsidP="000C63A7">
      <w:pPr>
        <w:ind w:firstLine="720"/>
        <w:jc w:val="both"/>
      </w:pPr>
      <w:r w:rsidRPr="000C63A7">
        <w:t>Practic, în declaraţiile nominale depuse de angajator, reclamantul fiind încadrat în condiţii normale de muncă, iar în adeverinţa emisă se specifică faptul că acesta a desfăşurat activităţi ce se încadrează la art. 20 alin. 2 din Legea nr. 234/2019, situaţie ce nu se regăseşte la nicio altă categorie profesională încadrată în condiţii special</w:t>
      </w:r>
      <w:r w:rsidRPr="000C63A7">
        <w:t>e de muncă.</w:t>
      </w:r>
    </w:p>
    <w:p w:rsidRPr="000C63A7" w:rsidR="000C63A7" w:rsidP="000C63A7">
      <w:pPr>
        <w:ind w:firstLine="720"/>
        <w:jc w:val="both"/>
      </w:pPr>
      <w:r w:rsidRPr="000C63A7">
        <w:t>Ba mai mult, în adeverinţele emise se precizează că acesta a desfăşurat activitate ce se încadrează în art. 20 alin. 2 fără nicio trimitere la alin. 3 - reducerea vârstei şi majorarea punctajelor.</w:t>
      </w:r>
    </w:p>
    <w:p w:rsidRPr="000C63A7" w:rsidR="000C63A7" w:rsidP="000C63A7">
      <w:pPr>
        <w:ind w:firstLine="720"/>
        <w:jc w:val="both"/>
      </w:pPr>
      <w:r w:rsidRPr="000C63A7">
        <w:t>În concluzie, apelanta a apreciat că, în speţă nu se putea pune egalitate între o persoană încadrată în condiţii speciale de muncă conform Legii nr. 263/2010 şi cea din cadrul special - Legea nr. 234/2019, ci trebuia să se rezume doar la beneficiile acordate de cadrul special mai sus amintite fără majo</w:t>
      </w:r>
      <w:r w:rsidRPr="000C63A7">
        <w:t>rare de punctaje deoarece acolo unde legea nu dispune, nici instanţa nu o poate face.</w:t>
      </w:r>
    </w:p>
    <w:p w:rsidRPr="000C63A7" w:rsidR="000C63A7" w:rsidP="000C63A7">
      <w:pPr>
        <w:ind w:firstLine="720"/>
        <w:jc w:val="both"/>
      </w:pPr>
      <w:r w:rsidRPr="000C63A7">
        <w:t>Din aceste considerente apelanta a solicitat admiterea apelului şi anularea sentinţei atacate ca netemeinică şi nefondată.</w:t>
      </w:r>
    </w:p>
    <w:p w:rsidRPr="000C63A7" w:rsidR="000C63A7" w:rsidP="000C63A7">
      <w:pPr>
        <w:ind w:firstLine="720"/>
        <w:jc w:val="both"/>
      </w:pPr>
      <w:r w:rsidRPr="000C63A7">
        <w:t>S-a solicitat instanţei de judecată reducerea cheltuielilor de judecată reprezentând onorariu avocaţial potrivit dispoziţiilor art. 451 alin. 2 coroborat cu art. 453 alin. 2 Cod procedură civilă.</w:t>
      </w:r>
    </w:p>
    <w:p w:rsidRPr="000C63A7" w:rsidR="000C63A7" w:rsidP="000C63A7">
      <w:pPr>
        <w:ind w:firstLine="720"/>
        <w:jc w:val="both"/>
      </w:pPr>
      <w:r w:rsidRPr="000C63A7">
        <w:t xml:space="preserve">În drept, s-au invocat </w:t>
      </w:r>
      <w:r w:rsidRPr="000C63A7">
        <w:rPr>
          <w:rFonts w:eastAsia="Calibri"/>
        </w:rPr>
        <w:t xml:space="preserve">prevederile </w:t>
      </w:r>
      <w:r w:rsidRPr="000C63A7">
        <w:t>art. 470 şi urm. Cod procedură civilă.</w:t>
      </w:r>
    </w:p>
    <w:p w:rsidRPr="000C63A7" w:rsidR="000C63A7" w:rsidP="000C63A7">
      <w:pPr>
        <w:ind w:firstLine="720"/>
        <w:jc w:val="both"/>
      </w:pPr>
      <w:r w:rsidRPr="000C63A7">
        <w:rPr>
          <w:b/>
          <w:i/>
        </w:rPr>
        <w:t xml:space="preserve">Intimatul reclamant </w:t>
      </w:r>
      <w:r w:rsidR="004F1DC0">
        <w:rPr>
          <w:b/>
          <w:i/>
        </w:rPr>
        <w:t xml:space="preserve">1 </w:t>
      </w:r>
      <w:r w:rsidRPr="000C63A7">
        <w:rPr>
          <w:b/>
          <w:i/>
        </w:rPr>
        <w:t xml:space="preserve"> a formulat</w:t>
      </w:r>
      <w:r w:rsidRPr="000C63A7">
        <w:rPr>
          <w:b/>
          <w:i/>
        </w:rPr>
        <w:t xml:space="preserve"> întâmpinare, </w:t>
      </w:r>
      <w:r w:rsidRPr="000C63A7">
        <w:t>solicitând respingerea cererii de apel, ca netemeinică şi nefondată cu cheltuieli de judecată.</w:t>
      </w:r>
    </w:p>
    <w:p w:rsidRPr="000C63A7" w:rsidR="000C63A7" w:rsidP="000C63A7">
      <w:pPr>
        <w:ind w:firstLine="720"/>
        <w:jc w:val="both"/>
      </w:pPr>
      <w:r w:rsidRPr="000C63A7">
        <w:t xml:space="preserve">Intimatul a apreciat că instanţa de fond a făcut o analiză judicioasă a situaţiei de fapt, raportat la circumstanţele cauzei, probatoriul administrat şi dispoziţiile legale incidente şi, în consecinţă, a pronunţat o soluţie corectă şi legală pentru considerentele pe larg expuse în motivarea sentinţei, considerente însuşite şi de intimat în totalitate în ceea ce priveşte fondul cauzei. </w:t>
      </w:r>
    </w:p>
    <w:p w:rsidRPr="000C63A7" w:rsidR="000C63A7" w:rsidP="000C63A7">
      <w:pPr>
        <w:ind w:firstLine="720"/>
        <w:jc w:val="both"/>
      </w:pPr>
      <w:r w:rsidRPr="000C63A7">
        <w:t>În ceea ce pri</w:t>
      </w:r>
      <w:r w:rsidRPr="000C63A7">
        <w:t>veşte motivul din apelul pârâtei privind condiţionarea obţinerii beneficiilor prevăzute de art. 20 alin. (3) din OUG nr. 59/2000 de plata contribuţiilor de asigurări sociale şi dacă dovada acestora trebuia să rezulte din declaraţia nominală de asigurare pentru perioada ulterioară datei de 1 aprilie 2001, s-au apreciat ca relevante dezlegările obligatorii ale instanţei supreme cuprinse la paragrafele 139-146 din Decizia 36/2023.</w:t>
      </w:r>
    </w:p>
    <w:p w:rsidRPr="000C63A7" w:rsidR="000C63A7" w:rsidP="000C63A7">
      <w:pPr>
        <w:ind w:firstLine="720"/>
        <w:jc w:val="both"/>
      </w:pPr>
      <w:r w:rsidRPr="000C63A7">
        <w:t xml:space="preserve">Corelativ, din moment ce angajatorul a atestat atât activităţile desfăşurate de </w:t>
      </w:r>
      <w:r w:rsidRPr="000C63A7">
        <w:t>către reclamant, cât şi categoria de personal din care a făcut parte, în sensul dispoziţiilor art. 20 alin. 2 din OUG, nr. 59/2000, astfel cum a fost modificată şi completată prin Legea nr. 234/2019, adeverinţele trebuiau valorificate în mod corespunzător, cu consecinţa acordării beneficiului instituit de dispoziţiile art. 100 lit. b din Legea nr. 263/2010.</w:t>
      </w:r>
    </w:p>
    <w:p w:rsidRPr="000C63A7" w:rsidR="000C63A7" w:rsidP="000C63A7">
      <w:pPr>
        <w:ind w:firstLine="720"/>
        <w:jc w:val="both"/>
      </w:pPr>
      <w:r w:rsidRPr="000C63A7">
        <w:t>Mai mult, în opinia intimatului, nu putea fi reţinută nici susţinerea apelantei în sensul inaplicabilităţii dispoziţiilor art. 100 din Legea nr. 263/201</w:t>
      </w:r>
      <w:r w:rsidRPr="000C63A7">
        <w:t>0, pe motiv că reclamantul nu a fost încadrat în grupa I sau a II-a de muncă potrivit legislaţiei anterioare de 01.04.2001 şi nici nu a fost asimilat stagiului de cotizare în condiţii speciale. Contrar acestei alegaţii, situaţia intimatului-reclamant se suprapune perfect peste dispoziţia legală de la art. 100 lit. b) întrucât, în condiţiile legii actuale (OUG nr. 59/2000, astfel cum a fost modificată prin Legea nr. 234/2019), reclamantul îndeplinea cerinţa desfăşurării activităţii în perioada de referinţă î</w:t>
      </w:r>
      <w:r w:rsidRPr="000C63A7">
        <w:t xml:space="preserve">n condiţii speciale de muncă, prin urmare trebuia să se bucure de toate beneficiile aferente recunoscute de lege persoanelor care au îndeplinit activităţi în condiţii speciale, inclusiv în ceea ce priveşte majorarea punctajelor lunare cu 50%. După cum s-a statuat şi în Decizia nr. 36/2023, dispoziţiile legii speciale nu puteau fi interpretate limitativ, cu reţinerea doar parţială a efectelor recunoaşterii condiţiilor speciale de muncă. De altfel, art. 20 alin. 3 din OUG nr. 59/2000 prevede în mod expres că </w:t>
      </w:r>
      <w:r w:rsidRPr="000C63A7">
        <w:t>recunoaşterea stagiului de cotizare realizat de către personalul silvic în condiţii speciale de muncă determină nu doar reducerea vârstei standard de pensionare, ci şi majorarea punctajelor lunare de pensie.</w:t>
      </w:r>
    </w:p>
    <w:p w:rsidRPr="000C63A7" w:rsidR="000C63A7" w:rsidP="000C63A7">
      <w:pPr>
        <w:ind w:firstLine="720"/>
        <w:jc w:val="both"/>
      </w:pPr>
      <w:r w:rsidRPr="000C63A7">
        <w:t>Referitor la aplicarea în timp a Legii 234/2019, a invocat aceleaşi dezlegări obligatorii ale instanţei supreme, inserate în aceeaşi decizie, la paragrafele 122 – 133, respectiv 134-137 pentru criticile vizând neretroactivitatea legii civile.</w:t>
      </w:r>
    </w:p>
    <w:p w:rsidRPr="000C63A7" w:rsidR="000C63A7" w:rsidP="000C63A7">
      <w:pPr>
        <w:ind w:firstLine="720"/>
        <w:jc w:val="both"/>
      </w:pPr>
      <w:r w:rsidRPr="000C63A7">
        <w:t>Complementar, s-a mai arătat faptul că adeverinţele eliberate</w:t>
      </w:r>
      <w:r w:rsidRPr="000C63A7">
        <w:t xml:space="preserve"> de angajator şi regăsite la dosarul cauzei, pe de o parte, au atestat faptul că intimatul - reclamant a avut/are calitatea de angajat al Direcţiei Silvice </w:t>
      </w:r>
      <w:r w:rsidR="004F1DC0">
        <w:t xml:space="preserve">S...... </w:t>
      </w:r>
      <w:r w:rsidRPr="000C63A7">
        <w:t>/Ocoale silvice, iar, pe de altă parte, menţiunile din cuprinsul acestor adeverinţe, coroborate şi cu menţiunile din carnetul de muncă, au confirmat fără echivoc, faptul că intimatul - reclamant a desfăşurat activităţile ce se încadrau între cele prevăzute de art. 20 alin. 2 din OUG nr. 50/2000 privind Statutul personalului silvic, modificată pri</w:t>
      </w:r>
      <w:r w:rsidRPr="000C63A7">
        <w:t>n Legea nr. 234/2019. Conţinutul acestor adeverinţe nefiind contestat de pârâta apelantă sub aspectul locului de muncă, a activităţile desfăşurate de salariat aferente acestuia, şi nici a perioadele în care intimatul-reclamant a desfăşurat activităţile în locuri de muncă încadrate în condiţii speciale.</w:t>
      </w:r>
    </w:p>
    <w:p w:rsidRPr="000C63A7" w:rsidR="000C63A7" w:rsidP="000C63A7">
      <w:pPr>
        <w:ind w:firstLine="720"/>
        <w:jc w:val="both"/>
      </w:pPr>
      <w:r w:rsidRPr="000C63A7">
        <w:t>În drept, s-au invocat dispoziţiile coroborate ale art. 482 şi art. 205 Cod procedură civilă, ale art. 451 Cod procedură civilă.</w:t>
      </w:r>
    </w:p>
    <w:p w:rsidRPr="000C63A7" w:rsidR="000C63A7" w:rsidP="000C63A7">
      <w:pPr>
        <w:ind w:firstLine="720"/>
        <w:jc w:val="both"/>
        <w:rPr>
          <w:b/>
          <w:i/>
        </w:rPr>
      </w:pPr>
      <w:r w:rsidRPr="000C63A7">
        <w:rPr>
          <w:b/>
          <w:bCs/>
          <w:i/>
          <w:iCs/>
        </w:rPr>
        <w:t>Analizând sentinţa atacată prin prisma motivelor de apel şi a apărărilor formul</w:t>
      </w:r>
      <w:r w:rsidRPr="000C63A7">
        <w:rPr>
          <w:b/>
          <w:bCs/>
          <w:i/>
          <w:iCs/>
        </w:rPr>
        <w:t>ate Curtea, în temeiul art. 479 alin. 1 Cod procedură civilă, a reţinut următoarele</w:t>
      </w:r>
      <w:r w:rsidRPr="000C63A7">
        <w:rPr>
          <w:b/>
          <w:i/>
        </w:rPr>
        <w:t>:</w:t>
      </w:r>
    </w:p>
    <w:p w:rsidRPr="000C63A7" w:rsidR="000C63A7" w:rsidP="000C63A7">
      <w:pPr>
        <w:spacing w:line="252" w:lineRule="auto"/>
        <w:jc w:val="both"/>
        <w:rPr>
          <w:rFonts w:eastAsia="Calibri"/>
          <w:color w:val="000000"/>
          <w:lang w:val="it-IT"/>
        </w:rPr>
      </w:pPr>
      <w:r w:rsidRPr="000C63A7">
        <w:tab/>
      </w:r>
      <w:r w:rsidRPr="000C63A7">
        <w:rPr>
          <w:rFonts w:eastAsia="Calibri"/>
          <w:lang w:eastAsia="en-US"/>
        </w:rPr>
        <w:t xml:space="preserve"> Prioritar, cu privire la solicitarea intimatului de anulare a apelului ca neregulat introdus, instanţa de control judiciar reţine că, </w:t>
      </w:r>
      <w:r w:rsidRPr="000C63A7">
        <w:rPr>
          <w:rFonts w:eastAsia="Calibri"/>
          <w:color w:val="000000"/>
          <w:lang w:val="it-IT"/>
        </w:rPr>
        <w:t xml:space="preserve">potrivit art. 22 alin. 4 teza I Cod procedură civilă, </w:t>
      </w:r>
      <w:r w:rsidRPr="000C63A7">
        <w:rPr>
          <w:rFonts w:eastAsia="Calibri"/>
          <w:i/>
          <w:iCs/>
          <w:color w:val="000000"/>
          <w:lang w:val="it-IT"/>
        </w:rPr>
        <w:t xml:space="preserve">judecătorul dă sau restabileşte calificarea juridică a actelor şi faptelor deduse judecăţii, chiar dacă părţile le-au dat o altă denumire. </w:t>
      </w:r>
      <w:r w:rsidRPr="000C63A7">
        <w:rPr>
          <w:rFonts w:eastAsia="Calibri"/>
          <w:color w:val="000000"/>
          <w:lang w:val="it-IT"/>
        </w:rPr>
        <w:t>Or, în speţă,</w:t>
      </w:r>
      <w:r w:rsidRPr="000C63A7">
        <w:rPr>
          <w:rFonts w:eastAsia="Calibri"/>
          <w:i/>
          <w:iCs/>
          <w:color w:val="000000"/>
          <w:lang w:val="it-IT"/>
        </w:rPr>
        <w:t xml:space="preserve"> </w:t>
      </w:r>
      <w:r w:rsidRPr="000C63A7">
        <w:rPr>
          <w:rFonts w:eastAsia="Calibri"/>
          <w:color w:val="000000"/>
          <w:lang w:val="it-IT"/>
        </w:rPr>
        <w:t>deşi apelanta a solicitat, strict formal, anularea sentinţei tribunalului, din corob</w:t>
      </w:r>
      <w:r w:rsidRPr="000C63A7">
        <w:rPr>
          <w:rFonts w:eastAsia="Calibri"/>
          <w:color w:val="000000"/>
          <w:lang w:val="it-IT"/>
        </w:rPr>
        <w:t>orarea apărărilor regăsite în cererea de apel, Curtea reţine că, în realitate, apelanta a solicitat schimbarea hotărârii primei instanţe. Drept urmare, apărările intimatului sub acest aspect se impun a fi respinse, Curtea urmând a analiza pe fond calea de atac formulată.</w:t>
      </w:r>
    </w:p>
    <w:p w:rsidRPr="000C63A7" w:rsidR="000C63A7" w:rsidP="000C63A7">
      <w:pPr>
        <w:spacing w:line="252" w:lineRule="auto"/>
        <w:ind w:firstLine="708"/>
        <w:jc w:val="both"/>
        <w:rPr>
          <w:rFonts w:eastAsia="Calibri"/>
          <w:lang w:eastAsia="en-US"/>
        </w:rPr>
      </w:pPr>
      <w:r w:rsidRPr="000C63A7">
        <w:rPr>
          <w:rFonts w:eastAsia="Calibri"/>
          <w:lang w:eastAsia="en-US"/>
        </w:rPr>
        <w:t xml:space="preserve">Astfel, se reţine, în primul rând, că în mod judicios prima instanţă a dat efect interpretării date de Înalta Curte de Casaţie şi Justiţiei – Completul pentru dezlegarea unor chestiuni de drept, prin decizia nr. </w:t>
      </w:r>
      <w:r w:rsidRPr="000C63A7">
        <w:t xml:space="preserve">36/2023, </w:t>
      </w:r>
      <w:r w:rsidRPr="000C63A7">
        <w:rPr>
          <w:rFonts w:eastAsia="Calibri"/>
          <w:lang w:eastAsia="en-US"/>
        </w:rPr>
        <w:t xml:space="preserve">dispoziţiilor </w:t>
      </w:r>
      <w:r w:rsidRPr="004F1DC0">
        <w:rPr>
          <w:rFonts w:eastAsia="Calibri"/>
          <w:vanish/>
          <w:lang w:val="it-IT" w:eastAsia="en-US"/>
        </w:rPr>
        <w:t>&lt;LLNK</w:t>
      </w:r>
      <w:r w:rsidRPr="004F1DC0">
        <w:rPr>
          <w:rFonts w:eastAsia="Calibri"/>
          <w:vanish/>
          <w:lang w:val="it-IT" w:eastAsia="en-US"/>
        </w:rPr>
        <w:t xml:space="preserve"> 12000    59182 322  20 17&gt;</w:t>
      </w:r>
      <w:r w:rsidRPr="004F1DC0">
        <w:rPr>
          <w:rFonts w:eastAsia="Calibri"/>
          <w:lang w:val="it-IT" w:eastAsia="en-US"/>
        </w:rPr>
        <w:t xml:space="preserve">art. 20 alin. (2) şi </w:t>
      </w:r>
      <w:r w:rsidRPr="004F1DC0">
        <w:rPr>
          <w:rFonts w:eastAsia="Calibri"/>
          <w:vanish/>
          <w:lang w:val="it-IT" w:eastAsia="en-US"/>
        </w:rPr>
        <w:t>&lt;LLNK 12000    59182 322  20 53&gt;</w:t>
      </w:r>
      <w:r w:rsidRPr="004F1DC0">
        <w:rPr>
          <w:rFonts w:eastAsia="Calibri"/>
          <w:lang w:val="it-IT" w:eastAsia="en-US"/>
        </w:rPr>
        <w:t xml:space="preserve">(3) din Ordonanţa de urgenţă a Guvernului nr. 59/2000 privind Statutul personalului silvic, aprobată cu modificări şi completări prin </w:t>
      </w:r>
      <w:r w:rsidRPr="004F1DC0">
        <w:rPr>
          <w:rFonts w:eastAsia="Calibri"/>
          <w:vanish/>
          <w:lang w:val="it-IT" w:eastAsia="en-US"/>
        </w:rPr>
        <w:t>&lt;LLNK 12001   427 10 201   0 18&gt;</w:t>
      </w:r>
      <w:r w:rsidRPr="004F1DC0">
        <w:rPr>
          <w:rFonts w:eastAsia="Calibri"/>
          <w:lang w:val="it-IT" w:eastAsia="en-US"/>
        </w:rPr>
        <w:t xml:space="preserve">Legea nr. 427/2001, astfel cum a fost modificată şi completată prin </w:t>
      </w:r>
      <w:r w:rsidRPr="004F1DC0">
        <w:rPr>
          <w:rFonts w:eastAsia="Calibri"/>
          <w:vanish/>
          <w:lang w:val="it-IT" w:eastAsia="en-US"/>
        </w:rPr>
        <w:t>&lt;LLNK 12019   234 10 201   0 18&gt;</w:t>
      </w:r>
      <w:r w:rsidRPr="004F1DC0">
        <w:rPr>
          <w:rFonts w:eastAsia="Calibri"/>
          <w:lang w:val="it-IT" w:eastAsia="en-US"/>
        </w:rPr>
        <w:t>Legea nr. 234/2019</w:t>
      </w:r>
      <w:r w:rsidRPr="000C63A7">
        <w:t xml:space="preserve">. </w:t>
      </w:r>
    </w:p>
    <w:p w:rsidRPr="000C63A7" w:rsidR="000C63A7" w:rsidP="000C63A7">
      <w:pPr>
        <w:ind w:firstLine="708"/>
        <w:jc w:val="both"/>
      </w:pPr>
      <w:r w:rsidRPr="000C63A7">
        <w:rPr>
          <w:rFonts w:eastAsia="Calibri"/>
          <w:lang w:eastAsia="en-US"/>
        </w:rPr>
        <w:t>Curtea reţine că aspectele contestate au fost tranşate prin această hotărâre obligatorie a instanţei supreme</w:t>
      </w:r>
      <w:r w:rsidRPr="000C63A7">
        <w:t xml:space="preserve"> redată pe larg, în considerentele sa</w:t>
      </w:r>
      <w:r w:rsidRPr="000C63A7">
        <w:t>le relevante, în cuprinsul sentinţei apelate.</w:t>
      </w:r>
    </w:p>
    <w:p w:rsidRPr="000C63A7" w:rsidR="000C63A7" w:rsidP="000C63A7">
      <w:pPr>
        <w:ind w:firstLine="708"/>
        <w:jc w:val="both"/>
      </w:pPr>
      <w:r w:rsidRPr="000C63A7">
        <w:rPr>
          <w:lang w:eastAsia="en-GB"/>
        </w:rPr>
        <w:t xml:space="preserve">În consecinţă, se impun a fi respinse şi criticile redate în cererea de apel referitoare la </w:t>
      </w:r>
      <w:r w:rsidRPr="000C63A7">
        <w:t>inexistenţa unor dispoziţii de transpunere a noilor locuri de muncă încadrate în condiţii speciale în textul Legii nr. 263/2010, precum şi a celor relative la lipsa unor dispoziţii speciale privind condiţiile în care se poate acorda reducerea vârstei standard de pensionar</w:t>
      </w:r>
      <w:r w:rsidR="004F1DC0">
        <w:t>e</w:t>
      </w:r>
      <w:r w:rsidRPr="000C63A7">
        <w:rPr>
          <w:lang w:eastAsia="en-GB"/>
        </w:rPr>
        <w:t>, reţinându-se că prin decizia amintită s-a stabilit că locurile de muncă din domeniul silvicultură</w:t>
      </w:r>
      <w:r w:rsidRPr="000C63A7">
        <w:rPr>
          <w:lang w:eastAsia="en-GB"/>
        </w:rPr>
        <w:t xml:space="preserve">, în care se desfăşoară activităţile menţionate la art. 20 alin. (2) din O.U.G. nr. 59/2000, se încadrează </w:t>
      </w:r>
      <w:r w:rsidRPr="000C63A7">
        <w:rPr>
          <w:i/>
          <w:lang w:eastAsia="en-GB"/>
        </w:rPr>
        <w:t>ope legis</w:t>
      </w:r>
      <w:r w:rsidRPr="000C63A7">
        <w:rPr>
          <w:lang w:eastAsia="en-GB"/>
        </w:rPr>
        <w:t xml:space="preserve"> în condiţii speciale, </w:t>
      </w:r>
      <w:r w:rsidRPr="000C63A7">
        <w:t>Înalta Curte de Casaţie şi Justiţie constatând lipsa necesităţii acestei transpuneri sau a oricăror alte condiţionări în afara celor stipulate prin lege.</w:t>
      </w:r>
    </w:p>
    <w:p w:rsidRPr="000C63A7" w:rsidR="000C63A7" w:rsidP="000C63A7">
      <w:pPr>
        <w:ind w:firstLine="708"/>
        <w:jc w:val="both"/>
        <w:rPr>
          <w:color w:val="000000"/>
          <w:lang w:eastAsia="en-GB"/>
        </w:rPr>
      </w:pPr>
      <w:r w:rsidRPr="000C63A7">
        <w:rPr>
          <w:color w:val="000000"/>
          <w:lang w:eastAsia="en-GB"/>
        </w:rPr>
        <w:t xml:space="preserve">Totodată, s-a stabilit că </w:t>
      </w:r>
      <w:r w:rsidRPr="000C63A7">
        <w:rPr>
          <w:i/>
          <w:lang w:eastAsia="en-GB"/>
        </w:rPr>
        <w:t>personalul silvic care a desfăşurat activităţile indicate la art. 20 alin. (2) din O.U.G. nr. 59/2000, anterior intrării în vigoare a Legii nr. 234/2019, beneficiază de încad</w:t>
      </w:r>
      <w:r w:rsidRPr="000C63A7">
        <w:rPr>
          <w:i/>
          <w:lang w:eastAsia="en-GB"/>
        </w:rPr>
        <w:t>rarea locului de muncă în condiţii speciale şi de drepturile prevăzute la art. 20 alin. (3) din Ordonanţa de urgenţă a Guvernului nr. 59/2000</w:t>
      </w:r>
      <w:r w:rsidRPr="000C63A7">
        <w:rPr>
          <w:lang w:eastAsia="en-GB"/>
        </w:rPr>
        <w:t>, ceea ce invalidează criticile din apel relative la</w:t>
      </w:r>
      <w:r w:rsidRPr="000C63A7">
        <w:t xml:space="preserve"> aplicarea nejustificat retroactivă a dispoziţiilor Legii nr. 234/2019 şi respectiv, </w:t>
      </w:r>
      <w:r w:rsidRPr="000C63A7">
        <w:rPr>
          <w:lang w:eastAsia="en-GB"/>
        </w:rPr>
        <w:t xml:space="preserve">la inexistenţa unor </w:t>
      </w:r>
      <w:r w:rsidRPr="000C63A7">
        <w:t>dispoziţii legale de asimilare a activităţii desfăşurate în condiţii normale de muncă potrivit legislaţiei anterioare datei de 01.04.2001 ca fiind desfăşurată în condiţii speciale – aceasta, în contextul în</w:t>
      </w:r>
      <w:r w:rsidRPr="000C63A7">
        <w:t xml:space="preserve"> care nu se face o distincţie în cuprinsul deciziei între perioadele anterioare şi ulterioare datei de 01.04.2001, sub aspectul dezlegărilor date.</w:t>
      </w:r>
    </w:p>
    <w:p w:rsidRPr="000C63A7" w:rsidR="000C63A7" w:rsidP="000C63A7">
      <w:pPr>
        <w:ind w:firstLine="708"/>
        <w:jc w:val="both"/>
        <w:rPr>
          <w:lang w:eastAsia="en-GB"/>
        </w:rPr>
      </w:pPr>
      <w:r w:rsidRPr="000C63A7">
        <w:rPr>
          <w:color w:val="000000"/>
          <w:lang w:eastAsia="en-GB"/>
        </w:rPr>
        <w:t xml:space="preserve">În final, s-a statuat că </w:t>
      </w:r>
      <w:r w:rsidRPr="000C63A7">
        <w:rPr>
          <w:i/>
          <w:lang w:eastAsia="en-GB"/>
        </w:rPr>
        <w:t>obţinerea beneficiilor prevăzute de art. 20 alin. (3) din O.U.G. nr. 59/2000 la data deschiderii drepturilor de pensie nu este condiţionată de plata contribuţiilor de asigurări sociale, iar dovada acestora nu trebuie să rezulte din declaraţia nominală de asigurare pentru perioada ulterioară datei de 1 aprilie 2001</w:t>
      </w:r>
      <w:r w:rsidRPr="000C63A7">
        <w:rPr>
          <w:lang w:eastAsia="en-GB"/>
        </w:rPr>
        <w:t>.</w:t>
      </w:r>
    </w:p>
    <w:p w:rsidRPr="004F1DC0" w:rsidR="000C63A7" w:rsidP="000C63A7">
      <w:pPr>
        <w:ind w:firstLine="708"/>
        <w:jc w:val="both"/>
      </w:pPr>
      <w:r w:rsidRPr="000C63A7">
        <w:rPr>
          <w:color w:val="000000"/>
          <w:lang w:eastAsia="en-GB"/>
        </w:rPr>
        <w:t>Nu în ultimul</w:t>
      </w:r>
      <w:r w:rsidRPr="000C63A7">
        <w:rPr>
          <w:color w:val="000000"/>
          <w:lang w:eastAsia="en-GB"/>
        </w:rPr>
        <w:t xml:space="preserve"> rând, prin </w:t>
      </w:r>
      <w:r w:rsidRPr="000C63A7">
        <w:t xml:space="preserve">decizia nr. 114/09.12.2024 pronunţată în dosarul nr. 2103/1/2024, instanţa supremă a arătat că </w:t>
      </w:r>
      <w:r w:rsidRPr="000C63A7">
        <w:rPr>
          <w:i/>
        </w:rPr>
        <w:t>d</w:t>
      </w:r>
      <w:r w:rsidRPr="004F1DC0">
        <w:rPr>
          <w:i/>
        </w:rPr>
        <w:t xml:space="preserve">repturile personalului silvic, acordate prin </w:t>
      </w:r>
      <w:r w:rsidRPr="004F1DC0">
        <w:rPr>
          <w:i/>
          <w:vanish/>
        </w:rPr>
        <w:t>&lt;LLNK 12000    59182 321   0 45&gt;</w:t>
      </w:r>
      <w:r w:rsidRPr="004F1DC0">
        <w:rPr>
          <w:i/>
        </w:rPr>
        <w:t xml:space="preserve">Ordonanţa de urgenţă a Guvernului nr. 59/2000, astfel cum a fost modificată prin </w:t>
      </w:r>
      <w:r w:rsidRPr="004F1DC0">
        <w:rPr>
          <w:i/>
          <w:vanish/>
        </w:rPr>
        <w:t>&lt;LLNK 12019   234 10 201   0 18&gt;</w:t>
      </w:r>
      <w:r w:rsidRPr="004F1DC0">
        <w:rPr>
          <w:i/>
        </w:rPr>
        <w:t>Legea nr. 234/2019, se acordă beneficiarilor fără limitare în timp şi fără nicio altă trimitere la prevederi legale adiacente domeniului de interes în discuţie sau la criterii şi metodologii de încadrare a locurilo</w:t>
      </w:r>
      <w:r w:rsidRPr="004F1DC0">
        <w:rPr>
          <w:i/>
        </w:rPr>
        <w:t xml:space="preserve">r de muncă, </w:t>
      </w:r>
      <w:r w:rsidRPr="004F1DC0">
        <w:t>nefiind îmbrăţişată orientarea jurisprudenţială în sensul că perioada care se consideră a fi lucrată în condiţii speciale nu poate fi anterioară datei de 1 aprilie 2001 (par. 110-111).</w:t>
      </w:r>
    </w:p>
    <w:p w:rsidRPr="004F1DC0" w:rsidR="000C63A7" w:rsidP="000C63A7">
      <w:pPr>
        <w:ind w:firstLine="708"/>
        <w:jc w:val="both"/>
        <w:rPr>
          <w:i/>
          <w:lang w:val="pt-PT"/>
        </w:rPr>
      </w:pPr>
      <w:r w:rsidRPr="004F1DC0">
        <w:t xml:space="preserve">De asemenea, prin aceeaşi decizie, Înalta Curte de Casaţie şi Justiţie a reliefat că </w:t>
      </w:r>
      <w:r w:rsidRPr="004F1DC0">
        <w:rPr>
          <w:i/>
        </w:rPr>
        <w:t xml:space="preserve">din paragraful 83 al </w:t>
      </w:r>
      <w:r w:rsidRPr="004F1DC0">
        <w:rPr>
          <w:i/>
          <w:vanish/>
        </w:rPr>
        <w:t>&lt;LLNK 12023    36170EV01   0 31&gt;</w:t>
      </w:r>
      <w:r w:rsidRPr="004F1DC0">
        <w:rPr>
          <w:i/>
        </w:rPr>
        <w:t xml:space="preserve">Deciziei nr. 36 din 15 mai 2023 reiese o primă orientare jurisprudenţială, potrivit căreia încadrarea locurilor de muncă prevăzute de </w:t>
      </w:r>
      <w:r w:rsidRPr="004F1DC0">
        <w:rPr>
          <w:i/>
          <w:vanish/>
        </w:rPr>
        <w:t>&lt;LLNK 12000    59182 322  20 67&gt;</w:t>
      </w:r>
      <w:r w:rsidRPr="004F1DC0">
        <w:rPr>
          <w:i/>
        </w:rPr>
        <w:t>art. 20 ali</w:t>
      </w:r>
      <w:r w:rsidRPr="004F1DC0">
        <w:rPr>
          <w:i/>
        </w:rPr>
        <w:t xml:space="preserve">n. (2) din Ordonanţa de urgenţă a Guvernului nr. 59/2000 în condiţii speciale trebuie să se subordoneze, în egală măsură, criteriilor stabilite prin </w:t>
      </w:r>
      <w:r w:rsidRPr="004F1DC0">
        <w:rPr>
          <w:i/>
          <w:vanish/>
        </w:rPr>
        <w:t>&lt;LLNK 12010   263 12 2z2   3 47&gt;</w:t>
      </w:r>
      <w:r w:rsidRPr="004F1DC0">
        <w:rPr>
          <w:i/>
        </w:rPr>
        <w:t xml:space="preserve">art. 3 alin. </w:t>
      </w:r>
      <w:r w:rsidRPr="004F1DC0">
        <w:rPr>
          <w:i/>
          <w:lang w:val="pt-PT"/>
        </w:rPr>
        <w:t>(1) lit. h) din Legea nr. 263/2010 (printre care şi cel al expunerii efective a angajatului la factorii de risc pentru mai mult de 50% din timpul normal de lucru). Or, nici această orientare jurisprudenţială nu a fost însuşită de Completul pentru dezlegarea unor chestiuni de drept al Înaltei Curţi de Casaţie şi Justi</w:t>
      </w:r>
      <w:r w:rsidRPr="004F1DC0">
        <w:rPr>
          <w:i/>
          <w:lang w:val="pt-PT"/>
        </w:rPr>
        <w:t xml:space="preserve">ţie în pronunţarea </w:t>
      </w:r>
      <w:r w:rsidRPr="004F1DC0">
        <w:rPr>
          <w:i/>
          <w:vanish/>
          <w:lang w:val="pt-PT"/>
        </w:rPr>
        <w:t>&lt;LLNK 12023    36170EV01   0 31&gt;</w:t>
      </w:r>
      <w:r w:rsidRPr="004F1DC0">
        <w:rPr>
          <w:i/>
          <w:lang w:val="pt-PT"/>
        </w:rPr>
        <w:t xml:space="preserve">Deciziei nr. 36 din 15 mai 2023, din toate argumentele anterior prezentate reieşind că a fost dezlegat </w:t>
      </w:r>
      <w:r w:rsidRPr="004F1DC0">
        <w:rPr>
          <w:i/>
          <w:u w:val="single"/>
          <w:lang w:val="pt-PT"/>
        </w:rPr>
        <w:t xml:space="preserve">aspectul caracterului special al </w:t>
      </w:r>
      <w:r w:rsidRPr="004F1DC0">
        <w:rPr>
          <w:i/>
          <w:vanish/>
          <w:u w:val="single"/>
          <w:lang w:val="pt-PT"/>
        </w:rPr>
        <w:t>&lt;LLNK 12000    59182 321   0 46&gt;</w:t>
      </w:r>
      <w:r w:rsidRPr="004F1DC0">
        <w:rPr>
          <w:i/>
          <w:u w:val="single"/>
          <w:lang w:val="pt-PT"/>
        </w:rPr>
        <w:t xml:space="preserve">Ordonanţei de urgenţă a Guvernului nr. 59/2000, astfel cum a fost modificată prin </w:t>
      </w:r>
      <w:r w:rsidRPr="004F1DC0">
        <w:rPr>
          <w:i/>
          <w:vanish/>
          <w:u w:val="single"/>
          <w:lang w:val="pt-PT"/>
        </w:rPr>
        <w:t>&lt;LLNK 12019   234 10 201   0 18&gt;</w:t>
      </w:r>
      <w:r w:rsidRPr="004F1DC0">
        <w:rPr>
          <w:i/>
          <w:u w:val="single"/>
          <w:lang w:val="pt-PT"/>
        </w:rPr>
        <w:t>Legea nr. 234/2019</w:t>
      </w:r>
      <w:r w:rsidRPr="004F1DC0">
        <w:rPr>
          <w:i/>
          <w:lang w:val="pt-PT"/>
        </w:rPr>
        <w:t xml:space="preserve">, </w:t>
      </w:r>
      <w:r w:rsidRPr="004F1DC0">
        <w:rPr>
          <w:i/>
          <w:u w:val="single"/>
          <w:lang w:val="pt-PT"/>
        </w:rPr>
        <w:t>şi excluderea aplicării oricăror criterii şi condiţii instituite prin actele normative cu caracter general</w:t>
      </w:r>
      <w:r w:rsidRPr="004F1DC0">
        <w:rPr>
          <w:i/>
          <w:lang w:val="pt-PT"/>
        </w:rPr>
        <w:t xml:space="preserve"> </w:t>
      </w:r>
      <w:r w:rsidRPr="004F1DC0">
        <w:rPr>
          <w:lang w:val="pt-PT"/>
        </w:rPr>
        <w:t xml:space="preserve">(par. 112, s.n.). </w:t>
      </w:r>
    </w:p>
    <w:p w:rsidRPr="000C63A7" w:rsidR="000C63A7" w:rsidP="000C63A7">
      <w:pPr>
        <w:ind w:firstLine="708"/>
        <w:jc w:val="both"/>
      </w:pPr>
      <w:r w:rsidRPr="000C63A7">
        <w:t>În consecinţă, având în vedere că</w:t>
      </w:r>
      <w:r w:rsidRPr="000C63A7">
        <w:t xml:space="preserve">, în speţă, intimatul, în calitate de personal silvic, a desfăşurat activităţile indicate la art. 20 alin. (2) din OUG nr. 59/2000 în perioadele indicate în cuprinsul adeverințelor nr. </w:t>
      </w:r>
      <w:r w:rsidR="004F1DC0">
        <w:t>4</w:t>
      </w:r>
      <w:r w:rsidRPr="000C63A7">
        <w:t xml:space="preserve">/29.12.2023 eliberată de Direcţia Silvică </w:t>
      </w:r>
      <w:r w:rsidR="004F1DC0">
        <w:t xml:space="preserve">S......... </w:t>
      </w:r>
      <w:r w:rsidRPr="000C63A7">
        <w:t xml:space="preserve">– Ocolul Silvic </w:t>
      </w:r>
      <w:r w:rsidR="004F1DC0">
        <w:t>I........</w:t>
      </w:r>
      <w:r w:rsidRPr="000C63A7">
        <w:t xml:space="preserve">, nr. </w:t>
      </w:r>
      <w:r w:rsidR="004F1DC0">
        <w:t>5</w:t>
      </w:r>
      <w:r w:rsidRPr="000C63A7">
        <w:t xml:space="preserve">/22.11.2023 eliberată de Regia Naţională a Pădurilor Romsilva – Direcţia Silvică </w:t>
      </w:r>
      <w:r w:rsidR="004F1DC0">
        <w:t xml:space="preserve">S......... </w:t>
      </w:r>
      <w:r w:rsidRPr="000C63A7">
        <w:t xml:space="preserve">– Ocolul Silvic </w:t>
      </w:r>
      <w:r w:rsidR="004F1DC0">
        <w:t xml:space="preserve">J....... </w:t>
      </w:r>
      <w:r w:rsidRPr="000C63A7">
        <w:t xml:space="preserve">şi nr. </w:t>
      </w:r>
      <w:r w:rsidR="004F1DC0">
        <w:t>6</w:t>
      </w:r>
      <w:r w:rsidRPr="000C63A7">
        <w:t xml:space="preserve">/14.02.2024 eliberată de eliberată de Regia Naţională a Pădurilor Romsilva – Direcţia Silvică </w:t>
      </w:r>
      <w:r w:rsidR="004F1DC0">
        <w:t xml:space="preserve">S......... </w:t>
      </w:r>
      <w:r w:rsidRPr="000C63A7">
        <w:t>– Ocol</w:t>
      </w:r>
      <w:r w:rsidRPr="000C63A7">
        <w:t xml:space="preserve">ul Silvic </w:t>
      </w:r>
      <w:r w:rsidR="004F1DC0">
        <w:t xml:space="preserve">C..... S....... </w:t>
      </w:r>
      <w:r w:rsidRPr="000C63A7">
        <w:rPr>
          <w:szCs w:val="20"/>
        </w:rPr>
        <w:t xml:space="preserve">, </w:t>
      </w:r>
      <w:r w:rsidRPr="000C63A7">
        <w:t>în mod corect s-a stabilit că acesta beneficiază de încadrarea locului de muncă în condiţii speciale şi de drepturile prevăzute la art. 20 alin. (3) din OUG nr. 59/2000 ce trebuie valorificate la stabilirea dreptului la pensie, fără aplicarea altor condiţionări.</w:t>
      </w:r>
    </w:p>
    <w:p w:rsidRPr="004F1DC0" w:rsidR="000C63A7" w:rsidP="000C63A7">
      <w:pPr>
        <w:ind w:firstLine="708"/>
        <w:jc w:val="both"/>
        <w:rPr>
          <w:iCs/>
          <w:lang w:val="pt-PT"/>
        </w:rPr>
      </w:pPr>
      <w:r w:rsidRPr="000C63A7">
        <w:t xml:space="preserve">Cu privire la beneficiile acordate intimatului, conform dispoziţiilor art. 20 alin. (3) din OUG nr. 59/2000, </w:t>
      </w:r>
      <w:r w:rsidRPr="004F1DC0">
        <w:rPr>
          <w:i/>
        </w:rPr>
        <w:t xml:space="preserve"> perioadele în care personalul silvic a desfăşurat activităţi în locuri de muncă încadrate în condiţii sp</w:t>
      </w:r>
      <w:r w:rsidRPr="004F1DC0">
        <w:rPr>
          <w:i/>
        </w:rPr>
        <w:t xml:space="preserve">eciale conform prezentei ordonanţe de urgenţă reprezintă stagiu de cotizare realizat în condiţii speciale de muncă, determină reducerea vârstei standard de pensionare cu 1 an pentru fiecare 5 ani în care şi-a exercitat profesia în locurile de muncă prevăzute la alin. </w:t>
      </w:r>
      <w:r w:rsidRPr="004F1DC0">
        <w:rPr>
          <w:i/>
          <w:lang w:val="pt-PT"/>
        </w:rPr>
        <w:t>(2), precum şi majorarea punctajelor lunare de pensie.</w:t>
      </w:r>
    </w:p>
    <w:p w:rsidRPr="004F1DC0" w:rsidR="000C63A7" w:rsidP="000C63A7">
      <w:pPr>
        <w:ind w:firstLine="708"/>
        <w:jc w:val="both"/>
        <w:rPr>
          <w:iCs/>
          <w:lang w:val="pt-PT"/>
        </w:rPr>
      </w:pPr>
      <w:r w:rsidRPr="004F1DC0">
        <w:rPr>
          <w:iCs/>
          <w:lang w:val="pt-PT"/>
        </w:rPr>
        <w:t>Curtea reţine că normele speciale ale OUG nr. 59/2000 nu instituie un procent de majorare a punctului de pensie, distinct de cel prevăzut de legea generală, respectiv de Legea nr. 263/2010,</w:t>
      </w:r>
      <w:r w:rsidRPr="004F1DC0">
        <w:rPr>
          <w:iCs/>
          <w:lang w:val="pt-PT"/>
        </w:rPr>
        <w:t xml:space="preserve"> drept urmare, în mod corect prima instanţă a aplicat dispoziţiile art. 100 alin. </w:t>
      </w:r>
      <w:r w:rsidRPr="000C63A7">
        <w:rPr>
          <w:iCs/>
          <w:lang w:val="en-US"/>
        </w:rPr>
        <w:t xml:space="preserve">1 lit. b) din acest din urmă act normativ care prevăd majorarea cu 50% a punctajelor lunare de pensie. </w:t>
      </w:r>
      <w:r w:rsidRPr="004F1DC0">
        <w:rPr>
          <w:iCs/>
          <w:lang w:val="pt-PT"/>
        </w:rPr>
        <w:t>Se constată că interpretarea apelantei ar lăsa fără efect beneficiul majorării punctelor lunare de pensie, prevăzut de art. 20 alin. 3 din O.U.G. nr. 59/2000, contrar voinţei legiuitorului. Totodată, în condiţiile în care norma specială ar fi derogat de la dispoziţiile generale, această situaţie de excepţie ar fi fost expresă</w:t>
      </w:r>
      <w:r w:rsidRPr="004F1DC0">
        <w:rPr>
          <w:iCs/>
          <w:lang w:val="pt-PT"/>
        </w:rPr>
        <w:t xml:space="preserve">, cum este cazul beneficiului reducerii vârstei de pensionare acordat de prevederile analizate. În consecinţă, soluţia primei instanţe este una legală şi sub acest aspect.  </w:t>
      </w:r>
    </w:p>
    <w:p w:rsidRPr="000C63A7" w:rsidR="000C63A7" w:rsidP="000C63A7">
      <w:pPr>
        <w:autoSpaceDE w:val="0"/>
        <w:autoSpaceDN w:val="0"/>
        <w:adjustRightInd w:val="0"/>
        <w:ind w:firstLine="720"/>
        <w:jc w:val="both"/>
      </w:pPr>
      <w:r w:rsidRPr="000C63A7">
        <w:t xml:space="preserve">În final, se reţine că prin sentinţa apelată s-a dispus obligarea apelantei la plata cheltuielilor de judecată în cuantum de 1500 lei. </w:t>
      </w:r>
      <w:r w:rsidRPr="000C63A7">
        <w:rPr>
          <w:iCs/>
        </w:rPr>
        <w:t>Curtea reține că acordarea cheltuielilor de judecată ţine seama de criteriile prevăzute de art. 451 alin. 2 din Codul de procedură civilă, respectiv valoarea pricinii și munca îndeplinită de avocat, în c</w:t>
      </w:r>
      <w:r w:rsidRPr="000C63A7">
        <w:rPr>
          <w:iCs/>
        </w:rPr>
        <w:t xml:space="preserve">auză constatându-se </w:t>
      </w:r>
      <w:r w:rsidRPr="000C63A7">
        <w:t>caracterul necesar, dovedit și rezonabil al cheltuielilor, în raport cu complexitatea cauzei și prestația apărătorului ales care a studiat un număr mare de înscrisuri, a formulat cererea introductivă, s-a prezentat la termenul de judecată acordat, formulând apărări concrete şi pertinente.</w:t>
      </w:r>
    </w:p>
    <w:p w:rsidRPr="000C63A7" w:rsidR="000C63A7" w:rsidP="000C63A7">
      <w:pPr>
        <w:ind w:firstLine="708"/>
        <w:jc w:val="both"/>
      </w:pPr>
      <w:r w:rsidRPr="000C63A7">
        <w:t xml:space="preserve">Faţă de aceste considerente, în temeiul art. 480 alin. 1 Cod procedură civilă, Curtea urmează a respinge ca nefondat apelul declarat de Casa Judeţeană de Pensii </w:t>
      </w:r>
      <w:r w:rsidR="004F1DC0">
        <w:t xml:space="preserve">S......... </w:t>
      </w:r>
      <w:r w:rsidRPr="000C63A7">
        <w:t>împotriva sentinţei civile nr.</w:t>
      </w:r>
      <w:r w:rsidRPr="000C63A7">
        <w:t xml:space="preserve"> </w:t>
      </w:r>
      <w:r w:rsidR="004F1DC0">
        <w:t xml:space="preserve">......... </w:t>
      </w:r>
      <w:r w:rsidRPr="000C63A7">
        <w:t xml:space="preserve"> din </w:t>
      </w:r>
      <w:r w:rsidR="004F1DC0">
        <w:t xml:space="preserve">......... </w:t>
      </w:r>
      <w:r w:rsidRPr="000C63A7">
        <w:t xml:space="preserve"> a Tribunalului </w:t>
      </w:r>
      <w:r w:rsidR="004F1DC0">
        <w:t xml:space="preserve">S...... </w:t>
      </w:r>
      <w:r w:rsidRPr="000C63A7">
        <w:t xml:space="preserve">, pronunţată în dosar nr. </w:t>
      </w:r>
      <w:r w:rsidR="004F1DC0">
        <w:t>1</w:t>
      </w:r>
      <w:r w:rsidRPr="000C63A7">
        <w:t xml:space="preserve">, pe care o va păstra în tot. </w:t>
      </w:r>
    </w:p>
    <w:p w:rsidRPr="000C63A7" w:rsidR="000C63A7" w:rsidP="000C63A7">
      <w:pPr>
        <w:ind w:firstLine="708"/>
        <w:jc w:val="both"/>
      </w:pPr>
      <w:r w:rsidRPr="000C63A7">
        <w:t xml:space="preserve">În baza art. 453 alin. 1 Cod procedură civilă, va obliga apelanta Casa Judeţeană de Pensii </w:t>
      </w:r>
      <w:r w:rsidR="004F1DC0">
        <w:t xml:space="preserve">S......... </w:t>
      </w:r>
      <w:r w:rsidRPr="000C63A7">
        <w:t xml:space="preserve">să plătească intimatului </w:t>
      </w:r>
      <w:r w:rsidR="004F1DC0">
        <w:t xml:space="preserve">1 </w:t>
      </w:r>
      <w:r w:rsidRPr="000C63A7">
        <w:t xml:space="preserve"> suma de 1500 lei cheltuieli de judecată în apel (f. 20-21 dosar apel). Instanţa apreciază că valoarea cheltuielilor de judecată este una proporţională cu gradul moderat de complexitate al cauzei şi cu activitatea reprezentantului convenţional care a formulat întâmpinare şi </w:t>
      </w:r>
      <w:r w:rsidRPr="000C63A7">
        <w:t xml:space="preserve">s-a prezentat în faţa instanţei de control judiciar la ambele termene de judecată acordate. </w:t>
      </w:r>
    </w:p>
    <w:p w:rsidRPr="000C63A7" w:rsidR="000C63A7" w:rsidP="000C63A7">
      <w:pPr>
        <w:jc w:val="both"/>
      </w:pPr>
    </w:p>
    <w:p w:rsidRPr="000C63A7" w:rsidR="000C63A7" w:rsidP="000C63A7">
      <w:pPr>
        <w:jc w:val="center"/>
        <w:rPr>
          <w:b/>
        </w:rPr>
      </w:pPr>
      <w:r w:rsidRPr="000C63A7">
        <w:rPr>
          <w:b/>
        </w:rPr>
        <w:t>PENTRU ACESTE MOTIVE</w:t>
      </w:r>
    </w:p>
    <w:p w:rsidRPr="000C63A7" w:rsidR="000C63A7" w:rsidP="000C63A7">
      <w:pPr>
        <w:jc w:val="center"/>
        <w:rPr>
          <w:b/>
        </w:rPr>
      </w:pPr>
      <w:r w:rsidRPr="000C63A7">
        <w:rPr>
          <w:b/>
        </w:rPr>
        <w:t>ÎN NUMELE LEGII</w:t>
      </w:r>
    </w:p>
    <w:p w:rsidRPr="000C63A7" w:rsidR="000C63A7" w:rsidP="000C63A7">
      <w:pPr>
        <w:jc w:val="center"/>
        <w:rPr>
          <w:b/>
        </w:rPr>
      </w:pPr>
      <w:r w:rsidRPr="000C63A7">
        <w:rPr>
          <w:b/>
        </w:rPr>
        <w:t>D E C I D E</w:t>
      </w:r>
    </w:p>
    <w:p w:rsidRPr="000C63A7" w:rsidR="000C63A7" w:rsidP="000C63A7">
      <w:pPr>
        <w:jc w:val="center"/>
      </w:pPr>
    </w:p>
    <w:p w:rsidRPr="000C63A7" w:rsidR="000C63A7" w:rsidP="000C63A7">
      <w:pPr>
        <w:jc w:val="both"/>
      </w:pPr>
      <w:r w:rsidRPr="000C63A7">
        <w:tab/>
        <w:t xml:space="preserve">Respinge ca nefondat apelul declarat de pârâta Casa Judeţeană de Pensii </w:t>
      </w:r>
      <w:r w:rsidR="004F1DC0">
        <w:t xml:space="preserve">S...... </w:t>
      </w:r>
      <w:r w:rsidRPr="000C63A7">
        <w:t xml:space="preserve">, cu sediul în mun. </w:t>
      </w:r>
      <w:r w:rsidR="004F1DC0">
        <w:t>.........</w:t>
      </w:r>
      <w:r w:rsidRPr="000C63A7">
        <w:t xml:space="preserve">, b-dul </w:t>
      </w:r>
      <w:r w:rsidR="004F1DC0">
        <w:t>.........</w:t>
      </w:r>
      <w:r w:rsidRPr="000C63A7">
        <w:t xml:space="preserve">, nr. </w:t>
      </w:r>
      <w:r w:rsidR="004F1DC0">
        <w:t>........</w:t>
      </w:r>
      <w:r w:rsidRPr="000C63A7">
        <w:t xml:space="preserve">, jud. </w:t>
      </w:r>
      <w:r w:rsidR="004F1DC0">
        <w:t xml:space="preserve">...... </w:t>
      </w:r>
      <w:r w:rsidRPr="000C63A7">
        <w:t xml:space="preserve">, împotriva sentinţei civile nr. </w:t>
      </w:r>
      <w:r w:rsidR="004F1DC0">
        <w:t xml:space="preserve">......... </w:t>
      </w:r>
      <w:r w:rsidRPr="000C63A7">
        <w:t xml:space="preserve"> din </w:t>
      </w:r>
      <w:r w:rsidR="004F1DC0">
        <w:t xml:space="preserve">......... </w:t>
      </w:r>
      <w:r w:rsidRPr="000C63A7">
        <w:t xml:space="preserve"> a Tribunalului </w:t>
      </w:r>
      <w:r w:rsidR="004F1DC0">
        <w:t xml:space="preserve">S...... </w:t>
      </w:r>
      <w:r w:rsidRPr="000C63A7">
        <w:t xml:space="preserve">, pronunţată în dosar nr. </w:t>
      </w:r>
      <w:r w:rsidR="004F1DC0">
        <w:t xml:space="preserve">1 </w:t>
      </w:r>
      <w:r w:rsidRPr="000C63A7">
        <w:t xml:space="preserve">, pe care o păstrează. </w:t>
      </w:r>
    </w:p>
    <w:p w:rsidRPr="000C63A7" w:rsidR="000C63A7" w:rsidP="000C63A7">
      <w:pPr>
        <w:ind w:firstLine="708"/>
        <w:jc w:val="both"/>
      </w:pPr>
      <w:r w:rsidRPr="000C63A7">
        <w:t xml:space="preserve">Obligă pe apelanta pârâtă Casa Judeţeană de Pensii </w:t>
      </w:r>
      <w:r w:rsidR="004F1DC0">
        <w:t xml:space="preserve">S......... </w:t>
      </w:r>
      <w:r w:rsidRPr="000C63A7">
        <w:t>să plătească inti</w:t>
      </w:r>
      <w:r w:rsidRPr="000C63A7">
        <w:t xml:space="preserve">matului </w:t>
      </w:r>
      <w:r w:rsidR="004F1DC0">
        <w:t xml:space="preserve">1 </w:t>
      </w:r>
      <w:r w:rsidRPr="000C63A7">
        <w:t xml:space="preserve">, CNP </w:t>
      </w:r>
      <w:r w:rsidR="004F1DC0">
        <w:t>.........</w:t>
      </w:r>
      <w:r w:rsidRPr="000C63A7">
        <w:t xml:space="preserve">, suma de 1.500 lei cheltuieli de judecată în apel. </w:t>
      </w:r>
    </w:p>
    <w:p w:rsidRPr="000C63A7" w:rsidR="000C63A7" w:rsidP="000C63A7">
      <w:pPr>
        <w:ind w:firstLine="708"/>
        <w:jc w:val="both"/>
      </w:pPr>
      <w:r w:rsidRPr="000C63A7">
        <w:t xml:space="preserve">Definitivă. </w:t>
      </w:r>
    </w:p>
    <w:p w:rsidRPr="000C63A7" w:rsidR="000C63A7" w:rsidP="000C63A7">
      <w:pPr>
        <w:ind w:firstLine="708"/>
        <w:jc w:val="both"/>
      </w:pPr>
      <w:r w:rsidRPr="000C63A7">
        <w:t xml:space="preserve">Pronunţată prin punerea soluţiei la dispoziţia părţilor prin intermediul grefei instanţei, azi, </w:t>
      </w:r>
      <w:r w:rsidR="004F1DC0">
        <w:t>..........</w:t>
      </w:r>
      <w:r w:rsidRPr="000C63A7">
        <w:t>.</w:t>
      </w:r>
    </w:p>
    <w:p w:rsidRPr="000C63A7" w:rsidR="000C63A7" w:rsidP="000C63A7">
      <w:pPr>
        <w:jc w:val="both"/>
      </w:pPr>
    </w:p>
    <w:p w:rsidRPr="000C63A7" w:rsidR="000C63A7" w:rsidP="000C63A7">
      <w:pPr>
        <w:ind w:left="-180" w:firstLine="360"/>
        <w:rPr>
          <w:b/>
        </w:rPr>
      </w:pPr>
      <w:r w:rsidRPr="000C63A7">
        <w:rPr>
          <w:b/>
        </w:rPr>
        <w:t xml:space="preserve">                  PREŞEDINTE</w:t>
        <w:tab/>
        <w:tab/>
        <w:tab/>
        <w:t xml:space="preserve">                                     JUDECĂTOR</w:t>
        <w:tab/>
      </w:r>
    </w:p>
    <w:p w:rsidRPr="000C63A7" w:rsidR="000C63A7" w:rsidP="004F1DC0">
      <w:pPr>
        <w:ind w:left="708" w:firstLine="888"/>
        <w:rPr>
          <w:b/>
        </w:rPr>
      </w:pPr>
      <w:r w:rsidR="004F1DC0">
        <w:rPr>
          <w:b/>
        </w:rPr>
        <w:t>A0019</w:t>
      </w:r>
      <w:r w:rsidRPr="000C63A7">
        <w:rPr>
          <w:b/>
        </w:rPr>
        <w:t xml:space="preserve"> </w:t>
        <w:tab/>
        <w:tab/>
        <w:tab/>
        <w:tab/>
      </w:r>
      <w:r w:rsidR="004F1DC0">
        <w:rPr>
          <w:b/>
        </w:rPr>
        <w:tab/>
        <w:tab/>
        <w:t xml:space="preserve">   ................ </w:t>
      </w:r>
      <w:r w:rsidRPr="000C63A7">
        <w:rPr>
          <w:b/>
        </w:rPr>
        <w:tab/>
        <w:tab/>
        <w:tab/>
        <w:tab/>
        <w:tab/>
        <w:tab/>
        <w:tab/>
        <w:tab/>
        <w:tab/>
        <w:tab/>
        <w:tab/>
        <w:tab/>
        <w:tab/>
        <w:t xml:space="preserve">                     </w:t>
        <w:tab/>
        <w:tab/>
      </w:r>
    </w:p>
    <w:p w:rsidRPr="000C63A7" w:rsidR="000C63A7" w:rsidP="000C63A7">
      <w:pPr>
        <w:ind w:left="-180" w:firstLine="360"/>
        <w:rPr>
          <w:b/>
        </w:rPr>
      </w:pPr>
    </w:p>
    <w:p w:rsidRPr="000C63A7" w:rsidR="000C63A7" w:rsidP="000C63A7">
      <w:pPr>
        <w:ind w:left="-180" w:firstLine="360"/>
        <w:rPr>
          <w:b/>
        </w:rPr>
      </w:pPr>
    </w:p>
    <w:p w:rsidRPr="000C63A7" w:rsidR="000C63A7" w:rsidP="000C63A7">
      <w:pPr>
        <w:ind w:left="-180" w:firstLine="360"/>
        <w:rPr>
          <w:b/>
        </w:rPr>
      </w:pPr>
      <w:r w:rsidRPr="000C63A7">
        <w:rPr>
          <w:b/>
        </w:rPr>
        <w:tab/>
        <w:tab/>
        <w:tab/>
        <w:tab/>
        <w:tab/>
        <w:t xml:space="preserve">      GREFIER</w:t>
      </w:r>
    </w:p>
    <w:p w:rsidRPr="000C63A7" w:rsidR="000C63A7" w:rsidP="000C63A7">
      <w:pPr>
        <w:ind w:left="-180" w:firstLine="360"/>
      </w:pPr>
      <w:r w:rsidRPr="000C63A7">
        <w:rPr>
          <w:b/>
        </w:rPr>
        <w:t xml:space="preserve">                                                      </w:t>
      </w:r>
      <w:r w:rsidR="004F1DC0">
        <w:rPr>
          <w:b/>
        </w:rPr>
        <w:t xml:space="preserve">           ............ </w:t>
      </w:r>
    </w:p>
    <w:p w:rsidR="000C63A7" w:rsidP="000C63A7">
      <w:pPr>
        <w:jc w:val="center"/>
      </w:pPr>
    </w:p>
    <w:p w:rsidR="000C63A7" w:rsidP="000C63A7">
      <w:pPr>
        <w:jc w:val="center"/>
      </w:pPr>
    </w:p>
    <w:p w:rsidRPr="000C63A7" w:rsidR="000C63A7" w:rsidP="000C63A7">
      <w:pPr>
        <w:jc w:val="center"/>
      </w:pPr>
    </w:p>
    <w:p w:rsidRPr="000C63A7" w:rsidR="000C63A7" w:rsidP="000C63A7">
      <w:pPr>
        <w:jc w:val="center"/>
      </w:pPr>
    </w:p>
    <w:p w:rsidRPr="000C63A7" w:rsidR="000C63A7" w:rsidP="000C63A7">
      <w:pPr>
        <w:rPr>
          <w:sz w:val="16"/>
          <w:szCs w:val="16"/>
        </w:rPr>
      </w:pPr>
      <w:r w:rsidRPr="000C63A7">
        <w:rPr>
          <w:sz w:val="16"/>
          <w:szCs w:val="16"/>
        </w:rPr>
        <w:t xml:space="preserve">Red. </w:t>
      </w:r>
      <w:r w:rsidR="004F1DC0">
        <w:rPr>
          <w:sz w:val="16"/>
          <w:szCs w:val="16"/>
        </w:rPr>
        <w:t>A0019/</w:t>
      </w:r>
      <w:r w:rsidRPr="000C63A7">
        <w:rPr>
          <w:sz w:val="16"/>
          <w:szCs w:val="16"/>
        </w:rPr>
        <w:t xml:space="preserve">Tehn. </w:t>
      </w:r>
      <w:r w:rsidR="004F1DC0">
        <w:rPr>
          <w:sz w:val="16"/>
          <w:szCs w:val="16"/>
        </w:rPr>
        <w:t>A0019</w:t>
      </w:r>
    </w:p>
    <w:p w:rsidRPr="000C63A7" w:rsidR="000C63A7" w:rsidP="000C63A7">
      <w:pPr>
        <w:rPr>
          <w:sz w:val="16"/>
          <w:szCs w:val="16"/>
        </w:rPr>
      </w:pPr>
      <w:r w:rsidRPr="000C63A7">
        <w:rPr>
          <w:sz w:val="16"/>
          <w:szCs w:val="16"/>
        </w:rPr>
        <w:t xml:space="preserve">Jud. fond: </w:t>
      </w:r>
      <w:r w:rsidR="004F1DC0">
        <w:rPr>
          <w:sz w:val="16"/>
          <w:szCs w:val="16"/>
        </w:rPr>
        <w:t>.............</w:t>
      </w:r>
      <w:r w:rsidRPr="000C63A7">
        <w:rPr>
          <w:sz w:val="16"/>
          <w:szCs w:val="16"/>
        </w:rPr>
        <w:t xml:space="preserve">          </w:t>
      </w:r>
      <w:r w:rsidRPr="000C63A7">
        <w:rPr>
          <w:sz w:val="16"/>
          <w:szCs w:val="16"/>
        </w:rPr>
        <w:t xml:space="preserve">                                                 </w:t>
      </w:r>
    </w:p>
    <w:p w:rsidRPr="000C63A7" w:rsidR="00090D1C" w:rsidP="000C63A7">
      <w:pPr>
        <w:rPr>
          <w:sz w:val="16"/>
          <w:szCs w:val="16"/>
        </w:rPr>
      </w:pPr>
      <w:r w:rsidRPr="000C63A7" w:rsidR="000C63A7">
        <w:rPr>
          <w:sz w:val="16"/>
          <w:szCs w:val="16"/>
        </w:rPr>
        <w:t xml:space="preserve">4 ex./ </w:t>
      </w:r>
      <w:r w:rsidR="004F1DC0">
        <w:rPr>
          <w:sz w:val="16"/>
          <w:szCs w:val="16"/>
        </w:rPr>
        <w:t>...........</w:t>
      </w:r>
    </w:p>
    <w:sectPr w:rsidSect="00046F78">
      <w:footerReference w:type="default" r:id="rId4"/>
      <w:pgSz w:w="11906" w:h="16838" w:code="9"/>
      <w:pgMar w:top="851" w:right="851" w:bottom="851" w:left="141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921">
    <w:pPr>
      <w:pStyle w:val="Footer"/>
      <w:jc w:val="center"/>
    </w:pPr>
    <w:r>
      <w:fldChar w:fldCharType="begin"/>
    </w:r>
    <w:r>
      <w:instrText>PAGE   \* MERGEFORMAT</w:instrText>
    </w:r>
    <w:r>
      <w:fldChar w:fldCharType="separate"/>
    </w:r>
    <w:r w:rsidR="00925D46">
      <w:rPr>
        <w:noProof/>
      </w:rPr>
      <w:t>2</w:t>
    </w:r>
    <w:r>
      <w:fldChar w:fldCharType="end"/>
    </w:r>
  </w:p>
  <w:p w:rsidR="00345921">
    <w:pPr>
      <w:pStyle w:val="Foote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mirrorMargins/>
  <w:proofState w:grammar="clean"/>
  <w:stylePaneFormatFilter w:val="3F01"/>
  <w:doNotTrackMoves/>
  <w:defaultTabStop w:val="708"/>
  <w:hyphenationZone w:val="425"/>
  <w:drawingGridHorizontalSpacing w:val="120"/>
  <w:displayHorizontalDrawingGridEvery w:val="2"/>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90D1C"/>
    <w:rsid w:val="0004576A"/>
    <w:rsid w:val="00046F78"/>
    <w:rsid w:val="000654FD"/>
    <w:rsid w:val="00074F1D"/>
    <w:rsid w:val="00084103"/>
    <w:rsid w:val="00090D1C"/>
    <w:rsid w:val="000B427D"/>
    <w:rsid w:val="000C63A7"/>
    <w:rsid w:val="000E4F55"/>
    <w:rsid w:val="00180DC1"/>
    <w:rsid w:val="00190DF5"/>
    <w:rsid w:val="00210765"/>
    <w:rsid w:val="00227A7C"/>
    <w:rsid w:val="00230098"/>
    <w:rsid w:val="00236DE6"/>
    <w:rsid w:val="00236F8B"/>
    <w:rsid w:val="00310770"/>
    <w:rsid w:val="00345921"/>
    <w:rsid w:val="003603FA"/>
    <w:rsid w:val="003676FC"/>
    <w:rsid w:val="00367F7D"/>
    <w:rsid w:val="00420072"/>
    <w:rsid w:val="00434264"/>
    <w:rsid w:val="004362D5"/>
    <w:rsid w:val="00444EB7"/>
    <w:rsid w:val="00483536"/>
    <w:rsid w:val="004F1DC0"/>
    <w:rsid w:val="00573053"/>
    <w:rsid w:val="00597187"/>
    <w:rsid w:val="005E0080"/>
    <w:rsid w:val="0062704A"/>
    <w:rsid w:val="00643A60"/>
    <w:rsid w:val="00724AB5"/>
    <w:rsid w:val="008D6F98"/>
    <w:rsid w:val="00902C7A"/>
    <w:rsid w:val="0090393F"/>
    <w:rsid w:val="00925D46"/>
    <w:rsid w:val="00982CB8"/>
    <w:rsid w:val="009847E9"/>
    <w:rsid w:val="009876B0"/>
    <w:rsid w:val="009A7B6B"/>
    <w:rsid w:val="009B7961"/>
    <w:rsid w:val="009E4170"/>
    <w:rsid w:val="00A33F5A"/>
    <w:rsid w:val="00A56F73"/>
    <w:rsid w:val="00A74B82"/>
    <w:rsid w:val="00B84B6A"/>
    <w:rsid w:val="00BA7F75"/>
    <w:rsid w:val="00BC4A1A"/>
    <w:rsid w:val="00BC5260"/>
    <w:rsid w:val="00BF0686"/>
    <w:rsid w:val="00BF0E6F"/>
    <w:rsid w:val="00C63F0D"/>
    <w:rsid w:val="00CE2941"/>
    <w:rsid w:val="00E028B9"/>
    <w:rsid w:val="00E10F36"/>
    <w:rsid w:val="00E12E1B"/>
    <w:rsid w:val="00EC7756"/>
    <w:rsid w:val="00F035C2"/>
    <w:rsid w:val="00F265D3"/>
    <w:rsid w:val="00F44214"/>
    <w:rsid w:val="00F5616E"/>
    <w:rsid w:val="00FA3F62"/>
    <w:rsid w:val="00FC19D9"/>
  </w:rsids>
  <w:docVars>
    <w:docVar w:name="url" w:val="https://caclj.just.ro/ecris_cdms/document_upload.aspx?id_document=3300000001996055&amp;id_departament=14&amp;id_sesiune=2682769&amp;id_user=157&amp;id_institutie=33&amp;actiune=modifica"/>
  </w:docVar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semiHidden="0" w:uiPriority="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HTML Top of Form" w:semiHidden="0" w:uiPriority="0" w:unhideWhenUsed="0"/>
    <w:lsdException w:name="HTML Bottom of Form"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uiPriority="0" w:unhideWhenUsed="0"/>
    <w:lsdException w:name="annotation subject" w:semiHidden="0" w:uiPriority="0" w:unhideWhenUsed="0"/>
    <w:lsdException w:name="No List" w:semiHidden="0" w:uiPriority="0" w:unhideWhenUsed="0"/>
    <w:lsdException w:name="Outline List 1" w:semiHidden="0" w:uiPriority="0" w:unhideWhenUsed="0"/>
    <w:lsdException w:name="Outline List 2" w:semiHidden="0" w:uiPriority="0" w:unhideWhenUsed="0"/>
    <w:lsdException w:name="Outline List 3"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default="1" w:styleId="Normal">
    <w:name w:val="Normal"/>
    <w:qFormat/>
    <w:rPr>
      <w:sz w:val="24"/>
      <w:szCs w:val="24"/>
      <w:lang w:val="ro-RO" w:eastAsia="ro-RO" w:bidi="ar-SA"/>
    </w:rPr>
  </w:style>
  <w:style w:type="paragraph" w:styleId="Heading1">
    <w:name w:val="heading 1"/>
    <w:basedOn w:val="Normal"/>
    <w:next w:val="Normal"/>
    <w:qFormat/>
    <w:pPr>
      <w:keepNext/>
      <w:jc w:val="center"/>
      <w:outlineLvl w:val="0"/>
    </w:pPr>
    <w:rPr>
      <w:b/>
      <w:bCs/>
      <w:sz w:val="28"/>
      <w:szCs w:val="15"/>
      <w:lang w:val="en-US"/>
    </w:rPr>
  </w:style>
  <w:style w:type="paragraph" w:styleId="Heading3">
    <w:name w:val="heading 3"/>
    <w:basedOn w:val="Normal"/>
    <w:next w:val="Normal"/>
    <w:qFormat/>
    <w:rsid w:val="00573053"/>
    <w:pPr>
      <w:keepNext/>
      <w:spacing w:before="240" w:after="60"/>
      <w:outlineLvl w:val="2"/>
    </w:pPr>
    <w:rPr>
      <w:rFonts w:ascii="Arial" w:hAnsi="Arial" w:cs="Arial"/>
      <w:b/>
      <w:bCs/>
      <w:sz w:val="26"/>
      <w:szCs w:val="26"/>
    </w:rPr>
  </w:style>
  <w:style w:type="character" w:default="1" w:styleId="DefaultParagraphFont">
    <w:name w:val="Default Paragraph Font"/>
    <w:aliases w:val=" Caracter Caracter"/>
    <w:link w:val="a"/>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Web">
    <w:name w:val="Normal (Web)"/>
    <w:basedOn w:val="Normal"/>
    <w:pPr>
      <w:spacing w:before="100" w:beforeAutospacing="1" w:after="100" w:afterAutospacing="1"/>
    </w:pPr>
  </w:style>
  <w:style w:type="paragraph" w:customStyle="1" w:styleId="a">
    <w:basedOn w:val="Normal"/>
    <w:link w:val="DefaultParagraphFont"/>
    <w:rsid w:val="00573053"/>
    <w:pPr>
      <w:tabs>
        <w:tab w:val="left" w:pos="900"/>
        <w:tab w:val="left" w:pos="1080"/>
      </w:tabs>
      <w:ind w:right="22"/>
    </w:pPr>
    <w:rPr>
      <w:lang w:val="pl-PL" w:eastAsia="pl-PL"/>
    </w:rPr>
  </w:style>
  <w:style w:type="character" w:styleId="Hyperlink">
    <w:name w:val="Hyperlink"/>
    <w:rsid w:val="00FA3F62"/>
    <w:rPr>
      <w:color w:val="0000FF"/>
      <w:u w:val="single"/>
    </w:rPr>
  </w:style>
  <w:style w:type="paragraph" w:styleId="Header">
    <w:name w:val="header"/>
    <w:basedOn w:val="Normal"/>
    <w:link w:val="HeaderChar"/>
    <w:rsid w:val="00345921"/>
    <w:pPr>
      <w:tabs>
        <w:tab w:val="center" w:pos="4536"/>
        <w:tab w:val="right" w:pos="9072"/>
      </w:tabs>
    </w:pPr>
  </w:style>
  <w:style w:type="character" w:customStyle="1" w:styleId="HeaderChar">
    <w:name w:val="Header Char"/>
    <w:link w:val="Header"/>
    <w:rsid w:val="00345921"/>
    <w:rPr>
      <w:sz w:val="24"/>
      <w:szCs w:val="24"/>
    </w:rPr>
  </w:style>
  <w:style w:type="paragraph" w:styleId="Footer">
    <w:name w:val="footer"/>
    <w:basedOn w:val="Normal"/>
    <w:link w:val="FooterChar"/>
    <w:uiPriority w:val="99"/>
    <w:rsid w:val="00345921"/>
    <w:pPr>
      <w:tabs>
        <w:tab w:val="center" w:pos="4536"/>
        <w:tab w:val="right" w:pos="9072"/>
      </w:tabs>
    </w:pPr>
  </w:style>
  <w:style w:type="character" w:customStyle="1" w:styleId="FooterChar">
    <w:name w:val="Footer Char"/>
    <w:link w:val="Footer"/>
    <w:uiPriority w:val="99"/>
    <w:rsid w:val="00345921"/>
    <w:rPr>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87</ap:TotalTime>
  <ap:Pages>8</ap:Pages>
  <ap:Words>4920</ap:Words>
  <ap:Characters>28046</ap:Characters>
  <ap:Application>Microsoft Office Word</ap:Application>
  <ap:DocSecurity>0</ap:DocSecurity>
  <ap:Lines>233</ap:Lines>
  <ap:Paragraphs>65</ap:Paragraphs>
  <ap:ScaleCrop>false</ap:ScaleCrop>
  <ap:HeadingPairs>
    <vt:vector baseType="variant" size="4">
      <vt:variant>
        <vt:lpstr>Title</vt:lpstr>
      </vt:variant>
      <vt:variant>
        <vt:i4>1</vt:i4>
      </vt:variant>
      <vt:variant>
        <vt:lpstr>Titlu</vt:lpstr>
      </vt:variant>
      <vt:variant>
        <vt:i4>1</vt:i4>
      </vt:variant>
    </vt:vector>
  </ap:HeadingPairs>
  <ap:TitlesOfParts>
    <vt:vector baseType="lpstr" size="2">
      <vt:lpstr>Numar dosar      </vt:lpstr>
      <vt:lpstr>Numar dosar      </vt:lpstr>
    </vt:vector>
  </ap:TitlesOfParts>
  <ap:CharactersWithSpaces>32901</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