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A21BAF" w:rsidP="002B0D54">
      <w:pPr>
        <w:rPr>
          <w:b/>
        </w:rPr>
      </w:pPr>
    </w:p>
    <w:p w:rsidR="00A21BAF" w:rsidP="002B0D54">
      <w:pPr>
        <w:rPr>
          <w:b/>
        </w:rPr>
      </w:pPr>
      <w:r>
        <w:rPr>
          <w:b/>
        </w:rPr>
        <w:t>HOT. 13</w:t>
      </w:r>
    </w:p>
    <w:p w:rsidRPr="00D533E6" w:rsidR="002B0D54" w:rsidP="002B0D54">
      <w:pPr>
        <w:rPr>
          <w:bCs/>
        </w:rPr>
      </w:pPr>
      <w:r w:rsidRPr="00D533E6">
        <w:rPr>
          <w:bCs/>
        </w:rPr>
        <w:t xml:space="preserve">Dosar nr. </w:t>
      </w:r>
      <w:r w:rsidRPr="00D533E6" w:rsidR="000457F3">
        <w:rPr>
          <w:bCs/>
        </w:rPr>
        <w:t>...</w:t>
      </w:r>
    </w:p>
    <w:p w:rsidRPr="002B0D54" w:rsidR="002B0D54" w:rsidP="002B0D54">
      <w:pPr>
        <w:rPr>
          <w:b/>
        </w:rPr>
      </w:pPr>
    </w:p>
    <w:p w:rsidRPr="002B0D54" w:rsidR="002B0D54" w:rsidP="002B0D54">
      <w:pPr>
        <w:rPr>
          <w:b/>
        </w:rPr>
      </w:pPr>
    </w:p>
    <w:p w:rsidRPr="002B0D54" w:rsidR="002B0D54" w:rsidP="002B0D54">
      <w:pPr>
        <w:jc w:val="center"/>
        <w:rPr>
          <w:b/>
        </w:rPr>
      </w:pPr>
      <w:r w:rsidRPr="002B0D54">
        <w:rPr>
          <w:b/>
        </w:rPr>
        <w:t>R O M Â N I A</w:t>
      </w:r>
    </w:p>
    <w:p w:rsidRPr="002B0D54" w:rsidR="002B0D54" w:rsidP="002B0D54">
      <w:pPr>
        <w:jc w:val="center"/>
        <w:rPr>
          <w:b/>
        </w:rPr>
      </w:pPr>
      <w:r w:rsidRPr="002B0D54">
        <w:rPr>
          <w:b/>
        </w:rPr>
        <w:t xml:space="preserve">CURTEA DE APEL </w:t>
      </w:r>
      <w:r w:rsidR="00916558">
        <w:rPr>
          <w:b/>
        </w:rPr>
        <w:t>...</w:t>
      </w:r>
    </w:p>
    <w:p w:rsidRPr="002B0D54" w:rsidR="002B0D54" w:rsidP="002B0D54">
      <w:pPr>
        <w:jc w:val="center"/>
        <w:rPr>
          <w:b/>
          <w:lang w:val="en-US"/>
        </w:rPr>
      </w:pPr>
      <w:r w:rsidRPr="002B0D54">
        <w:rPr>
          <w:b/>
        </w:rPr>
        <w:t xml:space="preserve">SECŢIA </w:t>
      </w:r>
      <w:r w:rsidR="00916558">
        <w:rPr>
          <w:b/>
        </w:rPr>
        <w:t>...</w:t>
      </w:r>
    </w:p>
    <w:p w:rsidRPr="002B0D54" w:rsidR="002B0D54" w:rsidP="002B0D54">
      <w:pPr>
        <w:jc w:val="center"/>
        <w:rPr>
          <w:b/>
        </w:rPr>
      </w:pPr>
      <w:r w:rsidRPr="002B0D54">
        <w:rPr>
          <w:b/>
        </w:rPr>
      </w:r>
      <w:bookmarkStart w:name="tip_incheiere" w:id="0"/>
      <w:r w:rsidRPr="002B0D54">
        <w:rPr>
          <w:b/>
        </w:rPr>
      </w:r>
      <w:r w:rsidRPr="002B0D54">
        <w:rPr>
          <w:b/>
        </w:rPr>
      </w:r>
      <w:r w:rsidRPr="002B0D54">
        <w:rPr>
          <w:b/>
        </w:rPr>
        <w:t>DECIZIE</w:t>
      </w:r>
      <w:r w:rsidRPr="002B0D54">
        <w:rPr>
          <w:b/>
        </w:rPr>
      </w:r>
      <w:bookmarkEnd w:id="0"/>
      <w:r w:rsidRPr="002B0D54">
        <w:rPr>
          <w:b/>
        </w:rPr>
        <w:t xml:space="preserve"> Nr. </w:t>
      </w:r>
      <w:r w:rsidR="00916558">
        <w:rPr>
          <w:b/>
        </w:rPr>
        <w:t>...</w:t>
      </w:r>
    </w:p>
    <w:p w:rsidRPr="002B0D54" w:rsidR="002B0D54" w:rsidP="002B0D54">
      <w:pPr>
        <w:jc w:val="center"/>
        <w:rPr>
          <w:b/>
        </w:rPr>
      </w:pPr>
      <w:r w:rsidRPr="002B0D54">
        <w:rPr>
          <w:b/>
        </w:rPr>
        <w:t>Şedinţa </w:t>
      </w:r>
      <w:r w:rsidRPr="002B0D54">
        <w:rPr>
          <w:b/>
        </w:rPr>
      </w:r>
      <w:bookmarkStart w:name="tip_sedinta" w:id="1"/>
      <w:r w:rsidRPr="002B0D54">
        <w:rPr>
          <w:b/>
        </w:rPr>
      </w:r>
      <w:r w:rsidRPr="002B0D54">
        <w:rPr>
          <w:b/>
        </w:rPr>
      </w:r>
      <w:r w:rsidRPr="002B0D54">
        <w:rPr>
          <w:b/>
        </w:rPr>
        <w:t>publică</w:t>
      </w:r>
      <w:r w:rsidRPr="002B0D54">
        <w:rPr>
          <w:b/>
        </w:rPr>
      </w:r>
      <w:bookmarkEnd w:id="1"/>
      <w:r w:rsidRPr="002B0D54">
        <w:rPr>
          <w:b/>
        </w:rPr>
        <w:t xml:space="preserve"> de la </w:t>
      </w:r>
      <w:r w:rsidR="00916558">
        <w:rPr>
          <w:b/>
        </w:rPr>
        <w:t>...</w:t>
      </w:r>
      <w:r w:rsidRPr="002B0D54">
        <w:rPr>
          <w:b/>
        </w:rPr>
        <w:t xml:space="preserve"> </w:t>
      </w:r>
    </w:p>
    <w:p w:rsidRPr="002B0D54" w:rsidR="002B0D54" w:rsidP="002B0D54">
      <w:pPr>
        <w:jc w:val="center"/>
        <w:rPr>
          <w:b/>
        </w:rPr>
      </w:pPr>
      <w:r w:rsidRPr="002B0D54">
        <w:rPr>
          <w:b/>
        </w:rPr>
        <w:t>Completul compus din:</w:t>
      </w:r>
    </w:p>
    <w:p w:rsidRPr="002B0D54" w:rsidR="002B0D54" w:rsidP="002B0D54">
      <w:pPr>
        <w:jc w:val="center"/>
        <w:rPr>
          <w:b/>
        </w:rPr>
      </w:pPr>
      <w:r w:rsidRPr="002B0D54">
        <w:rPr>
          <w:b/>
        </w:rPr>
        <w:t xml:space="preserve">PREŞEDINTE </w:t>
      </w:r>
      <w:r w:rsidR="00916558">
        <w:rPr>
          <w:b/>
        </w:rPr>
        <w:t>...</w:t>
      </w:r>
    </w:p>
    <w:p w:rsidRPr="002B0D54" w:rsidR="002B0D54" w:rsidP="002B0D54">
      <w:pPr>
        <w:jc w:val="center"/>
        <w:rPr>
          <w:b/>
        </w:rPr>
      </w:pPr>
      <w:r w:rsidRPr="002B0D54">
        <w:rPr>
          <w:b/>
        </w:rPr>
        <w:t xml:space="preserve">Judecător </w:t>
      </w:r>
      <w:r w:rsidR="00916558">
        <w:rPr>
          <w:b/>
        </w:rPr>
        <w:t>...</w:t>
      </w:r>
    </w:p>
    <w:p w:rsidRPr="00916558" w:rsidR="002B0D54" w:rsidP="002B0D54">
      <w:pPr>
        <w:jc w:val="center"/>
        <w:rPr>
          <w:b/>
          <w:lang w:val="en-US"/>
        </w:rPr>
      </w:pPr>
      <w:r w:rsidRPr="002B0D54">
        <w:rPr>
          <w:b/>
        </w:rPr>
        <w:t xml:space="preserve">Judecător </w:t>
      </w:r>
      <w:r w:rsidR="00916558">
        <w:rPr>
          <w:b/>
          <w:lang w:val="en-US"/>
        </w:rPr>
        <w:t>A0007</w:t>
      </w:r>
    </w:p>
    <w:p w:rsidRPr="002B0D54" w:rsidR="002B0D54" w:rsidP="002B0D54">
      <w:pPr>
        <w:jc w:val="center"/>
        <w:rPr>
          <w:b/>
        </w:rPr>
      </w:pPr>
      <w:r w:rsidRPr="002B0D54">
        <w:rPr>
          <w:b/>
        </w:rPr>
        <w:t xml:space="preserve">Grefier </w:t>
      </w:r>
      <w:r w:rsidR="00916558">
        <w:rPr>
          <w:b/>
        </w:rPr>
        <w:t>...</w:t>
      </w:r>
    </w:p>
    <w:p w:rsidRPr="002B0D54" w:rsidR="002B0D54" w:rsidP="002B0D54">
      <w:pPr>
        <w:jc w:val="center"/>
      </w:pPr>
      <w:bookmarkStart w:name="nume_procuror" w:id="2"/>
      <w:r w:rsidRPr="002B0D54">
        <w:rPr>
          <w:noProof/>
        </w:rPr>
        <w:t> </w:t>
      </w:r>
      <w:r w:rsidRPr="002B0D54">
        <w:rPr>
          <w:noProof/>
        </w:rPr>
        <w:t> </w:t>
      </w:r>
      <w:r w:rsidRPr="002B0D54">
        <w:rPr>
          <w:noProof/>
        </w:rPr>
        <w:t> </w:t>
      </w:r>
      <w:r w:rsidRPr="002B0D54">
        <w:rPr>
          <w:noProof/>
        </w:rPr>
        <w:t> </w:t>
      </w:r>
      <w:r w:rsidRPr="002B0D54">
        <w:rPr>
          <w:noProof/>
        </w:rPr>
        <w:t> </w:t>
      </w:r>
      <w:bookmarkEnd w:id="2"/>
    </w:p>
    <w:p w:rsidRPr="002B0D54" w:rsidR="002B0D54" w:rsidP="002B0D54">
      <w:pPr>
        <w:ind w:firstLine="709"/>
        <w:jc w:val="both"/>
      </w:pPr>
      <w:r w:rsidRPr="002B0D54">
        <w:t xml:space="preserve">S-a luat în examinare recursul formulat de recurenta-pârâta DIRECŢIA GENERALĂ REGIONALĂ A FINANŢELOR PUBLICE </w:t>
      </w:r>
      <w:r w:rsidR="00BF1427">
        <w:t>...</w:t>
      </w:r>
      <w:r w:rsidRPr="002B0D54">
        <w:t xml:space="preserve"> prin AJFP </w:t>
      </w:r>
      <w:r w:rsidR="00BF1427">
        <w:t>...</w:t>
      </w:r>
      <w:r w:rsidRPr="002B0D54">
        <w:t xml:space="preserve"> împotriva sentinţei nr. </w:t>
      </w:r>
      <w:r w:rsidR="00BF1427">
        <w:t>...</w:t>
      </w:r>
      <w:r w:rsidRPr="002B0D54">
        <w:t xml:space="preserve"> din data de </w:t>
      </w:r>
      <w:r w:rsidR="00BF1427">
        <w:t>...</w:t>
      </w:r>
      <w:r w:rsidRPr="002B0D54">
        <w:t xml:space="preserve"> pronunţată de Tribunalul </w:t>
      </w:r>
      <w:r w:rsidR="00BF1427">
        <w:t xml:space="preserve">... </w:t>
      </w:r>
      <w:r w:rsidRPr="002B0D54">
        <w:t xml:space="preserve">în dosar nr. </w:t>
      </w:r>
      <w:r w:rsidR="00BF1427">
        <w:t>...</w:t>
      </w:r>
      <w:r w:rsidRPr="002B0D54">
        <w:t xml:space="preserve"> în contradictoriu cu intimatul reclamant SINDICATUL FINANŢE </w:t>
      </w:r>
      <w:r w:rsidR="00BF1427">
        <w:t>...</w:t>
      </w:r>
      <w:r w:rsidRPr="002B0D54">
        <w:t xml:space="preserve"> pentru membrul</w:t>
      </w:r>
      <w:r w:rsidRPr="002B0D54">
        <w:t xml:space="preserve"> de sindicat </w:t>
      </w:r>
      <w:r w:rsidRPr="00BF1427" w:rsidR="00BF1427">
        <w:rPr>
          <w:b/>
          <w:bCs/>
        </w:rPr>
        <w:t>X</w:t>
      </w:r>
      <w:r w:rsidRPr="002B0D54">
        <w:t xml:space="preserve">, având ca obiect litigiu privind funcţionarii publici (Legea Nr.188/1999) DISJUNS DIN DOSARUL NR. </w:t>
      </w:r>
      <w:r w:rsidR="00BF1427">
        <w:t>...</w:t>
      </w:r>
      <w:r w:rsidRPr="002B0D54">
        <w:t>.</w:t>
      </w:r>
    </w:p>
    <w:p w:rsidRPr="002B0D54" w:rsidR="002B0D54" w:rsidP="002B0D54">
      <w:pPr>
        <w:ind w:firstLine="709"/>
        <w:jc w:val="both"/>
      </w:pPr>
      <w:r w:rsidRPr="002B0D54">
        <w:t xml:space="preserve">La apelul nominal făcut în şedinţa </w:t>
      </w:r>
      <w:bookmarkStart w:name="tip_sedinta_copie_1" w:id="3"/>
      <w:r w:rsidRPr="002B0D54">
        <w:t>publică</w:t>
      </w:r>
      <w:bookmarkEnd w:id="3"/>
      <w:r w:rsidRPr="002B0D54">
        <w:t xml:space="preserve"> a răspuns intimatul reclamant SINDICATUL FINANŢE </w:t>
      </w:r>
      <w:r w:rsidR="00BF1427">
        <w:t>...</w:t>
      </w:r>
      <w:r w:rsidRPr="002B0D54">
        <w:t>-ÎN NUMELE ŞI PENTRU MEMBRUL DE SINDICAT-</w:t>
      </w:r>
      <w:r w:rsidRPr="00BF1427" w:rsidR="00BF1427">
        <w:rPr>
          <w:b/>
          <w:bCs/>
        </w:rPr>
        <w:t>X</w:t>
      </w:r>
      <w:r w:rsidRPr="002B0D54">
        <w:t xml:space="preserve"> reprezentată de avocat </w:t>
      </w:r>
      <w:r w:rsidRPr="00BF1427" w:rsidR="00BF1427">
        <w:rPr>
          <w:b/>
          <w:bCs/>
        </w:rPr>
        <w:t>A</w:t>
      </w:r>
      <w:r w:rsidRPr="002B0D54">
        <w:t xml:space="preserve"> lipsind recurenta pârâta DIRECŢIA GENERALĂ REGIONALĂ A FINANŢELOR PUBLICE </w:t>
      </w:r>
      <w:r w:rsidR="00BF1427">
        <w:t>...</w:t>
      </w:r>
      <w:r w:rsidRPr="002B0D54">
        <w:t xml:space="preserve"> PRIN AJFP </w:t>
      </w:r>
      <w:r w:rsidR="00BF1427">
        <w:t>...</w:t>
      </w:r>
      <w:r w:rsidRPr="002B0D54">
        <w:t>.</w:t>
      </w:r>
    </w:p>
    <w:p w:rsidRPr="002B0D54" w:rsidR="002B0D54" w:rsidP="002B0D54">
      <w:pPr>
        <w:ind w:firstLine="709"/>
        <w:jc w:val="both"/>
      </w:pPr>
      <w:r w:rsidRPr="002B0D54">
        <w:t xml:space="preserve">Procedura </w:t>
      </w:r>
      <w:bookmarkStart w:name="tip_procedura" w:id="4"/>
      <w:r w:rsidRPr="002B0D54">
        <w:t>legal</w:t>
      </w:r>
      <w:bookmarkEnd w:id="4"/>
      <w:r w:rsidRPr="002B0D54">
        <w:t xml:space="preserve"> îndeplinită.</w:t>
      </w:r>
    </w:p>
    <w:p w:rsidRPr="002B0D54" w:rsidR="002B0D54" w:rsidP="002B0D54">
      <w:pPr>
        <w:ind w:firstLine="708"/>
        <w:jc w:val="both"/>
        <w:rPr>
          <w:color w:val="000000"/>
        </w:rPr>
      </w:pPr>
      <w:r w:rsidRPr="002B0D54">
        <w:t xml:space="preserve">S-a făcut </w:t>
      </w:r>
      <w:bookmarkStart w:name="tip_doc_despre_cauza" w:id="5"/>
      <w:r w:rsidRPr="002B0D54">
        <w:t>referatul</w:t>
      </w:r>
      <w:bookmarkEnd w:id="5"/>
      <w:r w:rsidRPr="002B0D54">
        <w:t xml:space="preserve"> cauzei de către </w:t>
      </w:r>
      <w:bookmarkStart w:name="functia_celui_care_f" w:id="6"/>
      <w:r w:rsidRPr="002B0D54">
        <w:t>grefier</w:t>
      </w:r>
      <w:bookmarkEnd w:id="6"/>
      <w:r w:rsidRPr="002B0D54">
        <w:t xml:space="preserve"> </w:t>
      </w:r>
      <w:bookmarkStart w:name="combo_invedereaza" w:id="7"/>
      <w:r w:rsidRPr="002B0D54">
        <w:t>care învederează</w:t>
      </w:r>
      <w:bookmarkEnd w:id="7"/>
      <w:r w:rsidRPr="002B0D54">
        <w:t xml:space="preserve"> instanţei </w:t>
      </w:r>
      <w:r w:rsidRPr="002B0D54">
        <w:rPr>
          <w:color w:val="000000"/>
        </w:rPr>
        <w:t>obiectul cauzei, stadiul judecăţii, modalitatea de îndeplinire a procedurii de citare, recurenta pârâtă a depus răspuns la întâmpinare, iar părţile au solicitat judecarea cauzei în lipsă, după care;</w:t>
      </w:r>
    </w:p>
    <w:p w:rsidRPr="002B0D54" w:rsidR="002B0D54" w:rsidP="002B0D54">
      <w:pPr>
        <w:ind w:firstLine="708"/>
        <w:jc w:val="both"/>
      </w:pPr>
      <w:r w:rsidRPr="002B0D54">
        <w:t>Constatând că nu mai sunt cereri de formulat, Curtea apreciază cauza în stare de soluţionare şi acordă cuvântul asupra recursului.</w:t>
      </w:r>
    </w:p>
    <w:p w:rsidRPr="002B0D54" w:rsidR="002B0D54" w:rsidP="002B0D54">
      <w:pPr>
        <w:ind w:firstLine="708"/>
        <w:jc w:val="both"/>
      </w:pPr>
      <w:r w:rsidRPr="002B0D54">
        <w:rPr>
          <w:rFonts w:eastAsia="Calibri"/>
          <w:lang w:eastAsia="en-US"/>
        </w:rPr>
        <w:t xml:space="preserve">Avocat </w:t>
      </w:r>
      <w:r w:rsidRPr="00513709" w:rsidR="00513709">
        <w:rPr>
          <w:rFonts w:eastAsia="Calibri"/>
          <w:b/>
          <w:bCs/>
          <w:lang w:eastAsia="en-US"/>
        </w:rPr>
        <w:t>A</w:t>
      </w:r>
      <w:r w:rsidRPr="002B0D54">
        <w:rPr>
          <w:rFonts w:eastAsia="Calibri"/>
          <w:lang w:eastAsia="en-US"/>
        </w:rPr>
        <w:t xml:space="preserve"> pentru intimatul reclamant, solicită respingerea recursului ca nefondat şi menţinerea sentinţei recurate ca fiind teme</w:t>
      </w:r>
      <w:r w:rsidRPr="002B0D54">
        <w:rPr>
          <w:rFonts w:eastAsia="Calibri"/>
          <w:lang w:eastAsia="en-US"/>
        </w:rPr>
        <w:t xml:space="preserve">inică şi legală, fără cheltuieli de judecată. Prin înscrisurile depuse la dosarul cauzei s-a făcut dovada că există diferenţe salariale între DGRFP </w:t>
      </w:r>
      <w:r w:rsidR="00513709">
        <w:rPr>
          <w:rFonts w:eastAsia="Calibri"/>
          <w:lang w:eastAsia="en-US"/>
        </w:rPr>
        <w:t>...</w:t>
      </w:r>
      <w:r w:rsidRPr="002B0D54">
        <w:rPr>
          <w:rFonts w:eastAsia="Calibri"/>
          <w:lang w:eastAsia="en-US"/>
        </w:rPr>
        <w:t xml:space="preserve"> şi DGRFP </w:t>
      </w:r>
      <w:r w:rsidR="00513709">
        <w:rPr>
          <w:rFonts w:eastAsia="Calibri"/>
          <w:lang w:eastAsia="en-US"/>
        </w:rPr>
        <w:t>1</w:t>
      </w:r>
    </w:p>
    <w:p w:rsidRPr="002B0D54" w:rsidR="002B0D54" w:rsidP="002B0D54">
      <w:pPr>
        <w:ind w:firstLine="709"/>
        <w:jc w:val="both"/>
      </w:pPr>
    </w:p>
    <w:p w:rsidRPr="002B0D54" w:rsidR="002B0D54" w:rsidP="002B0D54">
      <w:pPr>
        <w:jc w:val="both"/>
      </w:pPr>
      <w:bookmarkStart w:name="ce_se_invedereaza" w:id="8"/>
      <w:r w:rsidRPr="002B0D54">
        <w:rPr>
          <w:noProof/>
        </w:rPr>
        <w:t> </w:t>
      </w:r>
      <w:r w:rsidRPr="002B0D54">
        <w:rPr>
          <w:noProof/>
        </w:rPr>
        <w:t> </w:t>
      </w:r>
      <w:r w:rsidRPr="002B0D54">
        <w:rPr>
          <w:noProof/>
        </w:rPr>
        <w:t> </w:t>
      </w:r>
      <w:r w:rsidRPr="002B0D54">
        <w:rPr>
          <w:noProof/>
        </w:rPr>
        <w:t> </w:t>
      </w:r>
      <w:r w:rsidRPr="002B0D54">
        <w:rPr>
          <w:noProof/>
        </w:rPr>
        <w:t> </w:t>
      </w:r>
      <w:bookmarkEnd w:id="8"/>
    </w:p>
    <w:p w:rsidRPr="002B0D54" w:rsidR="002B0D54" w:rsidP="002B0D54">
      <w:pPr>
        <w:jc w:val="center"/>
        <w:rPr>
          <w:b/>
        </w:rPr>
      </w:pPr>
      <w:r w:rsidRPr="002B0D54">
        <w:rPr>
          <w:b/>
        </w:rPr>
        <w:t>CURTEA</w:t>
      </w:r>
    </w:p>
    <w:p w:rsidRPr="002B0D54" w:rsidR="002B0D54" w:rsidP="002B0D54">
      <w:pPr>
        <w:jc w:val="center"/>
        <w:rPr>
          <w:b/>
        </w:rPr>
      </w:pPr>
    </w:p>
    <w:p w:rsidRPr="002B0D54" w:rsidR="002B0D54" w:rsidP="002B0D54">
      <w:pPr>
        <w:ind w:firstLine="708"/>
        <w:jc w:val="both"/>
      </w:pPr>
      <w:r w:rsidRPr="002B0D54">
        <w:t>Prin</w:t>
      </w:r>
      <w:r w:rsidRPr="002B0D54">
        <w:rPr>
          <w:b/>
        </w:rPr>
        <w:t xml:space="preserve"> </w:t>
      </w:r>
      <w:r w:rsidRPr="002B0D54">
        <w:t xml:space="preserve">sentinţa nr. </w:t>
      </w:r>
      <w:r w:rsidR="00513709">
        <w:t xml:space="preserve">... </w:t>
      </w:r>
      <w:r w:rsidRPr="002B0D54">
        <w:t xml:space="preserve">din data de </w:t>
      </w:r>
      <w:r w:rsidR="00513709">
        <w:t>...</w:t>
      </w:r>
      <w:r w:rsidRPr="002B0D54">
        <w:t xml:space="preserve"> pronunţată de Tribunalul </w:t>
      </w:r>
      <w:r w:rsidR="00513709">
        <w:t>.</w:t>
      </w:r>
      <w:r w:rsidR="00513709">
        <w:t>..</w:t>
      </w:r>
      <w:r w:rsidRPr="002B0D54">
        <w:t xml:space="preserve"> în dosar nr. </w:t>
      </w:r>
      <w:r w:rsidR="00513709">
        <w:t>...</w:t>
      </w:r>
      <w:r w:rsidRPr="002B0D54">
        <w:t xml:space="preserve"> s-a admis acțiunea formulată de reclamantul </w:t>
      </w:r>
      <w:r w:rsidRPr="00513709" w:rsidR="00513709">
        <w:rPr>
          <w:b/>
          <w:bCs/>
          <w:color w:val="000000"/>
        </w:rPr>
        <w:t>X</w:t>
      </w:r>
      <w:r w:rsidRPr="002B0D54">
        <w:rPr>
          <w:color w:val="000000"/>
        </w:rPr>
        <w:t xml:space="preserve">, cu domiciliul în </w:t>
      </w:r>
      <w:r w:rsidR="00513709">
        <w:rPr>
          <w:color w:val="000000"/>
        </w:rPr>
        <w:t>...</w:t>
      </w:r>
      <w:r w:rsidRPr="002B0D54">
        <w:rPr>
          <w:color w:val="000000"/>
        </w:rPr>
        <w:t xml:space="preserve">, sat </w:t>
      </w:r>
      <w:r w:rsidR="00513709">
        <w:rPr>
          <w:color w:val="000000"/>
        </w:rPr>
        <w:t>...</w:t>
      </w:r>
      <w:r w:rsidRPr="002B0D54">
        <w:rPr>
          <w:color w:val="000000"/>
        </w:rPr>
        <w:t xml:space="preserve">, str. </w:t>
      </w:r>
      <w:r w:rsidR="00513709">
        <w:rPr>
          <w:color w:val="000000"/>
        </w:rPr>
        <w:t>...</w:t>
      </w:r>
      <w:r w:rsidRPr="002B0D54">
        <w:rPr>
          <w:color w:val="000000"/>
        </w:rPr>
        <w:t>, nr.</w:t>
      </w:r>
      <w:r w:rsidR="00513709">
        <w:rPr>
          <w:color w:val="000000"/>
        </w:rPr>
        <w:t>...</w:t>
      </w:r>
      <w:r w:rsidRPr="002B0D54">
        <w:rPr>
          <w:color w:val="000000"/>
        </w:rPr>
        <w:t xml:space="preserve">, judeţul </w:t>
      </w:r>
      <w:r w:rsidR="00513709">
        <w:rPr>
          <w:color w:val="000000"/>
        </w:rPr>
        <w:t>...</w:t>
      </w:r>
      <w:r w:rsidRPr="002B0D54">
        <w:rPr>
          <w:color w:val="000000"/>
        </w:rPr>
        <w:t xml:space="preserve">, prin Sindicatul Finanțe </w:t>
      </w:r>
      <w:r w:rsidR="00513709">
        <w:rPr>
          <w:color w:val="000000"/>
        </w:rPr>
        <w:t>...</w:t>
      </w:r>
      <w:r w:rsidRPr="002B0D54">
        <w:rPr>
          <w:color w:val="000000"/>
        </w:rPr>
        <w:t xml:space="preserve">, cu domiciliul procesual ales la Cabinet  Individual de Avocat  </w:t>
      </w:r>
      <w:r w:rsidRPr="00865C8A" w:rsidR="00865C8A">
        <w:rPr>
          <w:b/>
          <w:bCs/>
          <w:color w:val="000000"/>
        </w:rPr>
        <w:t>A</w:t>
      </w:r>
      <w:r w:rsidRPr="002B0D54">
        <w:rPr>
          <w:color w:val="000000"/>
        </w:rPr>
        <w:t xml:space="preserve">, cu sediul în municipiul </w:t>
      </w:r>
      <w:r w:rsidR="00865C8A">
        <w:rPr>
          <w:color w:val="000000"/>
        </w:rPr>
        <w:t>...</w:t>
      </w:r>
      <w:r w:rsidRPr="002B0D54">
        <w:rPr>
          <w:color w:val="000000"/>
        </w:rPr>
        <w:t>, str</w:t>
      </w:r>
      <w:r w:rsidRPr="002B0D54">
        <w:rPr>
          <w:color w:val="000000"/>
        </w:rPr>
        <w:t xml:space="preserve">. </w:t>
      </w:r>
      <w:r w:rsidR="00865C8A">
        <w:rPr>
          <w:color w:val="000000"/>
        </w:rPr>
        <w:t>...</w:t>
      </w:r>
      <w:r w:rsidRPr="002B0D54">
        <w:rPr>
          <w:color w:val="000000"/>
        </w:rPr>
        <w:t>, bl.</w:t>
      </w:r>
      <w:r w:rsidR="00865C8A">
        <w:rPr>
          <w:color w:val="000000"/>
        </w:rPr>
        <w:t>...</w:t>
      </w:r>
      <w:r w:rsidRPr="002B0D54">
        <w:rPr>
          <w:color w:val="000000"/>
        </w:rPr>
        <w:t>, sc.</w:t>
      </w:r>
      <w:r w:rsidR="00865C8A">
        <w:rPr>
          <w:color w:val="000000"/>
        </w:rPr>
        <w:t>...</w:t>
      </w:r>
      <w:r w:rsidRPr="002B0D54">
        <w:rPr>
          <w:color w:val="000000"/>
        </w:rPr>
        <w:t>, et.</w:t>
      </w:r>
      <w:r w:rsidR="00865C8A">
        <w:rPr>
          <w:color w:val="000000"/>
        </w:rPr>
        <w:t>...</w:t>
      </w:r>
      <w:r w:rsidRPr="002B0D54">
        <w:rPr>
          <w:color w:val="000000"/>
        </w:rPr>
        <w:t>, ap.</w:t>
      </w:r>
      <w:r w:rsidR="00865C8A">
        <w:rPr>
          <w:color w:val="000000"/>
        </w:rPr>
        <w:t>...</w:t>
      </w:r>
      <w:r w:rsidRPr="002B0D54">
        <w:rPr>
          <w:color w:val="000000"/>
        </w:rPr>
        <w:t xml:space="preserve">, judeţul </w:t>
      </w:r>
      <w:r w:rsidR="00513709">
        <w:rPr>
          <w:color w:val="000000"/>
        </w:rPr>
        <w:t>...</w:t>
      </w:r>
      <w:r w:rsidRPr="002B0D54">
        <w:rPr>
          <w:color w:val="000000"/>
        </w:rPr>
        <w:t xml:space="preserve">, în contradictoriu cu pârâta Direcţia Generală Regională a Finanţelor Publice </w:t>
      </w:r>
      <w:r w:rsidR="00513709">
        <w:rPr>
          <w:color w:val="000000"/>
        </w:rPr>
        <w:t>...</w:t>
      </w:r>
      <w:r w:rsidRPr="002B0D54">
        <w:rPr>
          <w:color w:val="000000"/>
        </w:rPr>
        <w:t xml:space="preserve">, cu sediul în </w:t>
      </w:r>
      <w:r w:rsidR="00513709">
        <w:rPr>
          <w:color w:val="000000"/>
        </w:rPr>
        <w:t>...</w:t>
      </w:r>
      <w:r w:rsidRPr="002B0D54">
        <w:rPr>
          <w:color w:val="000000"/>
        </w:rPr>
        <w:t xml:space="preserve">, strada </w:t>
      </w:r>
      <w:r w:rsidR="00865C8A">
        <w:rPr>
          <w:color w:val="000000"/>
        </w:rPr>
        <w:t>..</w:t>
      </w:r>
      <w:r w:rsidRPr="002B0D54">
        <w:rPr>
          <w:color w:val="000000"/>
        </w:rPr>
        <w:t>,  nr.</w:t>
      </w:r>
      <w:r w:rsidR="00865C8A">
        <w:rPr>
          <w:color w:val="000000"/>
        </w:rPr>
        <w:t>...</w:t>
      </w:r>
      <w:r w:rsidRPr="002B0D54">
        <w:rPr>
          <w:color w:val="000000"/>
        </w:rPr>
        <w:t xml:space="preserve">, judeţul </w:t>
      </w:r>
      <w:r w:rsidR="00865C8A">
        <w:rPr>
          <w:color w:val="000000"/>
        </w:rPr>
        <w:t>...</w:t>
      </w:r>
      <w:r w:rsidRPr="002B0D54">
        <w:rPr>
          <w:color w:val="000000"/>
        </w:rPr>
        <w:t>.</w:t>
      </w:r>
    </w:p>
    <w:p w:rsidRPr="002B0D54" w:rsidR="002B0D54" w:rsidP="002B0D54">
      <w:pPr>
        <w:ind w:firstLine="708"/>
        <w:jc w:val="both"/>
      </w:pPr>
      <w:r w:rsidRPr="002B0D54">
        <w:t>A fost obligată pârâta să calculeze şi plătească reclamantului, începând cu data de 09.05.2019, diferenţa dintre salariul de bază efectiv achi</w:t>
      </w:r>
      <w:r w:rsidRPr="002B0D54">
        <w:t xml:space="preserve">tat şi salariul de bază maxim aflat în plată pentru funcţii similare în cadrul DGRFP </w:t>
      </w:r>
      <w:r w:rsidR="00513709">
        <w:t>1</w:t>
      </w:r>
      <w:r w:rsidRPr="002B0D54">
        <w:t xml:space="preserve"> şi DGRFP </w:t>
      </w:r>
      <w:r w:rsidR="00513709">
        <w:t>...</w:t>
      </w:r>
      <w:r w:rsidRPr="002B0D54">
        <w:t>, pentru aceeaşi funcţie /grad/treaptă/ gradaţie, sume de bani ce urmează să fie actua</w:t>
      </w:r>
      <w:r w:rsidRPr="002B0D54">
        <w:t>lizate cu rata inflaţiei de la data scadenţei  şi până la data plăţii efective, precum și la plata dobânzii legale penalizatoare de la data scadenţei  şi până la data plăţii efective a acestor sume.</w:t>
      </w:r>
    </w:p>
    <w:p w:rsidRPr="002B0D54" w:rsidR="002B0D54" w:rsidP="002B0D54">
      <w:pPr>
        <w:ind w:firstLine="708"/>
        <w:jc w:val="both"/>
      </w:pPr>
      <w:r w:rsidRPr="002B0D54">
        <w:t xml:space="preserve">A fost obligată pârâta la plata sumei de 223 lei către reclamantă- reprezentantul Sindicatul Finanțe </w:t>
      </w:r>
      <w:r w:rsidR="00513709">
        <w:t>...</w:t>
      </w:r>
      <w:r w:rsidRPr="002B0D54">
        <w:t>, reprezentând cheltuieli de judecată.</w:t>
      </w:r>
    </w:p>
    <w:p w:rsidRPr="002B0D54" w:rsidR="002B0D54" w:rsidP="002B0D54">
      <w:pPr>
        <w:ind w:firstLine="708"/>
        <w:jc w:val="both"/>
      </w:pPr>
      <w:r w:rsidRPr="002B0D54">
        <w:rPr>
          <w:i/>
        </w:rPr>
        <w:t xml:space="preserve">Împotriva sentinţei nr. </w:t>
      </w:r>
      <w:r w:rsidR="00865C8A">
        <w:rPr>
          <w:i/>
        </w:rPr>
        <w:t>...</w:t>
      </w:r>
      <w:r w:rsidRPr="002B0D54">
        <w:rPr>
          <w:i/>
        </w:rPr>
        <w:t xml:space="preserve"> din data de </w:t>
      </w:r>
      <w:r w:rsidR="00865C8A">
        <w:rPr>
          <w:i/>
        </w:rPr>
        <w:t>...</w:t>
      </w:r>
      <w:r w:rsidRPr="002B0D54">
        <w:rPr>
          <w:i/>
        </w:rPr>
        <w:t xml:space="preserve"> pronunţată de Tribunalul </w:t>
      </w:r>
      <w:r w:rsidR="00513709">
        <w:rPr>
          <w:i/>
        </w:rPr>
        <w:t>...</w:t>
      </w:r>
      <w:r w:rsidRPr="002B0D54">
        <w:rPr>
          <w:i/>
        </w:rPr>
        <w:t xml:space="preserve"> în dosar nr. </w:t>
      </w:r>
      <w:r w:rsidR="00865C8A">
        <w:rPr>
          <w:i/>
        </w:rPr>
        <w:t>...</w:t>
      </w:r>
      <w:r w:rsidRPr="002B0D54">
        <w:rPr>
          <w:i/>
        </w:rPr>
        <w:t xml:space="preserve"> a declarat </w:t>
      </w:r>
      <w:r w:rsidRPr="002B0D54">
        <w:rPr>
          <w:b/>
          <w:i/>
        </w:rPr>
        <w:t>recurs</w:t>
      </w:r>
      <w:r w:rsidRPr="002B0D54">
        <w:rPr>
          <w:i/>
        </w:rPr>
        <w:t xml:space="preserve"> pârâta DIRECŢIA GENERALĂ REGIONALĂ A FINANŢELOR PUBLICE </w:t>
      </w:r>
      <w:r w:rsidR="00513709">
        <w:rPr>
          <w:i/>
        </w:rPr>
        <w:t>...</w:t>
      </w:r>
      <w:r w:rsidRPr="002B0D54">
        <w:rPr>
          <w:i/>
        </w:rPr>
        <w:t xml:space="preserve"> PR</w:t>
      </w:r>
      <w:r w:rsidRPr="002B0D54">
        <w:rPr>
          <w:i/>
        </w:rPr>
        <w:t xml:space="preserve">IN AJFP </w:t>
      </w:r>
      <w:r w:rsidR="00513709">
        <w:rPr>
          <w:i/>
        </w:rPr>
        <w:t>...</w:t>
      </w:r>
      <w:r w:rsidRPr="002B0D54">
        <w:t xml:space="preserve">. </w:t>
      </w:r>
    </w:p>
    <w:p w:rsidRPr="002B0D54" w:rsidR="002B0D54" w:rsidP="002B0D54">
      <w:pPr>
        <w:ind w:firstLine="708"/>
        <w:jc w:val="both"/>
        <w:rPr>
          <w:i/>
        </w:rPr>
      </w:pPr>
      <w:r w:rsidRPr="002B0D54">
        <w:rPr>
          <w:i/>
        </w:rPr>
        <w:t>Motive de recurs:</w:t>
      </w:r>
    </w:p>
    <w:p w:rsidRPr="002B0D54" w:rsidR="002B0D54" w:rsidP="002B0D54">
      <w:pPr>
        <w:ind w:firstLine="708"/>
        <w:jc w:val="both"/>
      </w:pPr>
      <w:r w:rsidRPr="002B0D54">
        <w:t>Recurenta pârâtă a solicitat admiterea recursului, casarea sentinţei şi, rejudecând, respingerea cererii de chemare în judecată.</w:t>
      </w:r>
    </w:p>
    <w:p w:rsidRPr="002B0D54" w:rsidR="002B0D54" w:rsidP="002B0D54">
      <w:pPr>
        <w:ind w:firstLine="708"/>
        <w:jc w:val="both"/>
        <w:rPr>
          <w:i/>
        </w:rPr>
      </w:pPr>
      <w:r w:rsidRPr="002B0D54">
        <w:rPr>
          <w:i/>
        </w:rPr>
        <w:t>Dezvoltarea motivelor de recurs:</w:t>
      </w:r>
    </w:p>
    <w:p w:rsidRPr="002B0D54" w:rsidR="002B0D54" w:rsidP="002B0D54">
      <w:pPr>
        <w:widowControl w:val="0"/>
        <w:ind w:firstLine="720"/>
        <w:jc w:val="both"/>
        <w:rPr>
          <w:rFonts w:eastAsia="Trebuchet MS"/>
          <w:lang w:val="ro-MD" w:eastAsia="en-US"/>
        </w:rPr>
      </w:pPr>
      <w:bookmarkStart w:name="_Hlk134187657" w:id="9"/>
      <w:r w:rsidRPr="002B0D54">
        <w:rPr>
          <w:rFonts w:eastAsia="Trebuchet MS"/>
          <w:lang w:val="ro-MD" w:eastAsia="en-US"/>
        </w:rPr>
        <w:t>A arătat că, hotărârea instanţei de fond a fost dată cu încălcarea normelor de drept material, fiind incident motivul de cas</w:t>
      </w:r>
      <w:r w:rsidRPr="002B0D54">
        <w:rPr>
          <w:rFonts w:eastAsia="Trebuchet MS"/>
          <w:lang w:val="ro-MD" w:eastAsia="en-US"/>
        </w:rPr>
        <w:t>are prev. de art. 488 alin.1 pct. 8 C.pc.</w:t>
      </w:r>
    </w:p>
    <w:p w:rsidRPr="002B0D54" w:rsidR="002B0D54" w:rsidP="002B0D54">
      <w:pPr>
        <w:widowControl w:val="0"/>
        <w:ind w:firstLine="720"/>
        <w:jc w:val="both"/>
        <w:rPr>
          <w:rFonts w:eastAsia="Trebuchet MS"/>
          <w:lang w:val="ro-MD" w:eastAsia="en-US"/>
        </w:rPr>
      </w:pPr>
      <w:r w:rsidRPr="002B0D54">
        <w:rPr>
          <w:rFonts w:eastAsia="Trebuchet MS"/>
          <w:lang w:val="ro-MD" w:eastAsia="en-US"/>
        </w:rPr>
        <w:t xml:space="preserve">Recurenta pârâtă a arătat că, instanţa de fond nu a indicat, </w:t>
      </w:r>
      <w:r w:rsidRPr="002B0D54">
        <w:rPr>
          <w:rFonts w:eastAsia="Trebuchet MS"/>
          <w:color w:val="000000"/>
          <w:lang w:val="ro-MD" w:eastAsia="en-US"/>
        </w:rPr>
        <w:t>in mod concret care este nivelul maxim al salariului avut in vedere la pronunțarea hotărâri</w:t>
      </w:r>
      <w:r w:rsidRPr="002B0D54">
        <w:rPr>
          <w:rFonts w:eastAsia="Trebuchet MS"/>
          <w:color w:val="000000"/>
          <w:lang w:val="ro-MD" w:eastAsia="en-US"/>
        </w:rPr>
        <w:t>i, soluţia fiind una generică,  care va genera reale impedimente la punerea sa efectivă în aplicare, câtă vreme nu stabilește o creanță certă, lichidă și exigibilă.</w:t>
      </w:r>
      <w:bookmarkStart w:name="bookmark12" w:id="10"/>
      <w:bookmarkEnd w:id="10"/>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De asemenea, un alt motiv de nelegalitate consta in faptul ca instanța de fond a ignorat apărările instituției în totalitate și nu s-a pronunțat în niciun fel asupra acestora, în ved</w:t>
      </w:r>
      <w:r w:rsidRPr="002B0D54">
        <w:rPr>
          <w:rFonts w:eastAsia="Trebuchet MS"/>
          <w:color w:val="000000"/>
          <w:lang w:val="ro-MD" w:eastAsia="en-US"/>
        </w:rPr>
        <w:t>erea realizării scopului prevăzut la art.237 Cod procedură civilă, respectiv al cercetării procesului, sens în care instanța avea obligația să examineze fiecare pret</w:t>
      </w:r>
      <w:r w:rsidRPr="002B0D54">
        <w:rPr>
          <w:rFonts w:eastAsia="Trebuchet MS"/>
          <w:color w:val="000000"/>
          <w:lang w:val="ro-MD" w:eastAsia="en-US"/>
        </w:rPr>
        <w:t>enție și apărare în parte, pe baza cererii de chemare în judecată, a întâmpinării, a răspunsului la întâmpinare și a explicațiilor părților, dacă este cazul.</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Totodată că, argumentul potrivit căruia se impune plata drepturilor bănești în discuție pentru evitarea unei discriminări între salariații care ocupă aceleași funcții și desfășoară aceleași activi</w:t>
      </w:r>
      <w:r w:rsidRPr="002B0D54">
        <w:rPr>
          <w:rFonts w:eastAsia="Trebuchet MS"/>
          <w:color w:val="000000"/>
          <w:lang w:val="ro-MD" w:eastAsia="en-US"/>
        </w:rPr>
        <w:t>tăți, nu poate fi primit</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 xml:space="preserve">A mai arătat că, prin Legea-cadru nr.153/2017, s-a creat cadrul legislativ pentru stabilirea sistemului de salarizare a personalului </w:t>
      </w:r>
      <w:r w:rsidRPr="002B0D54">
        <w:rPr>
          <w:rFonts w:eastAsia="Trebuchet MS"/>
          <w:color w:val="000000"/>
          <w:lang w:val="ro-MD" w:eastAsia="en-US"/>
        </w:rPr>
        <w:t>din sectorul bugetar plătit din bugetul general consolidat al statului care, la art.12 alin.1 prevede ca salariile de baza, soldele de functie/salariile de funcții, indemnizațiile de încadrare si indemnizațiile lunare se stabiliesc potrivit prevederilor acestei legi si anexelor l-IX.</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De asemenea că, potrivit art.3 alin.4 din același act normativ, ordonatorii de credite au obligația sa stabilească salariile de baza, gradațiile, sporurile, alte drepturi salariale in bani si in natura, prevăzute de lege, sa as</w:t>
      </w:r>
      <w:r w:rsidRPr="002B0D54">
        <w:rPr>
          <w:rFonts w:eastAsia="Trebuchet MS"/>
          <w:color w:val="000000"/>
          <w:lang w:val="ro-MD" w:eastAsia="en-US"/>
        </w:rPr>
        <w:t>igure promovarea personalului in funcții, grade si trepte profesionale si avansarea in gradații, in condițiile legii, astfel incat sa se încadreze in sumele aprobate cu aceasta destinație in bugetul propriu.</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învederat că, intimatul a invocat existenta unor majorari ale salariului de baza al funcționar</w:t>
      </w:r>
      <w:r w:rsidRPr="002B0D54">
        <w:rPr>
          <w:rFonts w:eastAsia="Trebuchet MS"/>
          <w:color w:val="000000"/>
          <w:lang w:val="ro-MD" w:eastAsia="en-US"/>
        </w:rPr>
        <w:t>ilor publici ce au încheiate raporturi de serviciu cu diferite structuri aflate in subordinea Agenției Naționale de Administrare Fiscala, ca urmare a punerii in executare a unor hotărâri judecătorești definit</w:t>
      </w:r>
      <w:r w:rsidRPr="002B0D54">
        <w:rPr>
          <w:rFonts w:eastAsia="Trebuchet MS"/>
          <w:color w:val="000000"/>
          <w:lang w:val="ro-MD" w:eastAsia="en-US"/>
        </w:rPr>
        <w:t>ive, pronunțate de instanțele de contencios administrative.</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Recurenta pârâtă a arătat că, la pronunțarea hotărârii, instanța de fond nu a avut in vedere dispozițiile art.435 alin.1 din Legea nr.134/2010 privind Codul de Procedura Civila, potrivit cărora ”hotararea judecătoreasca este obligatorie si produce efecte numai intre parti si succesorii acestora”, fiind evident că, prin intermediul demersului judiciar, reclamantul a solicitat extinderea efe</w:t>
      </w:r>
      <w:r w:rsidRPr="002B0D54">
        <w:rPr>
          <w:rFonts w:eastAsia="Trebuchet MS"/>
          <w:color w:val="000000"/>
          <w:lang w:val="ro-MD" w:eastAsia="en-US"/>
        </w:rPr>
        <w:t xml:space="preserve">ctelor unor hotarari judecătorești, care au fost pronunțate </w:t>
      </w:r>
      <w:r w:rsidRPr="002B0D54">
        <w:rPr>
          <w:rFonts w:eastAsia="Trebuchet MS"/>
          <w:color w:val="000000"/>
          <w:lang w:val="ro-MD" w:eastAsia="en-US"/>
        </w:rPr>
        <w:t>in litigii distincte, in cadrul unor situații particulare, ceea ce contravine dispoziției normei mai sus citata.</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De asemenea că, aspectul care trebuia lămurit de instanța de fond, se refera la raportul dintre opozabilitatea hotărârilor judecătorești si obligativitatea hotărârilor judecătorești.</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arătat că, opozabilitatea este acea calitate a unui act juridic sau a unui drept subiectiv de a impune respectarea lui, de către alte persoane decât părțile intre care s-a legat raportul juridic, in timp ce, o hotă</w:t>
      </w:r>
      <w:r w:rsidRPr="002B0D54">
        <w:rPr>
          <w:rFonts w:eastAsia="Trebuchet MS"/>
          <w:color w:val="000000"/>
          <w:lang w:val="ro-MD" w:eastAsia="en-US"/>
        </w:rPr>
        <w:t>râre judecătoreasca este obligatorie si produce efecte numai intre parti si succesorii acestora.</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 xml:space="preserve">Totodată că, reclamantul a solicitat ca parata sa calculeze si sa plateasca diferența dintre salariul de baza efectiv achitat si salariul de baza cuvenit la nivelul maxim de salarizare pentru funcții similare aflate in plata in cadrul D.G.R.F.P </w:t>
      </w:r>
      <w:r w:rsidR="00513709">
        <w:rPr>
          <w:rFonts w:eastAsia="Trebuchet MS"/>
          <w:color w:val="000000"/>
          <w:lang w:val="ro-MD" w:eastAsia="en-US"/>
        </w:rPr>
        <w:t>1</w:t>
      </w:r>
      <w:r w:rsidRPr="002B0D54">
        <w:rPr>
          <w:rFonts w:eastAsia="Trebuchet MS"/>
          <w:color w:val="000000"/>
          <w:lang w:val="ro-MD" w:eastAsia="en-US"/>
        </w:rPr>
        <w:t xml:space="preserve"> si D.G.R.F.P </w:t>
      </w:r>
      <w:r w:rsidR="00513709">
        <w:rPr>
          <w:rFonts w:eastAsia="Trebuchet MS"/>
          <w:color w:val="000000"/>
          <w:lang w:val="ro-MD" w:eastAsia="en-US"/>
        </w:rPr>
        <w:t>...</w:t>
      </w:r>
      <w:r w:rsidRPr="002B0D54">
        <w:rPr>
          <w:rFonts w:eastAsia="Trebuchet MS"/>
          <w:color w:val="000000"/>
          <w:lang w:val="ro-MD" w:eastAsia="en-US"/>
        </w:rPr>
        <w:t>, prevalandu-se de hotarari judecătorești definitive, altele decât cele ce privesc părțile din litigiu.</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 xml:space="preserve"> A invocat Decizia nr.2/2016, pronunţată de Înal</w:t>
      </w:r>
      <w:r w:rsidRPr="002B0D54">
        <w:rPr>
          <w:rFonts w:eastAsia="Trebuchet MS"/>
          <w:color w:val="000000"/>
          <w:lang w:val="ro-MD" w:eastAsia="en-US"/>
        </w:rPr>
        <w:t>ta Curte de Casație si Justiție - Completul pentru dezlegarea unor chestiuni de drept, prin care a admis in parte sesizarea formulata  de Curtea de Apel Constanta privind pronunțarea unei hotărâri prealabile pentru dezlegarea modului de interpretare si aplicare a dispozițiilor art.2 raportat la art.1, alin.2, lit.e, pct.i si alin.3 si ale art.27 din O.G.nr. 137/2000 privind prevenirea si sancționarea tuturor formelor de discriminare, stabilind  ca, ”in aplicarea art.2(..), punerea in executare a hotărârilor</w:t>
      </w:r>
      <w:r w:rsidRPr="002B0D54">
        <w:rPr>
          <w:rFonts w:eastAsia="Trebuchet MS"/>
          <w:color w:val="000000"/>
          <w:lang w:val="ro-MD" w:eastAsia="en-US"/>
        </w:rPr>
        <w:t xml:space="preserve"> judecătorești prin care s-au acordat unor angajați anumite drepturi salariate nu reprezintă un tratament discriminatoriu al celorlalți angajați".</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 xml:space="preserve">A concluzionat că, hotărârile judecătorești, la care a făcut referire intimatul si care au fost avute in vedere de instanța de fond la pronunțarea soluției, nu produc, conform legii, efecte in ceea ce privește oricare </w:t>
      </w:r>
      <w:r w:rsidRPr="002B0D54">
        <w:rPr>
          <w:rFonts w:eastAsia="Trebuchet MS"/>
          <w:color w:val="000000"/>
          <w:lang w:val="ro-MD" w:eastAsia="en-US"/>
        </w:rPr>
        <w:t>alti funcționari care nu a avut calitatea de reclamanti in dosarele in care s-au pronunțat.</w:t>
      </w:r>
      <w:bookmarkStart w:name="bookmark13" w:id="11"/>
      <w:bookmarkEnd w:id="11"/>
    </w:p>
    <w:p w:rsidRPr="002B0D54" w:rsidR="002B0D54" w:rsidP="002B0D54">
      <w:pPr>
        <w:widowControl w:val="0"/>
        <w:ind w:firstLine="720"/>
        <w:jc w:val="both"/>
        <w:rPr>
          <w:rFonts w:eastAsia="Trebuchet MS"/>
          <w:color w:val="000000"/>
          <w:lang w:val="ro-MD" w:eastAsia="en-US"/>
        </w:rPr>
      </w:pPr>
      <w:r w:rsidRPr="002B0D54">
        <w:rPr>
          <w:rFonts w:eastAsia="Trebuchet MS"/>
          <w:color w:val="000000"/>
          <w:lang w:val="ro-MD" w:eastAsia="en-US"/>
        </w:rPr>
        <w:t xml:space="preserve">Recurenta pârâtă a arătat că, hotărârea  este nelegala </w:t>
      </w:r>
      <w:r w:rsidRPr="002B0D54">
        <w:rPr>
          <w:rFonts w:eastAsia="Trebuchet MS"/>
          <w:color w:val="000000"/>
          <w:lang w:val="ro-MD" w:eastAsia="en-US"/>
        </w:rPr>
        <w:t>si in ceea ce privește obligarea angajatorului sa plăteasca diferența salariala incepand cu data de 09.05.2019, întrucat, pentru perioada 09.05.2019-17.10.2019, sunt incidente dispozițiile art. 2500 alin. 1 Cod civil, privind prescripția.</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invocat prevederile art. 171 alin.1 şi art. 268 alin.1 lit. c din Codul muncii, arătând că, dreptul material la acțiune pentru perioada 09.05.2019-17.10.2022, este prescris.</w:t>
      </w:r>
      <w:bookmarkStart w:name="bookmark14" w:id="12"/>
      <w:bookmarkEnd w:id="12"/>
    </w:p>
    <w:p w:rsidRPr="002B0D54" w:rsidR="002B0D54" w:rsidP="002B0D54">
      <w:pPr>
        <w:widowControl w:val="0"/>
        <w:ind w:firstLine="720"/>
        <w:jc w:val="both"/>
        <w:rPr>
          <w:rFonts w:eastAsia="Trebuchet MS"/>
          <w:lang w:val="ro-MD" w:eastAsia="en-US"/>
        </w:rPr>
      </w:pPr>
      <w:r w:rsidRPr="002B0D54">
        <w:rPr>
          <w:rFonts w:eastAsia="Trebuchet MS"/>
          <w:lang w:val="ro-MD" w:eastAsia="en-US"/>
        </w:rPr>
        <w:t>Recurenta pârâtă a mai arătat că, î</w:t>
      </w:r>
      <w:r w:rsidRPr="002B0D54">
        <w:rPr>
          <w:rFonts w:eastAsia="Trebuchet MS"/>
          <w:color w:val="000000"/>
          <w:lang w:val="ro-MD" w:eastAsia="en-US"/>
        </w:rPr>
        <w:t>n considerentele hotărârii, instanța de fond a invocat princip</w:t>
      </w:r>
      <w:r w:rsidRPr="002B0D54">
        <w:rPr>
          <w:rFonts w:eastAsia="Trebuchet MS"/>
          <w:color w:val="000000"/>
          <w:lang w:val="ro-MD" w:eastAsia="en-US"/>
        </w:rPr>
        <w:t>iul nediscriminarii reglementat la art. 6 lit.b lit.b din Legea-cadru nr.153/2017.</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aratat că, prin Legea nr. 153/2017, s-a creat cadrul legislativ pentru stabilirea sistemului de salarizare a personalului din sectorul bugetar plătit din bugetul general consolidat al statului, art.12 alin.1 statuând ca, salariile de baza, soldele de functie/salariile de funcții, indemnizațiile de încadrare si indemnizațiile lunare se stabiliesc potrivit prevederilor acestei legi si anexelor l-IX, astfel incat sa se încadre</w:t>
      </w:r>
      <w:r w:rsidRPr="002B0D54">
        <w:rPr>
          <w:rFonts w:eastAsia="Trebuchet MS"/>
          <w:color w:val="000000"/>
          <w:lang w:val="ro-MD" w:eastAsia="en-US"/>
        </w:rPr>
        <w:t>ze in fondurile aprobate de la bugetul de stat, bugetul asigurărilor sociale sociale de stat, bugetele locale si bugetele fondurilor special pentru cheltuielile de personal.</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De asemenea că, potrivit dispozițiilor art.12 alin.2 din Legea nr.153/2017, salariile de baza, soldele de functie/salariile de funcții, indemnizațiile de încadrare,</w:t>
      </w:r>
      <w:r w:rsidRPr="002B0D54">
        <w:rPr>
          <w:rFonts w:eastAsia="Trebuchet MS"/>
          <w:color w:val="000000"/>
          <w:lang w:val="ro-MD" w:eastAsia="en-US"/>
        </w:rPr>
        <w:t xml:space="preserve"> ar trebui sa fie stabilite, pentru toate funcțiile cuprinse in Anexele l-VIII, prin înmulțirea coeficentilor prevazuti in anexe cu salariul de baza minim brut pe tara garant</w:t>
      </w:r>
      <w:r w:rsidRPr="002B0D54">
        <w:rPr>
          <w:rFonts w:eastAsia="Trebuchet MS"/>
          <w:color w:val="000000"/>
          <w:lang w:val="ro-MD" w:eastAsia="en-US"/>
        </w:rPr>
        <w:t>at in plata, in vigoare.</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Totodată că, prin Legea cadru nr.153/2017, s-a modificat noțiunea salariului de baza, fiind incluse si drepturile bănești acordate conform art.14 din Legea nr.285/2010.</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arătat că, stabilirea salariului pentru personalul care avanseaza in gradație, se face prin aplicarea majorării aferente t</w:t>
      </w:r>
      <w:r w:rsidRPr="002B0D54">
        <w:rPr>
          <w:rFonts w:eastAsia="Trebuchet MS"/>
          <w:color w:val="000000"/>
          <w:lang w:val="ro-MD" w:eastAsia="en-US"/>
        </w:rPr>
        <w:t>ransei de vechime, la salariul de baza care include drepturile bănești acordate, conform art.14 din Legea nr.285/2010.</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De asemenea că, fiind vorba de o baza de calcul mai mare începând cu data d</w:t>
      </w:r>
      <w:r w:rsidRPr="002B0D54">
        <w:rPr>
          <w:rFonts w:eastAsia="Trebuchet MS"/>
          <w:color w:val="000000"/>
          <w:lang w:val="ro-MD" w:eastAsia="en-US"/>
        </w:rPr>
        <w:t>e 01.07.2017, exista diferente salariale pentru aceeași funcție (de exemplu: inspector grad profesional superior gradația 5), intre personalul care a avut dreptul sa obțină gradația inainte de 01.07.2017 si, cel care indeplineste condițiile de vechime incepand cu 01.07.2017.</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S-a menționat ca avansarea personalului încadrat pe funcții de execuție in gradația corespunzătoare transei de vechime in munca, si, calculul indemnizațiilor potrivit acestor gradații, se face potrivit normelor juridice in vigoare la da</w:t>
      </w:r>
      <w:r w:rsidRPr="002B0D54">
        <w:rPr>
          <w:rFonts w:eastAsia="Trebuchet MS"/>
          <w:color w:val="000000"/>
          <w:lang w:val="ro-MD" w:eastAsia="en-US"/>
        </w:rPr>
        <w:t>ta avansarii, cuantumurile ce ar fi putut fi calculate, potrivit legislației aplicabile, ulterior acestei date, neavand regimul juridic al unor drepturi castigate.</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mai arătat că, diferența de salarizare este determinata de regimul juridic aplicabil la momentul împlinirii vechimii in munca, si, in consecința, nu prezintă importanta, cuantumurile</w:t>
      </w:r>
      <w:r w:rsidRPr="002B0D54">
        <w:rPr>
          <w:rFonts w:eastAsia="Trebuchet MS"/>
          <w:color w:val="000000"/>
          <w:lang w:val="ro-MD" w:eastAsia="en-US"/>
        </w:rPr>
        <w:t xml:space="preserve"> ce puteau fi calculate potrivit legislației ce se aplica ulterior datei de 01.07.2017, acestea neavând regimul juridic al unor drepturi câștigate.</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Totodată că, sit</w:t>
      </w:r>
      <w:r w:rsidRPr="002B0D54">
        <w:rPr>
          <w:rFonts w:eastAsia="Trebuchet MS"/>
          <w:color w:val="000000"/>
          <w:lang w:val="ro-MD" w:eastAsia="en-US"/>
        </w:rPr>
        <w:t>uația diferita in care se regăsesc funcționarii publici, nu poate fi interpretata ca o încălcare a dispozițiilor legale care consacra egalitatea in fata legii si a autorităților publice.</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Recurenta pârâtă a arătat că, scopul declarat al Legii nr.153/2017, este acela de a stabili un sistem unitar de salarizare pentru personal</w:t>
      </w:r>
      <w:r w:rsidRPr="002B0D54">
        <w:rPr>
          <w:rFonts w:eastAsia="Trebuchet MS"/>
          <w:color w:val="000000"/>
          <w:lang w:val="ro-MD" w:eastAsia="en-US"/>
        </w:rPr>
        <w:t>ul din sectorul bugetar plătit din bugetul general consolidat al statului, prin determinarea domeniului de aplicare, a principiilor generale de stabilire a salariilor de baza, soldelor de</w:t>
      </w:r>
      <w:r w:rsidRPr="002B0D54">
        <w:rPr>
          <w:rFonts w:eastAsia="Trebuchet MS"/>
          <w:color w:val="000000"/>
          <w:lang w:val="ro-MD" w:eastAsia="en-US"/>
        </w:rPr>
        <w:t xml:space="preserve"> funcție/salariilor in funcție, indemnizațiilor si a altor drepturi salariale specific celor 7 familii ocupaționale de funcții bugetare.</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arătat că, aplicarea etapizata a Legii nr.153/2017, a inclus reglementari de principiu, de la care legiuitorul a inteles sa deroge prin acte normative ulterioare, stabilind majorați salariale sau acordarea de sporuri, precum si aplicare</w:t>
      </w:r>
      <w:r w:rsidRPr="002B0D54">
        <w:rPr>
          <w:rFonts w:eastAsia="Trebuchet MS"/>
          <w:color w:val="000000"/>
          <w:lang w:val="ro-MD" w:eastAsia="en-US"/>
        </w:rPr>
        <w:t>a accelerata a prevederilor legii, pentru diverse funcții sau categorii socioprofesionale ( funcții de demnitate publica, personal didact</w:t>
      </w:r>
      <w:r w:rsidRPr="002B0D54">
        <w:rPr>
          <w:rFonts w:eastAsia="Trebuchet MS"/>
          <w:color w:val="000000"/>
          <w:lang w:val="ro-MD" w:eastAsia="en-US"/>
        </w:rPr>
        <w:t>ic, personal medico-sanitar, s.a.).</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învederat că, prin Decizia nr.794/15.12.2016 pronunțata de Curtea Constituțională, in solutionarea excepției de neconstituționalitate a dispozițiilor art.3ind.1 alin. 1 ind. 1 - alin.1 ind.4 din O.U.G. nr. 57/2015 privind salarizarea personalului plătit din fonduri publice in anul 2016, prorogarea unor termene, precum si unele masuri fiscal-bugetare, invocata de reclamanți, nu au fost declarate neconstituționale prevederi din Legea cadru nr.153/2017 or legea salarizării</w:t>
      </w:r>
      <w:r w:rsidRPr="002B0D54">
        <w:rPr>
          <w:rFonts w:eastAsia="Trebuchet MS"/>
          <w:color w:val="000000"/>
          <w:lang w:val="ro-MD" w:eastAsia="en-US"/>
        </w:rPr>
        <w:t>, in ansamblul sau.</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De asemenea că, sunt cunoscute efectele obligatorii și ex nune ale unei decizii pronunțată în controlul constituțional, potrivit art.147 alin.(4) din Constituția României, totuși, prin paragraful 37 din acesta decizie, pornind de la obligativitatea legiuitorului de a pune de acord dispozițiile legii fundamentale, Curtea constată că, până la adoptarea soluției legislative corespunzătoare, aceasta arată întinderea obligației tuturor subiecților de drept de a se conforma dispozițiilor din c</w:t>
      </w:r>
      <w:r w:rsidRPr="002B0D54">
        <w:rPr>
          <w:rFonts w:eastAsia="Trebuchet MS"/>
          <w:color w:val="000000"/>
          <w:lang w:val="ro-MD" w:eastAsia="en-US"/>
        </w:rPr>
        <w:t>onsiderente și dispozitiv, dar până la intrarea în vigoare a cadrului legislativ pentru stabilirea sistemului de salarizare a personalului din sectorul bugetar plătit din bugetul general consolidat al statului, în cazul nostru Legea- cadru nr.153/2017, ce are ca scop armonizarea sistemului de salarizare din sectorul bugetar.</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mai arătat că, toate discrepantele ivite in aplicarea legii vor fi eliminate, la momentul aplicării integrale a actului normativ, termenul limita stabilit inițial, fiind anul 2022, ca</w:t>
      </w:r>
      <w:r w:rsidRPr="002B0D54">
        <w:rPr>
          <w:rFonts w:eastAsia="Trebuchet MS"/>
          <w:color w:val="000000"/>
          <w:lang w:val="ro-MD" w:eastAsia="en-US"/>
        </w:rPr>
        <w:t>re a fost amânat prin Ordonanțe de urgente, urmând ca salariile de baza ale personalului ANAF, sa ajungă la același cuantum pentru funcționarii care au aceeași funcție, același grad si aceeași gradație.</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In acest context, a menționat ca, având in vedere dispozițiile OPANAF nr.</w:t>
      </w:r>
      <w:r w:rsidR="00865C8A">
        <w:rPr>
          <w:rFonts w:eastAsia="Trebuchet MS"/>
          <w:color w:val="000000"/>
          <w:lang w:val="ro-MD" w:eastAsia="en-US"/>
        </w:rPr>
        <w:t>...</w:t>
      </w:r>
      <w:r w:rsidRPr="002B0D54">
        <w:rPr>
          <w:rFonts w:eastAsia="Trebuchet MS"/>
          <w:color w:val="000000"/>
          <w:lang w:val="ro-MD" w:eastAsia="en-US"/>
        </w:rPr>
        <w:t>/04.02.2019, funcționarii publici de conducere din cadrul direcțiilor regionale ale finanțelor publice si a Direcției generale de administrare a marilor contribuabili, ale căror funcții publice de conducere sunt gestionate la nivelul</w:t>
      </w:r>
      <w:r w:rsidRPr="002B0D54">
        <w:rPr>
          <w:rFonts w:eastAsia="Trebuchet MS"/>
          <w:color w:val="000000"/>
          <w:lang w:val="ro-MD" w:eastAsia="en-US"/>
        </w:rPr>
        <w:t xml:space="preserve"> Agenției, au beneficiat de majorarea de % din diferența dintre salariul de baza prevăzut de Anexa VIII din Legea nr.153/2017, pentru anul 2022, majorat cu 15%, si cel din luna decembrie 2018, potrivit dispozițiilor art.34 alin.1 din O.U.G. nr.114/2018.</w:t>
      </w:r>
      <w:bookmarkStart w:name="bookmark15" w:id="13"/>
      <w:bookmarkEnd w:id="13"/>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Re</w:t>
      </w:r>
      <w:r w:rsidRPr="002B0D54">
        <w:rPr>
          <w:rFonts w:eastAsia="Trebuchet MS"/>
          <w:color w:val="000000"/>
          <w:lang w:val="ro-MD" w:eastAsia="en-US"/>
        </w:rPr>
        <w:t>feritor la actualizarea sumelor cu indicele de inflație și dobânda legală, pe care intimatul-reclamant le-a obținut, a solicitat instanței respingerea acesteia, ca nemotivată și nesusținută legal, iar în al doilea rând, ca inadmisibilă, având în vedere dublul caracter al instituției actualizării, respectiv reparatoriu și sancționatoriu.</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În materia drepturilor salariale scopul actualizării este, din perspectiva creditorului, acela al reparării integrale a prejudiciului suferit prin neplata la scadență a crea</w:t>
      </w:r>
      <w:r w:rsidRPr="002B0D54">
        <w:rPr>
          <w:rFonts w:eastAsia="Trebuchet MS"/>
          <w:color w:val="000000"/>
          <w:lang w:val="ro-MD" w:eastAsia="en-US"/>
        </w:rPr>
        <w:t>nței, actualizarea având semnificația unei sancțiuni pentru pasivitatea sa prin stingerea obligației.</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 xml:space="preserve">De asemenea că, D.G.R.F.P </w:t>
      </w:r>
      <w:r w:rsidR="00513709">
        <w:rPr>
          <w:rFonts w:eastAsia="Trebuchet MS"/>
          <w:color w:val="000000"/>
          <w:lang w:val="ro-MD" w:eastAsia="en-US"/>
        </w:rPr>
        <w:t>...</w:t>
      </w:r>
      <w:r w:rsidRPr="002B0D54">
        <w:rPr>
          <w:rFonts w:eastAsia="Trebuchet MS"/>
          <w:color w:val="000000"/>
          <w:lang w:val="ro-MD" w:eastAsia="en-US"/>
        </w:rPr>
        <w:t xml:space="preserve"> a procedat în mod corect și legal la stabilirea drepturilor salariale pentru personalul plătit din fonduri bugetare, în conformitate cu prevederile legale în vigoare și, în consecință, nu există nici obligație neîndeplinită și nici întârziere nejust</w:t>
      </w:r>
      <w:r w:rsidRPr="002B0D54">
        <w:rPr>
          <w:rFonts w:eastAsia="Trebuchet MS"/>
          <w:color w:val="000000"/>
          <w:lang w:val="ro-MD" w:eastAsia="en-US"/>
        </w:rPr>
        <w:t>ificată a plății salariului sau neplata acestuia, fapt pentru care solicită instanței respingerea acestui capăt de cerere.</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Sub aspe</w:t>
      </w:r>
      <w:r w:rsidRPr="002B0D54">
        <w:rPr>
          <w:rFonts w:eastAsia="Trebuchet MS"/>
          <w:color w:val="000000"/>
          <w:lang w:val="ro-MD" w:eastAsia="en-US"/>
        </w:rPr>
        <w:t>ctul condiției ca obligația să fie ajunsă la scadență, a arătat că, nici aceasta nu este îndeplinită, deoarece neacordarea pretinselor drepturi salariale nu a fost sancționată printr-o hotărâre judecătorească care să constituie titlu executoriu. De asemenea că,  nu se regăsește nici caracterul reparatoriu și nici caracterul sancționatoriu al instituției actualizării.</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Conform prevederilor O.G. nr. 13/2011 privind dobânda legala remuneratorie și penalizatoare pentru obligații bănești, precum si pentru regleme</w:t>
      </w:r>
      <w:r w:rsidRPr="002B0D54">
        <w:rPr>
          <w:rFonts w:eastAsia="Trebuchet MS"/>
          <w:color w:val="000000"/>
          <w:lang w:val="ro-MD" w:eastAsia="en-US"/>
        </w:rPr>
        <w:t>ntarea unor măsuri financiar-fiscale în domeniul bancar, cu modificările și completările ulterioare, învederăm instanței de judecată că, sub aspectul dobânzii legale, un prejudiciu nu se poate repara de două ori.</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 xml:space="preserve">În acest sens, a arătat că, dobânda legală include tot ceea ce s-ar putea adăuga la o </w:t>
      </w:r>
      <w:r w:rsidRPr="002B0D54">
        <w:rPr>
          <w:rFonts w:eastAsia="Trebuchet MS"/>
          <w:color w:val="000000"/>
          <w:lang w:val="ro-MD" w:eastAsia="en-US"/>
        </w:rPr>
        <w:t>sumă, o anumită depreciere a monedei, o lipsă de folosință a banilor, așa încât aceeași sumă nu poate fi în același timp și actualizată cu inflația și cu dobânda legală aplicată.</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O.G. nr. 13/2011 prevede la art. 1</w:t>
      </w:r>
      <w:r w:rsidRPr="002B0D54">
        <w:rPr>
          <w:rFonts w:eastAsia="Trebuchet MS"/>
          <w:color w:val="000000"/>
          <w:lang w:val="ro-MD" w:eastAsia="en-US"/>
        </w:rPr>
        <w:t xml:space="preserve"> alin. 5 faptul că „prin dobândă legală se înțelege nu numai sumele socotite în bani în acest titlu, dar și alte prestații sub orice titlu sau denumire, la care debitorul se obligă drept echivalent al folosinței capitalului”.</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S-a făcut trimitere la prevederile art. 1 alin. 3 din acelaș</w:t>
      </w:r>
      <w:r w:rsidRPr="002B0D54">
        <w:rPr>
          <w:rFonts w:eastAsia="Trebuchet MS"/>
          <w:color w:val="000000"/>
          <w:lang w:val="ro-MD" w:eastAsia="en-US"/>
        </w:rPr>
        <w:t>i act normativ, potrivit cărora „dobânda datorată de debitorul obligației bănești pentru neîndeplinirea obligației respective la scadență este denumită dobândă penalizatoare”, iar conform art. 166 alin. 4 din Codul Muncii, "în</w:t>
      </w:r>
      <w:r w:rsidRPr="002B0D54">
        <w:rPr>
          <w:rFonts w:eastAsia="Trebuchet MS"/>
          <w:color w:val="000000"/>
          <w:lang w:val="ro-MD" w:eastAsia="en-US"/>
        </w:rPr>
        <w:t>târzierea nejustificată a plății salariului sau neplata acestuia poate determina obligarea angajatorului la plata de daune interese pentru repararea prejudiciului produs salariatului".</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In susținerea nelegalității hotărârii, s-a invocat si faptul ca, drepturile salariale nu sunt obligații purtătoare de dobânzi.</w:t>
      </w:r>
      <w:bookmarkStart w:name="bookmark16" w:id="14"/>
      <w:bookmarkEnd w:id="14"/>
    </w:p>
    <w:p w:rsidRPr="002B0D54" w:rsidR="002B0D54" w:rsidP="002B0D54">
      <w:pPr>
        <w:widowControl w:val="0"/>
        <w:ind w:firstLine="720"/>
        <w:jc w:val="both"/>
        <w:rPr>
          <w:rFonts w:eastAsia="Trebuchet MS"/>
          <w:color w:val="000000"/>
          <w:lang w:val="ro-MD" w:eastAsia="en-US"/>
        </w:rPr>
      </w:pPr>
      <w:r w:rsidRPr="002B0D54">
        <w:rPr>
          <w:rFonts w:eastAsia="Trebuchet MS"/>
          <w:color w:val="000000"/>
          <w:lang w:val="ro-MD" w:eastAsia="en-US"/>
        </w:rPr>
        <w:t>A mai arătat că, este nelegala obligarea instituției la plata cheltuielilor de judecata in suma de 223 lei, învederând că, instanţa de fond, în exercitarea rolului său activ, trebuia să aibă în vedere</w:t>
      </w:r>
      <w:r w:rsidRPr="002B0D54">
        <w:rPr>
          <w:rFonts w:eastAsia="Trebuchet MS"/>
          <w:color w:val="000000"/>
          <w:lang w:val="ro-MD" w:eastAsia="en-US"/>
        </w:rPr>
        <w:t xml:space="preserve"> prevederile art. 451 alin. 2 din Codul de Procedură Civilă.</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A invocat Minuta întâlnirii reprezentanților Consiliului Superior al Magistraturii cu președinții secțiilor civile ale înaltei Curți de Casație și Justiție și curților de apel din data de 14-15 noiembrie 2019. De asemenea că, Curtea Constituțională, prin Decizia nr. 760 /2018 a reiterat ideea potrivit căreia plata cheltuielilor de judecată de către partea care cade în pretenții se fundam</w:t>
      </w:r>
      <w:r w:rsidRPr="002B0D54">
        <w:rPr>
          <w:rFonts w:eastAsia="Trebuchet MS"/>
          <w:color w:val="000000"/>
          <w:lang w:val="ro-MD" w:eastAsia="en-US"/>
        </w:rPr>
        <w:t>entează pe ideea de culpă procesuală. Considerăm totuși impor</w:t>
      </w:r>
      <w:r w:rsidRPr="002B0D54">
        <w:rPr>
          <w:rFonts w:eastAsia="Trebuchet MS"/>
          <w:color w:val="000000"/>
          <w:lang w:val="ro-MD" w:eastAsia="en-US"/>
        </w:rPr>
        <w:t>tant a atrage atenția cu privire la faptul că noțiunea de culpă procesuală nu se suprapune cu noțiunea de rea-credință. Acest aspect a fost subliniat și de doctrina în materie, arătându-se că ideea de culpă procesuală este independentă de buna sau reaua-credință a părții, pentru că inclusiv partea care a fost de bună-credință poate să piardă procesul.</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De asemenea că, astfel cum rezulta din încheierea din data de 16.01.2023 prin care s-a dispus amânarea pronunțării, cheltuielile de judecata constau in onorar</w:t>
      </w:r>
      <w:r w:rsidRPr="002B0D54">
        <w:rPr>
          <w:rFonts w:eastAsia="Trebuchet MS"/>
          <w:color w:val="000000"/>
          <w:lang w:val="ro-MD" w:eastAsia="en-US"/>
        </w:rPr>
        <w:t>iul celor 2 avocati cumulat in dosarul din care au fost disjunse toate celelalte cauze, cuantumul acestuia fiind in suma de 25.000 lei.</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Prin urmare, deși suma  de 223 lei pare a fi modică, solicită instanței sa constate ca aceasta reprezintă o plata parțiala din totalul onorariului de 25.0000 lei care, raportat la pretențiile reclamantilor este nejustificat si se impune a fi cenzurat de instanța.</w:t>
      </w:r>
    </w:p>
    <w:p w:rsidRPr="002B0D54" w:rsidR="002B0D54" w:rsidP="002B0D54">
      <w:pPr>
        <w:widowControl w:val="0"/>
        <w:ind w:firstLine="720"/>
        <w:jc w:val="both"/>
        <w:rPr>
          <w:rFonts w:eastAsia="Trebuchet MS"/>
          <w:lang w:val="ro-MD" w:eastAsia="en-US"/>
        </w:rPr>
      </w:pPr>
      <w:r w:rsidRPr="002B0D54">
        <w:rPr>
          <w:rFonts w:eastAsia="Trebuchet MS"/>
          <w:i/>
          <w:color w:val="000000"/>
          <w:lang w:val="ro-MD" w:eastAsia="en-US"/>
        </w:rPr>
        <w:t>Temeiul de drept</w:t>
      </w:r>
      <w:r w:rsidRPr="002B0D54">
        <w:rPr>
          <w:rFonts w:eastAsia="Trebuchet MS"/>
          <w:color w:val="000000"/>
          <w:lang w:val="ro-MD" w:eastAsia="en-US"/>
        </w:rPr>
        <w:t>: art. 488 alin.1 pct. 8 C.p.c..</w:t>
      </w:r>
    </w:p>
    <w:p w:rsidRPr="002B0D54" w:rsidR="002B0D54" w:rsidP="002B0D54">
      <w:pPr>
        <w:widowControl w:val="0"/>
        <w:ind w:firstLine="720"/>
        <w:jc w:val="both"/>
        <w:rPr>
          <w:rFonts w:eastAsia="Trebuchet MS"/>
          <w:color w:val="000000"/>
          <w:lang w:val="ro-MD" w:eastAsia="en-US"/>
        </w:rPr>
      </w:pPr>
      <w:bookmarkEnd w:id="9"/>
      <w:r w:rsidRPr="002B0D54">
        <w:rPr>
          <w:rFonts w:eastAsia="Trebuchet MS"/>
          <w:color w:val="000000"/>
          <w:lang w:val="ro-MD" w:eastAsia="en-US"/>
        </w:rPr>
        <w:t xml:space="preserve">Legal citat, intimatul reclamant a depus </w:t>
      </w:r>
      <w:r w:rsidRPr="002B0D54">
        <w:rPr>
          <w:rFonts w:eastAsia="Trebuchet MS"/>
          <w:i/>
          <w:color w:val="000000"/>
          <w:lang w:val="ro-MD" w:eastAsia="en-US"/>
        </w:rPr>
        <w:t>întâmpinare</w:t>
      </w:r>
      <w:r w:rsidRPr="002B0D54">
        <w:rPr>
          <w:rFonts w:eastAsia="Trebuchet MS"/>
          <w:color w:val="000000"/>
          <w:lang w:val="ro-MD" w:eastAsia="en-US"/>
        </w:rPr>
        <w:t xml:space="preserve"> solicitând</w:t>
      </w:r>
      <w:r w:rsidRPr="002B0D54">
        <w:rPr>
          <w:rFonts w:eastAsia="Trebuchet MS"/>
          <w:color w:val="000000"/>
          <w:lang w:val="ro-MD" w:eastAsia="en-US"/>
        </w:rPr>
        <w:t xml:space="preserve"> respingerea recursului, ca nefondat şi menţinerea sentinţei recurate ca fiind legală şi temeinică.</w:t>
      </w:r>
    </w:p>
    <w:p w:rsidRPr="002B0D54" w:rsidR="002B0D54" w:rsidP="002B0D54">
      <w:pPr>
        <w:ind w:firstLine="709"/>
        <w:jc w:val="both"/>
      </w:pPr>
      <w:r w:rsidRPr="002B0D54">
        <w:t>În fapt a arătat în esenţă, că, recurenta pârâtă nu a indicat, in concret în ce constă nelegalitatea sentinţei recurate, readucând in discuţie, in general, aspecte de netemeinicie.</w:t>
      </w:r>
    </w:p>
    <w:p w:rsidRPr="002B0D54" w:rsidR="002B0D54" w:rsidP="002B0D54">
      <w:pPr>
        <w:ind w:firstLine="709"/>
        <w:jc w:val="both"/>
      </w:pPr>
      <w:r w:rsidRPr="002B0D54">
        <w:t xml:space="preserve">A mai arătat că, la nivelul DGRFP </w:t>
      </w:r>
      <w:r w:rsidR="00513709">
        <w:t>1</w:t>
      </w:r>
      <w:r w:rsidRPr="002B0D54">
        <w:t xml:space="preserve"> sunt in plată salarii pentru funcţie similară care includ sporul de confidenţialitate. De asemenea că, sporul pentru condiţii vătămătoare este variabil, dar nu mai mult de maximul de 15%, fiind c</w:t>
      </w:r>
      <w:r w:rsidRPr="002B0D54">
        <w:t>ondiţionat de buletinul de determinare.</w:t>
      </w:r>
    </w:p>
    <w:p w:rsidRPr="002B0D54" w:rsidR="002B0D54" w:rsidP="002B0D54">
      <w:pPr>
        <w:ind w:firstLine="709"/>
        <w:jc w:val="both"/>
      </w:pPr>
      <w:r w:rsidRPr="002B0D54">
        <w:t>Totodată că, este indreptăţit la acordarea salariului maxim aflat in plată.</w:t>
      </w:r>
    </w:p>
    <w:p w:rsidRPr="002B0D54" w:rsidR="002B0D54" w:rsidP="002B0D54">
      <w:pPr>
        <w:ind w:firstLine="709"/>
        <w:jc w:val="both"/>
      </w:pPr>
      <w:r w:rsidRPr="002B0D54">
        <w:t>De asemenea că, in mod corect instanţa a procedat la acordarea dobânzii legale, respectiv a indicelui de inflaţie.</w:t>
      </w:r>
    </w:p>
    <w:p w:rsidRPr="002B0D54" w:rsidR="002B0D54" w:rsidP="002B0D54">
      <w:pPr>
        <w:widowControl w:val="0"/>
        <w:ind w:firstLine="720"/>
        <w:jc w:val="both"/>
        <w:rPr>
          <w:rFonts w:eastAsia="Trebuchet MS"/>
          <w:lang w:val="ro-MD" w:eastAsia="en-US"/>
        </w:rPr>
      </w:pPr>
      <w:r w:rsidRPr="002B0D54">
        <w:rPr>
          <w:rFonts w:eastAsia="Trebuchet MS"/>
          <w:color w:val="000000"/>
          <w:lang w:val="ro-MD" w:eastAsia="en-US"/>
        </w:rPr>
        <w:t>Relativ la  reducerea cheltuielilor de judecată în cuantum de 223 lei, apreciate de recurenta pârâtă ca fiind disproporționat de mare, a arătat că, în raport de Decizia RIL nr. 3/20.01.2020, motivul de recurs prin care se critică modalitatea în care instanța de fond s-a pronunțat,</w:t>
      </w:r>
      <w:r w:rsidRPr="002B0D54">
        <w:rPr>
          <w:rFonts w:eastAsia="Trebuchet MS"/>
          <w:color w:val="000000"/>
          <w:lang w:val="ro-MD" w:eastAsia="en-US"/>
        </w:rPr>
        <w:t xml:space="preserve"> în raport cu prevederile art. 451 alin.2 din Codul de procedură civilă, asupra proportionalității cheltuielilor de judecată reprezentând onorariul avocaților, solicitate de partea care a câștigat procesul, nu se încadrează în motivele de casare prevăzute de art. 488 alin.1 din Codul de procedură civilă.</w:t>
      </w:r>
    </w:p>
    <w:p w:rsidRPr="002B0D54" w:rsidR="002B0D54" w:rsidP="002B0D54">
      <w:pPr>
        <w:widowControl w:val="0"/>
        <w:ind w:firstLine="720"/>
        <w:jc w:val="both"/>
        <w:rPr>
          <w:rFonts w:eastAsia="Trebuchet MS"/>
          <w:color w:val="000000"/>
          <w:lang w:val="ro-MD" w:eastAsia="en-US"/>
        </w:rPr>
      </w:pPr>
      <w:r w:rsidRPr="002B0D54">
        <w:rPr>
          <w:rFonts w:eastAsia="Trebuchet MS"/>
          <w:color w:val="000000"/>
          <w:lang w:val="ro-MD" w:eastAsia="en-US"/>
        </w:rPr>
        <w:t>A concluzionat că, niciunul dintre motivele de recurs invocate nu este fondat.</w:t>
      </w:r>
    </w:p>
    <w:p w:rsidRPr="002B0D54" w:rsidR="002B0D54" w:rsidP="002B0D54">
      <w:pPr>
        <w:ind w:firstLine="720"/>
        <w:jc w:val="both"/>
        <w:rPr>
          <w:lang w:val="en-US"/>
        </w:rPr>
      </w:pPr>
      <w:r w:rsidRPr="002B0D54">
        <w:rPr>
          <w:b/>
          <w:lang w:val="en-US"/>
        </w:rPr>
        <w:t>Considerentele instanţei de recurs în raport de motivele de recurs invocate şi de disp. art. 488 alin.1 pct. 8 N.C.p.c:</w:t>
      </w:r>
      <w:r w:rsidRPr="002B0D54">
        <w:rPr>
          <w:lang w:val="en-US"/>
        </w:rPr>
        <w:t xml:space="preserve"> atunci </w:t>
      </w:r>
      <w:r w:rsidRPr="002B0D54">
        <w:rPr>
          <w:lang w:val="en-US"/>
        </w:rPr>
        <w:t>când hotărârea a fost dată cu încălcarea sau greşita aplicare  a normelor de drept material.</w:t>
      </w:r>
    </w:p>
    <w:p w:rsidRPr="002B0D54" w:rsidR="002B0D54" w:rsidP="002B0D54">
      <w:pPr>
        <w:ind w:firstLine="720"/>
        <w:jc w:val="both"/>
        <w:rPr>
          <w:rFonts w:eastAsia="Calibri"/>
          <w:lang w:val="ro-MD" w:eastAsia="en-US"/>
        </w:rPr>
      </w:pPr>
      <w:r w:rsidRPr="002B0D54">
        <w:rPr>
          <w:rFonts w:eastAsia="Calibri"/>
          <w:lang w:val="ro-MD" w:eastAsia="en-US"/>
        </w:rPr>
        <w:t>Contrar susținerilor recurentei-pârâte, Curtea constată că instanța de fond a făcut o corectă interpretare şi aplicare a normelor de drept material incidente, respectiv a dispoziţiilor art. 39 alin.1 şi 4 din Legea nr. 153/2017, raportat la particularităţile speţei deduse judecăţii.</w:t>
      </w:r>
    </w:p>
    <w:p w:rsidRPr="002B0D54" w:rsidR="002B0D54" w:rsidP="002B0D54">
      <w:pPr>
        <w:ind w:firstLine="720"/>
        <w:jc w:val="both"/>
        <w:rPr>
          <w:rFonts w:eastAsia="Calibri"/>
          <w:lang w:val="ro-MD" w:eastAsia="en-US"/>
        </w:rPr>
      </w:pPr>
      <w:r w:rsidRPr="002B0D54">
        <w:rPr>
          <w:rFonts w:eastAsia="Calibri"/>
          <w:lang w:val="ro-MD" w:eastAsia="en-US"/>
        </w:rPr>
        <w:t>În ceea ce priveşte critica recurentei pârâte că, instanţa de fond nu a indicat, in concret care este nivelul maxim al salariului avut in vedere la pronunţarea hotărârii, soluţia fiind una generică, ce va genera reale impediment</w:t>
      </w:r>
      <w:r w:rsidRPr="002B0D54">
        <w:rPr>
          <w:rFonts w:eastAsia="Calibri"/>
          <w:lang w:val="ro-MD" w:eastAsia="en-US"/>
        </w:rPr>
        <w:t xml:space="preserve">e la punerea in executare, Curtea, contrar susţinerii acesteia, constată că, instanţa de fond, in considerentele sentinţei pe care se sprijină soluţia din dispozitiv, a arătat in concret care este nivelul maxim aflat in plata in cadrul instituţiei pârâte, dar şi in cadrul DGRFP </w:t>
      </w:r>
      <w:r w:rsidR="00513709">
        <w:rPr>
          <w:rFonts w:eastAsia="Calibri"/>
          <w:lang w:val="ro-MD" w:eastAsia="en-US"/>
        </w:rPr>
        <w:t>1</w:t>
      </w:r>
      <w:r w:rsidRPr="002B0D54">
        <w:rPr>
          <w:rFonts w:eastAsia="Calibri"/>
          <w:lang w:val="ro-MD" w:eastAsia="en-US"/>
        </w:rPr>
        <w:t>.</w:t>
      </w:r>
    </w:p>
    <w:p w:rsidRPr="002B0D54" w:rsidR="002B0D54" w:rsidP="002B0D54">
      <w:pPr>
        <w:ind w:firstLine="720"/>
        <w:jc w:val="both"/>
        <w:rPr>
          <w:rFonts w:eastAsia="Calibri"/>
          <w:lang w:val="ro-MD" w:eastAsia="en-US"/>
        </w:rPr>
      </w:pPr>
      <w:r w:rsidRPr="002B0D54">
        <w:rPr>
          <w:rFonts w:eastAsia="Calibri"/>
          <w:lang w:val="ro-MD" w:eastAsia="en-US"/>
        </w:rPr>
        <w:t>Relativ la critica privind impedimentele generate de executarea sentinţei, Curtea constată că,  sunt aspecte ce vizează faza de executare a titlului executoriu, excedând litigiului, aflat in calea procesuală a recursului.</w:t>
      </w:r>
    </w:p>
    <w:p w:rsidRPr="002B0D54" w:rsidR="002B0D54" w:rsidP="002B0D54">
      <w:pPr>
        <w:ind w:firstLine="720"/>
        <w:jc w:val="both"/>
        <w:rPr>
          <w:rFonts w:eastAsia="Calibri"/>
          <w:lang w:val="ro-MD" w:eastAsia="en-US"/>
        </w:rPr>
      </w:pPr>
      <w:r w:rsidRPr="002B0D54">
        <w:rPr>
          <w:rFonts w:eastAsia="Calibri"/>
          <w:lang w:val="ro-MD" w:eastAsia="en-US"/>
        </w:rPr>
        <w:t>Astfel c</w:t>
      </w:r>
      <w:r w:rsidRPr="002B0D54">
        <w:rPr>
          <w:rFonts w:eastAsia="Calibri"/>
          <w:lang w:val="ro-MD" w:eastAsia="en-US"/>
        </w:rPr>
        <w:t xml:space="preserve">um rezultă din cererea de chemare în judecată înregistrată pe rolul Tribunalului </w:t>
      </w:r>
      <w:r w:rsidR="00513709">
        <w:rPr>
          <w:rFonts w:eastAsia="Calibri"/>
          <w:lang w:val="ro-MD" w:eastAsia="en-US"/>
        </w:rPr>
        <w:t>...</w:t>
      </w:r>
      <w:r w:rsidRPr="002B0D54">
        <w:rPr>
          <w:rFonts w:eastAsia="Calibri"/>
          <w:lang w:val="ro-MD" w:eastAsia="en-US"/>
        </w:rPr>
        <w:t xml:space="preserve"> la data de 10.05.2022, reclamanta a solicitat obligarea pârâtei DGRFP </w:t>
      </w:r>
      <w:r w:rsidR="00513709">
        <w:rPr>
          <w:rFonts w:eastAsia="Calibri"/>
          <w:lang w:val="ro-MD" w:eastAsia="en-US"/>
        </w:rPr>
        <w:t>...</w:t>
      </w:r>
      <w:r w:rsidRPr="002B0D54">
        <w:rPr>
          <w:rFonts w:eastAsia="Calibri"/>
          <w:lang w:val="ro-MD" w:eastAsia="en-US"/>
        </w:rPr>
        <w:t xml:space="preserve">, ca incepând cu data de 10.05.2019 şi in continuare să calculeze şi să plătească, potrivit disp. art. 39 alin.1 şi 4 din Legea nr. 153/2017, diferenţa dintre salariul efectiv achitat şi salariul de bază cuvenit la nivel maxim de salarizare pentru funcţie similară aflat in plată în cadrul DGRFP </w:t>
      </w:r>
      <w:r w:rsidR="00513709">
        <w:rPr>
          <w:rFonts w:eastAsia="Calibri"/>
          <w:lang w:val="ro-MD" w:eastAsia="en-US"/>
        </w:rPr>
        <w:t>...</w:t>
      </w:r>
      <w:r w:rsidRPr="002B0D54">
        <w:rPr>
          <w:rFonts w:eastAsia="Calibri"/>
          <w:lang w:val="ro-MD" w:eastAsia="en-US"/>
        </w:rPr>
        <w:t xml:space="preserve"> sau ANAF, precum şi la nivelul maxim stabilit pentru c</w:t>
      </w:r>
      <w:r w:rsidRPr="002B0D54">
        <w:rPr>
          <w:rFonts w:eastAsia="Calibri"/>
          <w:lang w:val="ro-MD" w:eastAsia="en-US"/>
        </w:rPr>
        <w:t>elelalte instituţii aflate în subordinea ANAF, pentru aceeaşi funcţie/grad/treaptă/gradaţie, cu luarea in considerare a tuturor majorărilor salariale stabilite prin hotărâri judecătoreşti definitive, in considerarea Deciziei Curţii Constituţionale nr. 794/2016.</w:t>
      </w:r>
    </w:p>
    <w:p w:rsidRPr="002B0D54" w:rsidR="002B0D54" w:rsidP="002B0D54">
      <w:pPr>
        <w:ind w:firstLine="720"/>
        <w:jc w:val="both"/>
        <w:rPr>
          <w:rFonts w:eastAsia="Calibri"/>
          <w:lang w:val="ro-MD" w:eastAsia="en-US"/>
        </w:rPr>
      </w:pPr>
      <w:r w:rsidRPr="002B0D54">
        <w:rPr>
          <w:rFonts w:eastAsia="Calibri"/>
          <w:lang w:val="ro-MD" w:eastAsia="en-US"/>
        </w:rPr>
        <w:t>Aşadar, pretenţiile au fost întemeiate  pe disp. art.39 alin.1 şi 4 din Legea nr. 153/2017, dar şi pe Decizia Curţii Constituţionale nr. 794/2016.</w:t>
      </w:r>
    </w:p>
    <w:p w:rsidRPr="002B0D54" w:rsidR="002B0D54" w:rsidP="002B0D54">
      <w:pPr>
        <w:ind w:firstLine="720"/>
        <w:jc w:val="both"/>
        <w:rPr>
          <w:rFonts w:eastAsia="Calibri"/>
          <w:b/>
          <w:lang w:val="ro-MD" w:eastAsia="en-US"/>
        </w:rPr>
      </w:pPr>
      <w:r w:rsidRPr="002B0D54">
        <w:rPr>
          <w:rFonts w:eastAsia="Calibri"/>
          <w:lang w:val="ro-MD" w:eastAsia="en-US"/>
        </w:rPr>
        <w:t>În drept, Curtea reţine că, potrivit art. 39 alin 1 din Legea 153/2017 „</w:t>
      </w:r>
      <w:r w:rsidRPr="002B0D54">
        <w:rPr>
          <w:rFonts w:eastAsia="Calibri"/>
          <w:lang w:val="en-US" w:eastAsia="en-US"/>
        </w:rPr>
        <w:t> (1) până la aplicarea integral</w:t>
      </w:r>
      <w:r w:rsidRPr="002B0D54">
        <w:rPr>
          <w:rFonts w:eastAsia="Calibri"/>
          <w:lang w:val="en-US" w:eastAsia="en-US"/>
        </w:rPr>
        <w:t>ă a prevederilor prezentei legi, pentru personalul nou-încadrat, pentru personalul numit/încadrat în aceeaşi instituţie/autoritate publică pe funcţii de acelaşi fel, inclusiv pentru personalul promovat în funcţii sau în grade/trepte profesionale, salarizarea se face la nivelul de salarizare pentru funcţii similare din cadrul instituţiei/autorităţii publice în care acesta este numit/încadrat sau din instituţiile subordonate acestora, în cazul în care nu există o funcţie similară în plată.</w:t>
      </w:r>
      <w:r w:rsidRPr="002B0D54">
        <w:rPr>
          <w:rFonts w:eastAsia="Calibri"/>
          <w:lang w:val="ro-MD" w:eastAsia="en-US"/>
        </w:rPr>
        <w:t>”, iar potrivit alin</w:t>
      </w:r>
      <w:r w:rsidRPr="002B0D54">
        <w:rPr>
          <w:rFonts w:eastAsia="Calibri"/>
          <w:lang w:val="ro-MD" w:eastAsia="en-US"/>
        </w:rPr>
        <w:t>. 4 al aceluiași articol „</w:t>
      </w:r>
      <w:r w:rsidRPr="002B0D54">
        <w:rPr>
          <w:rFonts w:eastAsia="Calibri"/>
          <w:lang w:val="en-US" w:eastAsia="en-US"/>
        </w:rPr>
        <w:t>în aplicarea prevederilor alin. (1), în cazul instituţiilor sau autorităţilor publice aflate în subordinea aceluiaşi ordonator de credite, având acelaşi scop, îndeplinind aceleaşi funcţii şi atribuţii, aflate la acelaşi nivel de subordonare din punct de vedere financiar, nivelul salariului de bază/indemnizaţiei de încadrare se va stabili la nivelul maxim aflat în plată din cadrul tuturor acestor instituţii sau autorităţi publice subordonate.</w:t>
      </w:r>
      <w:r w:rsidRPr="002B0D54">
        <w:rPr>
          <w:rFonts w:eastAsia="Calibri"/>
          <w:lang w:val="ro-MD" w:eastAsia="en-US"/>
        </w:rPr>
        <w:t>”.</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În speță, identificând corect aplicabi</w:t>
      </w:r>
      <w:r w:rsidRPr="002B0D54">
        <w:rPr>
          <w:rFonts w:eastAsia="Calibri"/>
          <w:lang w:val="ro-MD" w:eastAsia="en-US"/>
        </w:rPr>
        <w:t xml:space="preserve">litatea dispozițiilor art. 39 din Legea 153/2017, instanța de fond a reținut întemeiat că, în contextul pronunțării Deciziei HP nr. 8/2021, interpretarea acestui text de lege nu poate fi făcută decât în conformitate cu dezlegarea dată de instanța supremă care, statuând că „în interpretarea şi aplicarea prevederilor art. 39 alin. (4) raportat la art. 39 alin. (1) din Legea-cadru nr. 153/2017 privind salarizarea personalului plătit din fonduri publice, cu modificările şi completările ulterioare, în categoria </w:t>
      </w:r>
      <w:r w:rsidRPr="002B0D54">
        <w:rPr>
          <w:rFonts w:eastAsia="Calibri"/>
          <w:lang w:val="ro-MD" w:eastAsia="en-US"/>
        </w:rPr>
        <w:t>„personalului numit/încadrat”, la care se referă prevederile art. 39 alin. (4) raportat la art. 39 alin. (1) din Legea-cadru nr. 153/2017, este inclus şi personalul reîncadrat în baza prevederilor art. 36 din Legea-cadru nr. 153/2017”.</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Relevante sunt paragrafele112-115, potrivit cărora:</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”112. În altă ordine de idei, motivul pentru care legiuitorul a inserat în Legea-cadru nr. 153/2017 articolul 39, având denumirea marginală "Aplicarea tranzitorie", ce începe cu sintagma "până la aplicarea integrală a preved</w:t>
      </w:r>
      <w:r w:rsidRPr="002B0D54">
        <w:rPr>
          <w:rFonts w:eastAsia="Calibri"/>
          <w:lang w:val="ro-MD" w:eastAsia="en-US"/>
        </w:rPr>
        <w:t>erilor prezentei legi", nu constă în intenția de a reglementa situația de excepție a salariaților nou-încadrați sau promovați până la aplicarea integrală a prevederilor Legii-cadru nr. 153/2017, ci în aceea de a se asigura că, până la momentul în care diferențele salariale pentru persoane aflate în situații identice se vor exclude în mod natural prin încadrarea în grilele finale de salarizare, există pârghii pentru eliminarea discriminării între persoane aflate în aceeași situație profesională. Acest artico</w:t>
      </w:r>
      <w:r w:rsidRPr="002B0D54">
        <w:rPr>
          <w:rFonts w:eastAsia="Calibri"/>
          <w:lang w:val="ro-MD" w:eastAsia="en-US"/>
        </w:rPr>
        <w:t>l are ca obiect de reglementare tocmai aplicarea tranzitorie a legii, şi anume intervalul de timp stabilit până la aplicarea integrală a acestui act normativ.</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113. Ca atare, intenția legiuitorului a fost aceea de a înlătura inechitățile de salarizare diferită pentru funcții similare pentru tot personalul plătit din fonduri publice, nu numai pentru cel nou-încadrat, pentru personalul numit/încadrat după data de 1 iulie 2017, în accepțiunea restrânsă a acestor termeni, şi cel promovat, astfel încât a prevăzut</w:t>
      </w:r>
      <w:r w:rsidRPr="002B0D54">
        <w:rPr>
          <w:rFonts w:eastAsia="Calibri"/>
          <w:lang w:val="ro-MD" w:eastAsia="en-US"/>
        </w:rPr>
        <w:t xml:space="preserve"> expres reguli care să asigure respectarea principiului nediscriminării, reglementat la art. 6 lit. b) din Legea-cadru nr. 153/2017.</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114. Prin urmare, Înalta Curte de Casație şi Justiție reține că dispozițiile art. 39 alin. (1) şi (4) din Legea-cadru nr. 153/2017 vizează nu numai situația personalului nou-încadrat în cadrul instituțiilor/autorităților publice sau a personalului promovat după intrarea în vigoare a legii, ci şi personalul în privința căruia, în considerarea aplicării prevederilor art. 36 alin</w:t>
      </w:r>
      <w:r w:rsidRPr="002B0D54">
        <w:rPr>
          <w:rFonts w:eastAsia="Calibri"/>
          <w:lang w:val="ro-MD" w:eastAsia="en-US"/>
        </w:rPr>
        <w:t>. (1) din Legea-cadru nr. 153/2017, a fost realizată o reîncadrare prin raportare la prevederile art. 38 din același act normativ, în acord cu noile funcții, grade/trepte profesionale şi gradații prevăzute în anexele nr. I - VIII la Legea-cadru nr. 153/2017.</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115. De asemenea, aplicarea dispozițiilor art. 38 din Legea-cadru nr. 153/2017 nu constituie un impediment în aplicarea concomitentă şi a prevederilor art. 39 din Legea-cadru nr. 153/2017, în condițiile în care din nota de fundamentare a adoptării legii</w:t>
      </w:r>
      <w:r w:rsidRPr="002B0D54">
        <w:rPr>
          <w:rFonts w:eastAsia="Calibri"/>
          <w:lang w:val="ro-MD" w:eastAsia="en-US"/>
        </w:rPr>
        <w:t xml:space="preserve"> respective a rezultat că aceasta a fost determinată de necesitatea eliminării disfuncționalităților salariale existente în sistemul public de salarizare, făcându-se vorbire şi de Decizia nr. 794 din 15 decembrie 2016 a Curții Constituționale referitoare la admiterea excepției de neconstituționalitate a dispozițiilor art. 31 alin. (12) din Ordonanța de urgență a Guvernului nr. 57/2015 privind salarizarea personalului plătit din fonduri publice în anul 2016, prorogarea unor termene, precum şi unele măsuri fi</w:t>
      </w:r>
      <w:r w:rsidRPr="002B0D54">
        <w:rPr>
          <w:rFonts w:eastAsia="Calibri"/>
          <w:lang w:val="ro-MD" w:eastAsia="en-US"/>
        </w:rPr>
        <w:t>scal-bugetare”.</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 xml:space="preserve">În acest context, plecând de la dispozițiile art. 39 alin. 4 din Legea 153/2017, dispoziții interpretate potrivit deciziei menționate a ÎCCJ, prima instanță a reținut corect că intimatul reclamant, funcționar în cadrul DGRFP </w:t>
      </w:r>
      <w:r w:rsidR="00513709">
        <w:rPr>
          <w:rFonts w:eastAsia="Calibri"/>
          <w:lang w:val="ro-MD" w:eastAsia="en-US"/>
        </w:rPr>
        <w:t>...</w:t>
      </w:r>
      <w:r w:rsidRPr="002B0D54">
        <w:rPr>
          <w:rFonts w:eastAsia="Calibri"/>
          <w:lang w:val="ro-MD" w:eastAsia="en-US"/>
        </w:rPr>
        <w:t>, are dreptul să beneficieze de același nivel de salarizare cu funcționari publici având aceeași încadrare și îndeplinind aceeași funcție și atribuții în cardul celorlalte Direcții Generale Regionale ale Finanțelor Publice, instituții aflate la același nivel de subord</w:t>
      </w:r>
      <w:r w:rsidRPr="002B0D54">
        <w:rPr>
          <w:rFonts w:eastAsia="Calibri"/>
          <w:lang w:val="ro-MD" w:eastAsia="en-US"/>
        </w:rPr>
        <w:t xml:space="preserve">onare financiară și instituțională având același ordonator de credite așa cum rezultă din dispozițiile H.G nr. 520/2013 privind organizarea și funcționare Agenției Naționale de Administrare Fiscală. </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 xml:space="preserve">Ca atare,  câtă vreme , din adresele nr. </w:t>
      </w:r>
      <w:r w:rsidR="00865C8A">
        <w:rPr>
          <w:rFonts w:eastAsia="Calibri"/>
          <w:lang w:val="ro-MD" w:eastAsia="en-US"/>
        </w:rPr>
        <w:t>...</w:t>
      </w:r>
      <w:r w:rsidRPr="002B0D54">
        <w:rPr>
          <w:rFonts w:eastAsia="Calibri"/>
          <w:lang w:val="ro-MD" w:eastAsia="en-US"/>
        </w:rPr>
        <w:t xml:space="preserve">/21.12.2022 emisă de  ANAF-DGRFP </w:t>
      </w:r>
      <w:r w:rsidR="00513709">
        <w:rPr>
          <w:rFonts w:eastAsia="Calibri"/>
          <w:lang w:val="ro-MD" w:eastAsia="en-US"/>
        </w:rPr>
        <w:t>...</w:t>
      </w:r>
      <w:r w:rsidRPr="002B0D54">
        <w:rPr>
          <w:rFonts w:eastAsia="Calibri"/>
          <w:lang w:val="ro-MD" w:eastAsia="en-US"/>
        </w:rPr>
        <w:t xml:space="preserve">, respectiv nr.  </w:t>
      </w:r>
      <w:r w:rsidR="00865C8A">
        <w:rPr>
          <w:rFonts w:eastAsia="Calibri"/>
          <w:lang w:val="ro-MD" w:eastAsia="en-US"/>
        </w:rPr>
        <w:t>....</w:t>
      </w:r>
      <w:r w:rsidRPr="002B0D54">
        <w:rPr>
          <w:rFonts w:eastAsia="Calibri"/>
          <w:lang w:val="ro-MD" w:eastAsia="en-US"/>
        </w:rPr>
        <w:t xml:space="preserve">/29.11.2022 emisă de ANAF-DGRFP </w:t>
      </w:r>
      <w:r w:rsidR="00513709">
        <w:rPr>
          <w:rFonts w:eastAsia="Calibri"/>
          <w:lang w:val="ro-MD" w:eastAsia="en-US"/>
        </w:rPr>
        <w:t>1</w:t>
      </w:r>
      <w:r w:rsidRPr="002B0D54">
        <w:rPr>
          <w:rFonts w:eastAsia="Calibri"/>
          <w:lang w:val="ro-MD" w:eastAsia="en-US"/>
        </w:rPr>
        <w:t>, rezultă că funcționari publici în cadrul altor Direcții Generale Regionale a Finanțelor Publice, având aceeași funcție, clasă, grad, gradaţie și îndeplinind aceleași atribuții,</w:t>
      </w:r>
      <w:r w:rsidRPr="002B0D54">
        <w:rPr>
          <w:rFonts w:eastAsia="Calibri"/>
          <w:lang w:val="ro-MD" w:eastAsia="en-US"/>
        </w:rPr>
        <w:t xml:space="preserve"> în aceleași condiții cu reclamantul, încasează un salariu superior acestuia,  corect a apreciat instanța de fond că se impune obligarea pârâtei la acordarea  către acesta a diferenţei dintre salariul de bază efectiv achitat şi salariul maxim aflat în plată pentru funcţii similare in cadrul DGRFP </w:t>
      </w:r>
      <w:r w:rsidR="00513709">
        <w:rPr>
          <w:rFonts w:eastAsia="Calibri"/>
          <w:lang w:val="ro-MD" w:eastAsia="en-US"/>
        </w:rPr>
        <w:t>1</w:t>
      </w:r>
      <w:r w:rsidRPr="002B0D54">
        <w:rPr>
          <w:rFonts w:eastAsia="Calibri"/>
          <w:lang w:val="ro-MD" w:eastAsia="en-US"/>
        </w:rPr>
        <w:t xml:space="preserve"> şi DGRFP </w:t>
      </w:r>
      <w:r w:rsidR="00513709">
        <w:rPr>
          <w:rFonts w:eastAsia="Calibri"/>
          <w:lang w:val="ro-MD" w:eastAsia="en-US"/>
        </w:rPr>
        <w:t>...</w:t>
      </w:r>
      <w:r w:rsidRPr="002B0D54">
        <w:rPr>
          <w:rFonts w:eastAsia="Calibri"/>
          <w:lang w:val="ro-MD" w:eastAsia="en-US"/>
        </w:rPr>
        <w:t>, pentru aceaşi funcţie, grad, treaptă/gradaţie precum reclamantul.</w:t>
      </w:r>
    </w:p>
    <w:p w:rsidRPr="002B0D54" w:rsidR="002B0D54" w:rsidP="002B0D54">
      <w:pPr>
        <w:ind w:firstLine="708"/>
        <w:jc w:val="both"/>
        <w:rPr>
          <w:rFonts w:eastAsia="Calibri"/>
          <w:lang w:eastAsia="en-US"/>
        </w:rPr>
      </w:pPr>
      <w:r w:rsidRPr="002B0D54">
        <w:rPr>
          <w:rFonts w:eastAsia="Calibri"/>
          <w:lang w:eastAsia="en-US"/>
        </w:rPr>
        <w:t>Relativ la Decizia Curţii Constituţionale  a României nr.  794 din 15 decembrie 2016,  Curtea constată că, prin această decizie  s-a</w:t>
      </w:r>
      <w:r w:rsidRPr="002B0D54">
        <w:rPr>
          <w:rFonts w:eastAsia="Calibri"/>
          <w:lang w:eastAsia="en-US"/>
        </w:rPr>
        <w:t xml:space="preserve"> constatat că dispozițiile art. 31 alin. 12 din OUG nr. 57/2015 privind salarizarea personalului plătit din fonduri publice în anul 2016, prorogarea unor termene, precum și unele măsuri fiscal-bugetare sunt neconstituționale, întrucât contravin principiului egalității în fata legii, consacrat prin art. 16 din Constituție, deoarece stabilesc că persoanele aflate în situații profesionale identice, dar care nu au obținut hotărâri judecătorești prin care să li se fi recunoscut majorări salariale, au indemnizați</w:t>
      </w:r>
      <w:r w:rsidRPr="002B0D54">
        <w:rPr>
          <w:rFonts w:eastAsia="Calibri"/>
          <w:lang w:eastAsia="en-US"/>
        </w:rPr>
        <w:t>i de încadrare diferite (mai mici) fată de cei cărora li s-au recunoscut astfel de drepturi salariale, prin hotărâri judecătorești, generând diferențe în stabilirea salariului de bază/indemnizației de încadrare.</w:t>
      </w:r>
    </w:p>
    <w:p w:rsidRPr="002B0D54" w:rsidR="002B0D54" w:rsidP="002B0D54">
      <w:pPr>
        <w:jc w:val="both"/>
        <w:rPr>
          <w:rFonts w:eastAsia="Calibri"/>
          <w:lang w:eastAsia="en-US"/>
        </w:rPr>
      </w:pPr>
      <w:r w:rsidRPr="002B0D54">
        <w:rPr>
          <w:rFonts w:eastAsia="Calibri"/>
          <w:lang w:eastAsia="en-US"/>
        </w:rPr>
        <w:t xml:space="preserve">  </w:t>
        <w:tab/>
        <w:t xml:space="preserve">Totodată, la pct. 32 din Decizie se menționează că „în consecință, ca efect al neconstituționalității art. 3^1 alin. (10) din O.UG nr. 57/2015, ”nivelul maxim al salariului de bază/indemnizației de încadrare la care se face egalizarea prevăzută de art. alin. (l) din O.U.G nr. 57/2015, trebuie să </w:t>
      </w:r>
      <w:r w:rsidRPr="002B0D54">
        <w:rPr>
          <w:rFonts w:eastAsia="Calibri"/>
          <w:lang w:eastAsia="en-US"/>
        </w:rPr>
        <w:t xml:space="preserve">includă si drepturile stabilite sau recunoscute prin hotărâri judecătorești. Așadar, personalul care beneficiază de aceleași condiţii trebuie să fie salarizat la nivelul maxim al salariului de bază/indemnizației de încadrare din cadrul aceleiași categorii profesionale si familii ocupaționale, indiferent de instituție sau autoritate publică”. </w:t>
      </w:r>
    </w:p>
    <w:p w:rsidRPr="002B0D54" w:rsidR="002B0D54" w:rsidP="002B0D54">
      <w:pPr>
        <w:jc w:val="both"/>
      </w:pPr>
      <w:r w:rsidRPr="002B0D54">
        <w:rPr>
          <w:rFonts w:eastAsia="Calibri"/>
          <w:lang w:eastAsia="en-US"/>
        </w:rPr>
        <w:t xml:space="preserve"> </w:t>
        <w:tab/>
      </w:r>
      <w:r w:rsidRPr="002B0D54">
        <w:t xml:space="preserve">În consecință, salariile de bază acordate în toate direcțiile generale regionale ale finanțelor publice pentru funcții similare trebuie să fie aceleași, independent </w:t>
      </w:r>
      <w:r w:rsidRPr="002B0D54">
        <w:t>dacă ele au fost acordate direct prin act administrativ sau prin hotărâri judecătoreşti.</w:t>
      </w:r>
    </w:p>
    <w:p w:rsidRPr="002B0D54" w:rsidR="002B0D54" w:rsidP="002B0D54">
      <w:pPr>
        <w:spacing w:line="252" w:lineRule="auto"/>
        <w:ind w:firstLine="720"/>
        <w:jc w:val="both"/>
      </w:pPr>
      <w:r w:rsidRPr="002B0D54">
        <w:t>Relativ la critica recurentei pârâtă potrivit căreia, hotărârile judecătoreşti produc efecte doar intre părţi, şi că, opozabilitatea hotărârii judecătoreşti nu se confundă cu obligativitatea acesteia,  Curtea reţine că, potrivit prevederilor art. 435 alin. 1 C.p.c.,” hotărârea judecătorească este obligatorie şi produce efecte numai între părţi şi succsesorii acestora”, iar conform dispoziţiilor alin.2 „ hotărârea este o</w:t>
      </w:r>
      <w:r w:rsidRPr="002B0D54">
        <w:t>pozabilă oricărei terţe persoane atâta timp cât aceasta din urmă nu face, in condiţiile legii, dovada contrară”.</w:t>
      </w:r>
    </w:p>
    <w:p w:rsidRPr="002B0D54" w:rsidR="002B0D54" w:rsidP="002B0D54">
      <w:pPr>
        <w:spacing w:line="252" w:lineRule="auto"/>
        <w:ind w:firstLine="720"/>
        <w:jc w:val="both"/>
      </w:pPr>
      <w:r w:rsidRPr="002B0D54">
        <w:t>Conţinutul textului de lege sus-redat este sintetizat în doctrină astfel: obligativitatea operează inter partes, opozabilitatea operează erga omnes. Obligativitatea este relativă, opozabilitatea este generală.</w:t>
      </w:r>
    </w:p>
    <w:p w:rsidRPr="002B0D54" w:rsidR="002B0D54" w:rsidP="002B0D54">
      <w:pPr>
        <w:ind w:firstLine="708"/>
        <w:jc w:val="both"/>
      </w:pPr>
      <w:r w:rsidRPr="002B0D54">
        <w:t>În privinţa principiul relativităţii, respectiv al opozabilităţii hotărârii judecătoreşti, Curtea reţine Decizia nr. 18 din data de 17.02.2020, pronunţată de Înalta Curte de Casaţie şi Just</w:t>
      </w:r>
      <w:r w:rsidRPr="002B0D54">
        <w:t>iţie, Completul pentru dezlegarea unor chestiuni de drept, relevante fiind paragrafele 95-99.</w:t>
      </w:r>
    </w:p>
    <w:p w:rsidRPr="002B0D54" w:rsidR="002B0D54" w:rsidP="002B0D54">
      <w:pPr>
        <w:ind w:firstLine="708"/>
        <w:jc w:val="both"/>
      </w:pPr>
      <w:r w:rsidRPr="002B0D54">
        <w:t>În considerentele acestei hotărâri prealabile s-a reţinut că:</w:t>
      </w:r>
    </w:p>
    <w:p w:rsidRPr="002B0D54" w:rsidR="002B0D54" w:rsidP="002B0D54">
      <w:pPr>
        <w:ind w:firstLine="708"/>
        <w:jc w:val="both"/>
      </w:pPr>
      <w:r w:rsidRPr="002B0D54">
        <w:t>„95. Principiul relativităţii hotărârii judecătoreşti, atât sub aspectul efectelor obligatorii, cât şi al lucrului judecat, presupune ca ceea ce a fost judecat să nu poată folosi sau, în principiu, să nu poată fi opus decât de către părţile în proces (şi succesorii acestora), fundamentul şi justificarea acestui principiu constituindu-le contradictorialit</w:t>
      </w:r>
      <w:r w:rsidRPr="002B0D54">
        <w:t>atea şi dreptul la apărare.</w:t>
      </w:r>
    </w:p>
    <w:p w:rsidRPr="002B0D54" w:rsidR="002B0D54" w:rsidP="002B0D54">
      <w:pPr>
        <w:jc w:val="both"/>
      </w:pPr>
      <w:r w:rsidRPr="002B0D54">
        <w:t xml:space="preserve">    </w:t>
        <w:tab/>
        <w:t>96. Însă această relativitate nu antrenează consecinţa inopozabilităţii hotărârii judecătoreşti faţă de terţi.</w:t>
      </w:r>
    </w:p>
    <w:p w:rsidRPr="002B0D54" w:rsidR="002B0D54" w:rsidP="002B0D54">
      <w:pPr>
        <w:jc w:val="both"/>
      </w:pPr>
      <w:r w:rsidRPr="002B0D54">
        <w:t xml:space="preserve">    </w:t>
        <w:tab/>
        <w:t>97. Tocmai de aceea, completându-l pe cel dintâi, principiul opozabilităţii hotărârii judecătoreşti dă expresie respectului datorat şi impus tuturor de către o situaţie juridică.”</w:t>
      </w:r>
    </w:p>
    <w:p w:rsidRPr="002B0D54" w:rsidR="002B0D54" w:rsidP="002B0D54">
      <w:pPr>
        <w:ind w:firstLine="720"/>
        <w:jc w:val="both"/>
      </w:pPr>
      <w:r w:rsidRPr="002B0D54">
        <w:t>În consecinţă, o hotărâre judecătorească este, faţă de prevederile art. 435 alin.2 C.p.c., opozabilă oricărei terţe peroane până la momentul  în care va demonstra în justiţie situaţia</w:t>
      </w:r>
      <w:r w:rsidRPr="002B0D54">
        <w:t xml:space="preserve"> contrară.</w:t>
      </w:r>
    </w:p>
    <w:p w:rsidRPr="002B0D54" w:rsidR="002B0D54" w:rsidP="002B0D54">
      <w:pPr>
        <w:ind w:firstLine="720"/>
        <w:jc w:val="both"/>
      </w:pPr>
      <w:r w:rsidRPr="002B0D54">
        <w:t>Aşadar, până la demonstrarea situaţiei contrare, terţa persoană va suporta, in mod indirect, efectele judecăţii cauzei la care nu a participat. În consecinţă, mecanismul producerii efectelor hotărârii judecătoreşti presupune, aşadar, ca principiul relativităţii să asigure stabilitatea internă, în raporturile dintre părţi (şi succesorii lor), iar cel al opozabilităţii să asigure stabilitatea externă, în relaţia cu terţii (cel puţin până la momentul la care aceştia vor face proba contrară celor tra</w:t>
      </w:r>
      <w:r w:rsidRPr="002B0D54">
        <w:t>nşate jurisdicţional).</w:t>
      </w:r>
    </w:p>
    <w:p w:rsidRPr="002B0D54" w:rsidR="002B0D54" w:rsidP="002B0D54">
      <w:pPr>
        <w:ind w:firstLine="720"/>
        <w:jc w:val="both"/>
        <w:rPr>
          <w:rFonts w:eastAsia="Calibri"/>
          <w:lang w:val="ro-MD" w:eastAsia="en-US"/>
        </w:rPr>
      </w:pPr>
      <w:r w:rsidRPr="002B0D54">
        <w:t>Curtea constată că, reclamanta, prin cererea de chemare în judecată nu s-a prevalat de disp. art. 435 C.p.c., ci, acesta a solicitat</w:t>
      </w:r>
      <w:r w:rsidRPr="002B0D54">
        <w:rPr>
          <w:rFonts w:eastAsia="Calibri"/>
          <w:lang w:val="ro-MD" w:eastAsia="en-US"/>
        </w:rPr>
        <w:t xml:space="preserve"> ca la diferenţa dintre salariul efectiv achitat şi salariul de bază cuvenit la nivel maxim de salarizare pentru funcţie similară aflat in plată în cadrul DGRFP </w:t>
      </w:r>
      <w:r w:rsidR="00513709">
        <w:rPr>
          <w:rFonts w:eastAsia="Calibri"/>
          <w:lang w:val="ro-MD" w:eastAsia="en-US"/>
        </w:rPr>
        <w:t>...</w:t>
      </w:r>
      <w:r w:rsidRPr="002B0D54">
        <w:rPr>
          <w:rFonts w:eastAsia="Calibri"/>
          <w:lang w:val="ro-MD" w:eastAsia="en-US"/>
        </w:rPr>
        <w:t xml:space="preserve"> sau ANAF, precum şi la nivelul maxim stabilit pentru celelalte instituţii aflate în subordinea ANAF, pentru aceeaşi funcţie/grad/treaptă/gradaţie, instanţa să ia în  considerare toate majorări</w:t>
      </w:r>
      <w:r w:rsidRPr="002B0D54">
        <w:rPr>
          <w:rFonts w:eastAsia="Calibri"/>
          <w:lang w:val="ro-MD" w:eastAsia="en-US"/>
        </w:rPr>
        <w:t>lor salariale stabilite prin hotărâri judecătoreşti definitive, in considerarea Deciziei Curţii Constituţionale nr. 794/2016.</w:t>
      </w:r>
    </w:p>
    <w:p w:rsidRPr="002B0D54" w:rsidR="002B0D54" w:rsidP="002B0D54">
      <w:pPr>
        <w:ind w:firstLine="720"/>
        <w:jc w:val="both"/>
        <w:rPr>
          <w:rFonts w:eastAsia="Calibri"/>
          <w:lang w:eastAsia="en-US"/>
        </w:rPr>
      </w:pPr>
      <w:r w:rsidRPr="002B0D54">
        <w:rPr>
          <w:rFonts w:eastAsia="Calibri"/>
          <w:lang w:val="ro-MD" w:eastAsia="en-US"/>
        </w:rPr>
        <w:t>Or, într-o astfel de situaţie, in aplicarea Deciziei anterior menţionate,  stabilirea</w:t>
      </w:r>
      <w:r w:rsidRPr="002B0D54">
        <w:rPr>
          <w:rFonts w:eastAsia="Calibri"/>
          <w:lang w:eastAsia="en-US"/>
        </w:rPr>
        <w:t xml:space="preserve"> nivelul maxim al salariului de bază/indemnizației de încadrare trebuie să includă și drepturile stabilite sau recunoscute prin hotărâri judecătorești definitive și irevocabile/definitive.</w:t>
      </w:r>
    </w:p>
    <w:p w:rsidRPr="002B0D54" w:rsidR="002B0D54" w:rsidP="002B0D54">
      <w:pPr>
        <w:ind w:firstLine="720"/>
        <w:jc w:val="both"/>
        <w:rPr>
          <w:rFonts w:eastAsia="Calibri"/>
          <w:lang w:eastAsia="en-US"/>
        </w:rPr>
      </w:pPr>
      <w:r w:rsidRPr="002B0D54">
        <w:rPr>
          <w:rFonts w:eastAsia="Calibri"/>
          <w:lang w:eastAsia="en-US"/>
        </w:rPr>
        <w:t>Relativ la critica privind neanalizarea apărărilor formulate, Curtea, contrar criticii acesteia constată că, ins</w:t>
      </w:r>
      <w:r w:rsidRPr="002B0D54">
        <w:rPr>
          <w:rFonts w:eastAsia="Calibri"/>
          <w:lang w:eastAsia="en-US"/>
        </w:rPr>
        <w:t xml:space="preserve">tanţa de fond a examinat susţinerile părţilor din cererea de chemare în judecată depusă dar şi din întâmpinarea pârâtei DGRFP </w:t>
      </w:r>
      <w:r w:rsidR="00513709">
        <w:rPr>
          <w:rFonts w:eastAsia="Calibri"/>
          <w:lang w:eastAsia="en-US"/>
        </w:rPr>
        <w:t>...</w:t>
      </w:r>
      <w:r w:rsidRPr="002B0D54">
        <w:rPr>
          <w:rFonts w:eastAsia="Calibri"/>
          <w:lang w:eastAsia="en-US"/>
        </w:rPr>
        <w:t xml:space="preserve"> şi a oferit un răspuns acestora motivând soluţia de admitere a cererii de chemare în judeată. Faptul că argumentele expuse în considerentele sentinţei nu corespund modului în care recurenta pârâtă interpretează dispoziţiile legale incidente în cauză, ci sunt în acord cu apărările formulate de reclamant, nu poate avea semnificaţia nemotivării sentinţei, din moment ce argumentele p</w:t>
      </w:r>
      <w:r w:rsidRPr="002B0D54">
        <w:rPr>
          <w:rFonts w:eastAsia="Calibri"/>
          <w:lang w:eastAsia="en-US"/>
        </w:rPr>
        <w:t>rimei instanţe pot fi decelate cu uşurinţă din lecturarea hotărârii.</w:t>
      </w:r>
    </w:p>
    <w:p w:rsidRPr="002B0D54" w:rsidR="002B0D54" w:rsidP="002B0D54">
      <w:pPr>
        <w:ind w:firstLine="708"/>
        <w:jc w:val="both"/>
      </w:pPr>
      <w:r w:rsidRPr="002B0D54">
        <w:t>În ceea ce priveşte  principiul nediscriminării şi susţinerea recurentei pârâte potrivit căreia, pot exista diferenţe între cei salarizaţi potrivit noii legi şi cei salariaţi în baza vechii legi, Curtea, faţă de cele expuse anterior, constată că, salariile de bază acordate în toate direcțiile generale regionale ale finanțelor publice pentru funcții similare trebuie să fie aceleași, independent dacă ele au fost acordate direct prin act admi</w:t>
      </w:r>
      <w:r w:rsidRPr="002B0D54">
        <w:t>nistrativ sau prin hotărâri judecătoreşti.</w:t>
      </w:r>
    </w:p>
    <w:p w:rsidRPr="002B0D54" w:rsidR="002B0D54" w:rsidP="002B0D54">
      <w:pPr>
        <w:ind w:firstLine="708"/>
        <w:jc w:val="both"/>
      </w:pPr>
      <w:r w:rsidRPr="002B0D54">
        <w:t xml:space="preserve">Relativ la critica recurentei pârâte că, pentru perioada 09.05.2019-17.10.2022 dreptul material la acţiune este prescris faţă de disp. art. 2500 alin.1 C.p.c., Curtea, constată că, cererea de chemare în judecată ce a format obiectul dosarului nr. </w:t>
      </w:r>
      <w:r w:rsidR="00865C8A">
        <w:t>...</w:t>
      </w:r>
      <w:r w:rsidRPr="002B0D54">
        <w:t xml:space="preserve"> şi din care a fost disjunsă prezenta cauză a fost inregistrată pe rolul Tribunalului </w:t>
      </w:r>
      <w:r w:rsidR="00513709">
        <w:t>...</w:t>
      </w:r>
      <w:r w:rsidRPr="002B0D54">
        <w:t xml:space="preserve"> la data de 10.05.2022, potrivit rezoluţiei aplicate pe cererea de chemare în judecată. Într-o atare situaţie, recurenta pârâtă, i</w:t>
      </w:r>
      <w:r w:rsidRPr="002B0D54">
        <w:t>n invocarea excepţiei, in mod eronat s-a raportat la data de 10.10.2019 ca fiind data inregistrării cererii de chemare în judecată.</w:t>
      </w:r>
    </w:p>
    <w:p w:rsidRPr="002B0D54" w:rsidR="002B0D54" w:rsidP="002B0D54">
      <w:pPr>
        <w:ind w:firstLine="708"/>
        <w:jc w:val="both"/>
      </w:pPr>
      <w:r w:rsidRPr="002B0D54">
        <w:t xml:space="preserve"> Or,  raportat la data la care a fost înregistrată cauza nr. </w:t>
      </w:r>
      <w:r w:rsidR="00865C8A">
        <w:t>...</w:t>
      </w:r>
      <w:r w:rsidRPr="002B0D54">
        <w:t xml:space="preserve">  din care a fost disjuns şi dosarul nr. </w:t>
      </w:r>
      <w:r w:rsidR="00865C8A">
        <w:t>...</w:t>
      </w:r>
      <w:r w:rsidRPr="002B0D54">
        <w:t>, având in vedere totodată şi d</w:t>
      </w:r>
      <w:r w:rsidRPr="002B0D54">
        <w:rPr>
          <w:rFonts w:eastAsia="Trebuchet MS"/>
        </w:rPr>
        <w:t>ispoziţiilor art. 171 alin. 1 Codul muncii, care prevăd că dreptul la acţiune cu privire la drepturile salariale, precum şi cu privire la daunele rezultate din neexecutarea în totalitate sau în parte a obligaţiilor privind plata salariilor s</w:t>
      </w:r>
      <w:r w:rsidRPr="002B0D54">
        <w:rPr>
          <w:rFonts w:eastAsia="Trebuchet MS"/>
        </w:rPr>
        <w:t>e prescrie în termen de 3 ani de la data la care drepturile respective erau datorate, corect instanţa de fond a admis cererea de chemare în judecată.</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În ceea ce privește critica privind  greşita admiterea a capătului de cerere privind obligarea recurentei la plata către reclamantă a dobânzii legale penalizatoare, respectiv actualizarea cu indicele de inflaţie, Curtea constată că, prin cererea de chemare în judecată, reclamantul a solicitat obligarea pârâtei la plata dobânzii legale penalizatoare prev. de ar</w:t>
      </w:r>
      <w:r w:rsidRPr="002B0D54">
        <w:rPr>
          <w:rFonts w:eastAsia="Calibri"/>
          <w:lang w:val="ro-MD" w:eastAsia="en-US"/>
        </w:rPr>
        <w:t>t. 3 alin.2 din OG nr. 13/2011, calculată de la data scadenţei fiecărui drept salarial lunar şi până la momentul plăţii efective; a solicitat totodată şi actualizarea cu indicele de inflaţie.</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În consecinţă, pretenţiile reclamantei vizând acordarea dobânzii sunt motivate, aceasta indicând totodată momentul de la care solicită acordarea dobânzii.</w:t>
      </w:r>
    </w:p>
    <w:p w:rsidRPr="002B0D54" w:rsidR="002B0D54" w:rsidP="002B0D54">
      <w:pPr>
        <w:tabs>
          <w:tab w:val="left" w:pos="3756"/>
        </w:tabs>
        <w:ind w:firstLine="720"/>
        <w:jc w:val="both"/>
        <w:rPr>
          <w:rFonts w:eastAsia="Calibri"/>
          <w:lang w:val="ro-MD" w:eastAsia="en-US"/>
        </w:rPr>
      </w:pPr>
      <w:r w:rsidRPr="002B0D54">
        <w:rPr>
          <w:rFonts w:eastAsia="Calibri"/>
          <w:lang w:val="ro-MD" w:eastAsia="en-US"/>
        </w:rPr>
        <w:t>In privinţa dobânzii acordate, Curtea constată că, prin admiterea acestui capăt de cerere accesoriu prima instanță a respectat principiului acoperirii integrale a pr</w:t>
      </w:r>
      <w:r w:rsidRPr="002B0D54">
        <w:rPr>
          <w:rFonts w:eastAsia="Calibri"/>
          <w:lang w:val="ro-MD" w:eastAsia="en-US"/>
        </w:rPr>
        <w:t>ejudiciului produs intimatului reclamant prin neplata drepturilor salariale restante, păstrarea valorii reale a obligaţiilor băneşti şi acoperirea prejudiciului efectiv cauzat în intervalul scurs de la data scadenţei şi cea a plăţii efective a sumei datorate.</w:t>
      </w:r>
    </w:p>
    <w:p w:rsidRPr="002B0D54" w:rsidR="002B0D54" w:rsidP="002B0D54">
      <w:pPr>
        <w:tabs>
          <w:tab w:val="left" w:pos="3756"/>
        </w:tabs>
        <w:ind w:firstLine="720"/>
        <w:jc w:val="both"/>
        <w:rPr>
          <w:rFonts w:eastAsia="Calibri"/>
          <w:lang w:val="ro-MD" w:eastAsia="en-US"/>
        </w:rPr>
      </w:pPr>
      <w:r w:rsidRPr="002B0D54">
        <w:t>Relativ la critica recurentei pârâte potrivit căreia, pentru aceeaşi sumă de bani nu se poate acorda in acelaşi timp atât dobânda legală cât şi actualizarea cu indicele de inflaţie, Curtea reţine că, având a se pronunţa cu privire la cumularea actualiz</w:t>
      </w:r>
      <w:r w:rsidRPr="002B0D54">
        <w:t xml:space="preserve">ării cu dobânda legală, Înalta Curte de Casaţie şi Justiţie – Completul pentru soluţionarea recursului în interesul legii a statuat, prin Decizia nr. 2 din 17 februarie 2014, că actualizarea reprezintă o reparaţie parţială menită să repare prejudiciul efectiv suferit (damnum emergens), „însă principiul reparării integrale a prejudiciului suferit de creditor, ca efect al executării eşalonate a titlurilor executorii, impune şi remedierea celui de-al doilea element constitutiv al prejudiciului, prin acordarea </w:t>
      </w:r>
      <w:r w:rsidRPr="002B0D54">
        <w:t>beneficiului de care a fost lipsit (lucrum cessans), respectiv daune-interese moratorii, sub forma dobânzii legale”</w:t>
      </w:r>
    </w:p>
    <w:p w:rsidRPr="002B0D54" w:rsidR="002B0D54" w:rsidP="002B0D54">
      <w:pPr>
        <w:tabs>
          <w:tab w:val="left" w:pos="3756"/>
        </w:tabs>
        <w:ind w:firstLine="720"/>
        <w:jc w:val="both"/>
        <w:rPr>
          <w:rFonts w:eastAsia="Trebuchet MS"/>
          <w:iCs/>
        </w:rPr>
      </w:pPr>
      <w:r w:rsidRPr="002B0D54">
        <w:rPr>
          <w:rFonts w:eastAsia="Trebuchet MS"/>
          <w:iCs/>
        </w:rPr>
        <w:t>Aşadar, având în vedere că natura juridică a dobânzii este diferită de natura juridică a actualizării obligaţiei cu rata inflaţiei, prima reprezentând o sancţiune sub forma daunelor moratorii pentru neexecutarea obligaţiei de plată, iar cea de a doua, valoarea reală a obligaţiei băneşti la data efectuării plăţii, respectiv daune compensatorii, este admisibil cumulul acestora, neputându-se vorb</w:t>
      </w:r>
      <w:r w:rsidRPr="002B0D54">
        <w:rPr>
          <w:rFonts w:eastAsia="Trebuchet MS"/>
          <w:iCs/>
        </w:rPr>
        <w:t>i, deci, despre o dublă reparaţie care să reprezinte o îmbogăţire fără justă cauză a creditorului.</w:t>
      </w:r>
    </w:p>
    <w:p w:rsidRPr="002B0D54" w:rsidR="002B0D54" w:rsidP="002B0D54">
      <w:pPr>
        <w:tabs>
          <w:tab w:val="left" w:pos="3756"/>
        </w:tabs>
        <w:ind w:firstLine="720"/>
        <w:jc w:val="both"/>
        <w:rPr>
          <w:rFonts w:eastAsia="Trebuchet MS"/>
          <w:iCs/>
        </w:rPr>
      </w:pPr>
      <w:r w:rsidRPr="002B0D54">
        <w:rPr>
          <w:rFonts w:eastAsia="Trebuchet MS"/>
          <w:iCs/>
        </w:rPr>
        <w:t>În consecinţă, in mod corect prima instanţă a dispus şi actualizarea cu indicele de inflaţie.</w:t>
      </w:r>
    </w:p>
    <w:p w:rsidRPr="002B0D54" w:rsidR="002B0D54" w:rsidP="002B0D54">
      <w:pPr>
        <w:tabs>
          <w:tab w:val="left" w:pos="3756"/>
        </w:tabs>
        <w:ind w:firstLine="720"/>
        <w:jc w:val="both"/>
      </w:pPr>
      <w:r w:rsidRPr="002B0D54">
        <w:rPr>
          <w:rFonts w:eastAsia="Trebuchet MS"/>
          <w:iCs/>
        </w:rPr>
        <w:t>Relativ la critica privind cheltuielile de judecată şi neaplicarea de către instanţa de judecată a disp. art. 451 alin.2 C.p.c.,</w:t>
      </w:r>
      <w:r w:rsidRPr="002B0D54">
        <w:t xml:space="preserve"> Curtea constată că, prin Decizia nr. 3/2020, pronunţată de Înalta Curte de Casaţie şi Justiţie, Completul pentru soluţionarea recursului în interesul legii , a fost admis recursul în interes</w:t>
      </w:r>
      <w:r w:rsidRPr="002B0D54">
        <w:t>ul legii formulat de Colegiul de conducere al Curţii de Apel Braşov stabilind că: „   În interpretarea şi aplicarea unitară a dispoziţiilor </w:t>
      </w:r>
      <w:hyperlink w:history="1" r:id="rId4">
        <w:r w:rsidRPr="002B0D54">
          <w:rPr>
            <w:color w:val="000000"/>
            <w:u w:val="single"/>
          </w:rPr>
          <w:t>art. 488</w:t>
        </w:r>
      </w:hyperlink>
      <w:r w:rsidRPr="002B0D54">
        <w:t> alin. (1) din Codul de procedură civilă, motivul de recurs prin care se critică modalitatea în care instanţa de fond s-a pronunţat, în raport cu prevederile art. 451 alin. (2) din Codul de procedură civilă, asupra proporţionalităţii cheltuielilor de judecată reprezentând onorariul avocaţilor, solic</w:t>
      </w:r>
      <w:r w:rsidRPr="002B0D54">
        <w:t>itate de partea care a câştigat procesul, nu se încadrează în motivele de casare prevăzute de art. 488 alin. (1) din Codul de procedură civilă.”</w:t>
      </w:r>
    </w:p>
    <w:p w:rsidRPr="002B0D54" w:rsidR="002B0D54" w:rsidP="002B0D54">
      <w:pPr>
        <w:ind w:firstLine="708"/>
        <w:jc w:val="both"/>
      </w:pPr>
      <w:r w:rsidRPr="002B0D54">
        <w:t xml:space="preserve">Or, prin criticile aduse, inclusiv cele referitoare la reducerea onorariu in cuantum de 223 lei, care, in opinia acesteia ar fi nejustificat motivat de faptul că, acesta reprezintă o parte parţială a onorariului de 25.000 lei, recurenta pârâtă contestă tocmai modalitate in care instanţa de fond s-a pronunţat asupra cheltuielilor de  judecată reprezentând onorariul </w:t>
      </w:r>
      <w:r w:rsidRPr="002B0D54">
        <w:t>de avocat, critici care, în raport de decizia sus menţionată, obligatorie faţă de disp. art. 517 alin.4 C.p.c., nu se încadrează in motivele de casare prev. de art. 488 alin.1 C.p.c..</w:t>
      </w:r>
    </w:p>
    <w:p w:rsidRPr="002B0D54" w:rsidR="002B0D54" w:rsidP="002B0D54">
      <w:pPr>
        <w:ind w:firstLine="708"/>
        <w:jc w:val="both"/>
      </w:pPr>
      <w:r w:rsidRPr="002B0D54">
        <w:t>Concluzionând, Curtea constată că, motivul de casare prev. de art. 488 alin. 1 pct. 8 C.p.c. este nefondat, astfel încât, în temeiul disp. art. 496 alin.1 C.p.c., va respinge recursul recurentei pârâte.</w:t>
      </w:r>
    </w:p>
    <w:p w:rsidRPr="002B0D54" w:rsidR="002B0D54" w:rsidP="002B0D54">
      <w:pPr>
        <w:jc w:val="center"/>
        <w:rPr>
          <w:b/>
        </w:rPr>
      </w:pPr>
      <w:r w:rsidRPr="002B0D54">
        <w:rPr>
          <w:b/>
        </w:rPr>
        <w:t>PENTRU ACESTE MOTIVE,</w:t>
        <w:br/>
        <w:t>ÎN NUMELE LEGII</w:t>
      </w:r>
    </w:p>
    <w:p w:rsidR="002B0D54" w:rsidP="002B0D54">
      <w:pPr>
        <w:jc w:val="center"/>
        <w:rPr>
          <w:b/>
        </w:rPr>
      </w:pPr>
      <w:r w:rsidRPr="002B0D54">
        <w:rPr>
          <w:b/>
        </w:rPr>
        <w:t>DECIDE</w:t>
      </w:r>
    </w:p>
    <w:p w:rsidRPr="002B0D54" w:rsidR="002B0D54" w:rsidP="002B0D54">
      <w:pPr>
        <w:jc w:val="center"/>
        <w:rPr>
          <w:b/>
        </w:rPr>
      </w:pPr>
    </w:p>
    <w:p w:rsidRPr="002B0D54" w:rsidR="002B0D54" w:rsidP="002B0D54">
      <w:pPr>
        <w:ind w:firstLine="709"/>
        <w:jc w:val="both"/>
      </w:pPr>
      <w:r w:rsidRPr="002B0D54">
        <w:t>Respinge recursul formulat de pârâta DIRECŢIA GENERALĂ REGIONALĂ A FINANŢELOR P</w:t>
      </w:r>
      <w:r w:rsidRPr="002B0D54">
        <w:t xml:space="preserve">UBLICE </w:t>
      </w:r>
      <w:r w:rsidR="00513709">
        <w:t>...</w:t>
      </w:r>
      <w:r w:rsidRPr="002B0D54">
        <w:t xml:space="preserve"> PRIN AJFP </w:t>
      </w:r>
      <w:r w:rsidR="00513709">
        <w:t>...</w:t>
      </w:r>
      <w:r w:rsidRPr="002B0D54">
        <w:t xml:space="preserve"> împotriva sentinţei nr. </w:t>
      </w:r>
      <w:r w:rsidR="00C071C6">
        <w:t>...</w:t>
      </w:r>
      <w:r w:rsidRPr="002B0D54">
        <w:t xml:space="preserve"> din data de </w:t>
      </w:r>
      <w:r w:rsidR="00C071C6">
        <w:t>....</w:t>
      </w:r>
      <w:r w:rsidRPr="002B0D54">
        <w:t xml:space="preserve"> pronu</w:t>
      </w:r>
      <w:r w:rsidR="00865C8A">
        <w:t>n</w:t>
      </w:r>
      <w:r w:rsidRPr="002B0D54">
        <w:t xml:space="preserve">ţată de Tribunalul </w:t>
      </w:r>
      <w:r w:rsidR="00513709">
        <w:t>...</w:t>
      </w:r>
      <w:r w:rsidRPr="002B0D54">
        <w:t xml:space="preserve"> în dosar nr. </w:t>
      </w:r>
      <w:r w:rsidR="00C071C6">
        <w:t>...</w:t>
      </w:r>
      <w:r w:rsidRPr="002B0D54">
        <w:t xml:space="preserve"> în contradictoriu cu intimatul reclamant SINDICATUL FINANŢE </w:t>
      </w:r>
      <w:r w:rsidR="00513709">
        <w:t>...</w:t>
      </w:r>
      <w:r w:rsidRPr="002B0D54">
        <w:t>-</w:t>
      </w:r>
      <w:r w:rsidR="00C071C6">
        <w:t xml:space="preserve"> </w:t>
      </w:r>
      <w:r w:rsidRPr="002B0D54">
        <w:t>ÎN NUMELE ŞI PENTRU MEMBRUL DE SINDICAT</w:t>
      </w:r>
      <w:r w:rsidR="00C071C6">
        <w:t xml:space="preserve"> </w:t>
      </w:r>
      <w:r w:rsidRPr="002B0D54">
        <w:t>-</w:t>
      </w:r>
      <w:r w:rsidR="00C071C6">
        <w:t xml:space="preserve"> </w:t>
      </w:r>
      <w:r w:rsidRPr="00C071C6" w:rsidR="00C071C6">
        <w:rPr>
          <w:b/>
          <w:bCs/>
        </w:rPr>
        <w:t>X</w:t>
      </w:r>
      <w:r w:rsidRPr="002B0D54">
        <w:t xml:space="preserve">, având ca obiect litigiu privind funcţionarii publici (Legea Nr.188/1999) DISJUNS DIN DOSARUL NR. </w:t>
      </w:r>
      <w:r w:rsidR="00C071C6">
        <w:t>...</w:t>
      </w:r>
      <w:r w:rsidRPr="002B0D54">
        <w:t>.</w:t>
      </w:r>
    </w:p>
    <w:p w:rsidRPr="002B0D54" w:rsidR="002B0D54" w:rsidP="002B0D54">
      <w:pPr>
        <w:ind w:firstLine="709"/>
      </w:pPr>
      <w:r w:rsidRPr="002B0D54">
        <w:t>Definitivă.</w:t>
      </w:r>
    </w:p>
    <w:p w:rsidR="00916558" w:rsidP="00916558">
      <w:pPr>
        <w:ind w:firstLine="708"/>
        <w:jc w:val="both"/>
      </w:pPr>
      <w:r w:rsidRPr="002B0D54" w:rsidR="002B0D54">
        <w:t xml:space="preserve">Pronunţată azi, </w:t>
      </w:r>
      <w:r w:rsidR="00C071C6">
        <w:t>...</w:t>
      </w:r>
      <w:r w:rsidRPr="002B0D54" w:rsidR="002B0D54">
        <w:t xml:space="preserve"> prin punerea soluţiei la dispoziţia părţilor de grefa instanţei.</w:t>
      </w:r>
    </w:p>
    <w:p w:rsidR="00916558" w:rsidP="00916558">
      <w:pPr>
        <w:ind w:firstLine="708"/>
        <w:jc w:val="both"/>
      </w:pPr>
    </w:p>
    <w:p w:rsidR="00916558" w:rsidP="00916558">
      <w:pPr>
        <w:ind w:firstLine="709"/>
        <w:jc w:val="both"/>
      </w:pPr>
      <w:r>
        <w:t xml:space="preserve">   Preşedinte,</w:t>
        <w:tab/>
        <w:tab/>
        <w:tab/>
        <w:t xml:space="preserve"> Judecător,</w:t>
        <w:tab/>
        <w:tab/>
        <w:tab/>
        <w:t>Judecător</w:t>
      </w:r>
    </w:p>
    <w:p w:rsidR="00916558" w:rsidP="00916558">
      <w:pPr>
        <w:ind w:firstLine="709"/>
        <w:jc w:val="both"/>
      </w:pPr>
    </w:p>
    <w:p w:rsidR="00916558" w:rsidP="00916558">
      <w:pPr>
        <w:ind w:firstLine="709"/>
        <w:jc w:val="both"/>
      </w:pPr>
      <w:r>
        <w:t xml:space="preserve">       ...</w:t>
        <w:tab/>
        <w:tab/>
        <w:tab/>
        <w:t xml:space="preserve">                 ...</w:t>
        <w:tab/>
        <w:tab/>
        <w:tab/>
        <w:t xml:space="preserve">        </w:t>
      </w:r>
      <w:r>
        <w:t xml:space="preserve">      A0007</w:t>
      </w:r>
    </w:p>
    <w:p w:rsidR="00916558" w:rsidP="00916558">
      <w:pPr>
        <w:ind w:firstLine="709"/>
        <w:jc w:val="both"/>
      </w:pPr>
    </w:p>
    <w:p w:rsidR="00916558" w:rsidP="00916558">
      <w:pPr>
        <w:ind w:firstLine="709"/>
        <w:jc w:val="both"/>
      </w:pPr>
    </w:p>
    <w:p w:rsidR="00916558" w:rsidP="00916558">
      <w:pPr>
        <w:jc w:val="both"/>
      </w:pPr>
    </w:p>
    <w:p w:rsidR="00916558" w:rsidP="00916558">
      <w:pPr>
        <w:ind w:firstLine="709"/>
        <w:jc w:val="both"/>
      </w:pPr>
      <w:r>
        <w:t xml:space="preserve">                                                   Grefier, </w:t>
      </w:r>
    </w:p>
    <w:p w:rsidR="00916558" w:rsidP="00916558">
      <w:pPr>
        <w:ind w:firstLine="709"/>
        <w:jc w:val="both"/>
      </w:pPr>
      <w:r>
        <w:tab/>
        <w:tab/>
        <w:tab/>
        <w:t xml:space="preserve">                     ...</w:t>
      </w:r>
    </w:p>
    <w:p w:rsidRPr="002B0D54" w:rsidR="002B0D54" w:rsidP="00865C8A">
      <w:pPr>
        <w:jc w:val="both"/>
      </w:pPr>
      <w:r w:rsidRPr="002B0D54" w:rsidR="00916558">
        <w:t xml:space="preserve"> </w:t>
      </w:r>
    </w:p>
    <w:p w:rsidRPr="002B0D54" w:rsidR="002B0D54" w:rsidP="002B0D54">
      <w:pPr>
        <w:jc w:val="center"/>
      </w:pPr>
    </w:p>
    <w:p w:rsidRPr="002B0D54" w:rsidR="002B0D54" w:rsidP="002B0D54">
      <w:r w:rsidRPr="002B0D54">
        <w:t xml:space="preserve">Red.jud. </w:t>
      </w:r>
      <w:r w:rsidR="00916558">
        <w:t>A0007</w:t>
      </w:r>
      <w:r w:rsidRPr="002B0D54">
        <w:t>/</w:t>
      </w:r>
      <w:r w:rsidR="00916558">
        <w:t>...</w:t>
      </w:r>
    </w:p>
    <w:p w:rsidRPr="002B0D54" w:rsidR="002B0D54" w:rsidP="002B0D54">
      <w:r w:rsidRPr="002B0D54">
        <w:t xml:space="preserve">Tehn.red. </w:t>
      </w:r>
      <w:r w:rsidR="00916558">
        <w:t>...</w:t>
      </w:r>
      <w:r w:rsidRPr="002B0D54">
        <w:t xml:space="preserve"> 4ex.</w:t>
      </w:r>
    </w:p>
    <w:p w:rsidRPr="002B0D54" w:rsidR="002B0D54" w:rsidP="002B0D54">
      <w:r w:rsidRPr="002B0D54">
        <w:t xml:space="preserve">Jud fd. </w:t>
      </w:r>
      <w:r w:rsidR="00916558">
        <w:t>...</w:t>
      </w:r>
    </w:p>
    <w:p w:rsidRPr="002B0D54" w:rsidR="002B0D54" w:rsidP="002B0D54">
      <w:pPr>
        <w:spacing w:after="160" w:line="259" w:lineRule="auto"/>
        <w:rPr>
          <w:rFonts w:eastAsia="Calibri"/>
          <w:lang w:eastAsia="en-US"/>
        </w:rPr>
      </w:pPr>
    </w:p>
    <w:p w:rsidRPr="002B0D54" w:rsidR="00090D1C" w:rsidP="002B0D54"/>
    <w:sectPr w:rsidSect="000D6A47">
      <w:footerReference w:type="default" r:id="rId5"/>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98">
    <w:pPr>
      <w:pStyle w:val="Footer"/>
      <w:jc w:val="center"/>
    </w:pPr>
    <w:r>
      <w:fldChar w:fldCharType="begin"/>
    </w:r>
    <w:r>
      <w:instrText>PAGE   \* MERGEFORMAT</w:instrText>
    </w:r>
    <w:r>
      <w:fldChar w:fldCharType="separate"/>
    </w:r>
    <w:r w:rsidR="00F56CF5">
      <w:rPr>
        <w:noProof/>
      </w:rPr>
      <w:t>1</w:t>
    </w:r>
    <w:r>
      <w:fldChar w:fldCharType="end"/>
    </w:r>
  </w:p>
  <w:p w:rsidR="00753098">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mirrorMargins/>
  <w:stylePaneFormatFilter w:val="3F01"/>
  <w:doNotTrackMoves/>
  <w:defaultTabStop w:val="709"/>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457F3"/>
    <w:rsid w:val="000654FD"/>
    <w:rsid w:val="00074F1D"/>
    <w:rsid w:val="00084103"/>
    <w:rsid w:val="00090D1C"/>
    <w:rsid w:val="000D6A47"/>
    <w:rsid w:val="00190DF5"/>
    <w:rsid w:val="00222265"/>
    <w:rsid w:val="00230098"/>
    <w:rsid w:val="00236F8B"/>
    <w:rsid w:val="002B0D54"/>
    <w:rsid w:val="00310770"/>
    <w:rsid w:val="003676FC"/>
    <w:rsid w:val="003842F4"/>
    <w:rsid w:val="003D0F93"/>
    <w:rsid w:val="004163FD"/>
    <w:rsid w:val="00434264"/>
    <w:rsid w:val="004362D5"/>
    <w:rsid w:val="00444EB7"/>
    <w:rsid w:val="00483536"/>
    <w:rsid w:val="00513709"/>
    <w:rsid w:val="005E0080"/>
    <w:rsid w:val="00643179"/>
    <w:rsid w:val="006C6DA3"/>
    <w:rsid w:val="00753098"/>
    <w:rsid w:val="007E1C21"/>
    <w:rsid w:val="00865C8A"/>
    <w:rsid w:val="008D6F98"/>
    <w:rsid w:val="00902C7A"/>
    <w:rsid w:val="00916558"/>
    <w:rsid w:val="0092128E"/>
    <w:rsid w:val="00982CB8"/>
    <w:rsid w:val="009847E9"/>
    <w:rsid w:val="009876B0"/>
    <w:rsid w:val="009B7961"/>
    <w:rsid w:val="00A21BAF"/>
    <w:rsid w:val="00A56F73"/>
    <w:rsid w:val="00A74B82"/>
    <w:rsid w:val="00BC4A1A"/>
    <w:rsid w:val="00BC5260"/>
    <w:rsid w:val="00BE72BC"/>
    <w:rsid w:val="00BF0E6F"/>
    <w:rsid w:val="00BF1427"/>
    <w:rsid w:val="00C071C6"/>
    <w:rsid w:val="00CC465A"/>
    <w:rsid w:val="00D533E6"/>
    <w:rsid w:val="00E46E2C"/>
    <w:rsid w:val="00F035C2"/>
    <w:rsid w:val="00F56CF5"/>
    <w:rsid w:val="00FA42F3"/>
  </w:rsids>
  <w:docVars>
    <w:docVar w:name="url" w:val="http://10.19.48.53:80/ecris_cdms/document_upload.aspx?id_document=5400000001668435&amp;id_departament=5&amp;id_sesiune=2476361&amp;id_user=328&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2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uiPriority w:val="99"/>
    <w:pPr>
      <w:spacing w:before="100" w:beforeAutospacing="1" w:after="100" w:afterAutospacing="1"/>
    </w:pPr>
  </w:style>
  <w:style w:type="paragraph" w:styleId="Header">
    <w:name w:val="header"/>
    <w:basedOn w:val="Normal"/>
    <w:link w:val="HeaderChar"/>
    <w:rsid w:val="00753098"/>
    <w:pPr>
      <w:tabs>
        <w:tab w:val="center" w:pos="4536"/>
        <w:tab w:val="right" w:pos="9072"/>
      </w:tabs>
    </w:pPr>
  </w:style>
  <w:style w:type="character" w:customStyle="1" w:styleId="HeaderChar">
    <w:name w:val="Header Char"/>
    <w:link w:val="Header"/>
    <w:rsid w:val="00753098"/>
    <w:rPr>
      <w:sz w:val="24"/>
      <w:szCs w:val="24"/>
    </w:rPr>
  </w:style>
  <w:style w:type="paragraph" w:styleId="Footer">
    <w:name w:val="footer"/>
    <w:basedOn w:val="Normal"/>
    <w:link w:val="FooterChar"/>
    <w:uiPriority w:val="99"/>
    <w:rsid w:val="00753098"/>
    <w:pPr>
      <w:tabs>
        <w:tab w:val="center" w:pos="4536"/>
        <w:tab w:val="right" w:pos="9072"/>
      </w:tabs>
    </w:pPr>
  </w:style>
  <w:style w:type="character" w:customStyle="1" w:styleId="FooterChar">
    <w:name w:val="Footer Char"/>
    <w:link w:val="Footer"/>
    <w:uiPriority w:val="99"/>
    <w:rsid w:val="00753098"/>
    <w:rPr>
      <w:sz w:val="24"/>
      <w:szCs w:val="24"/>
    </w:rPr>
  </w:style>
  <w:style w:type="paragraph" w:styleId="BodyText">
    <w:name w:val="Body Text"/>
    <w:basedOn w:val="Normal"/>
    <w:link w:val="BodyTextChar"/>
    <w:unhideWhenUsed/>
    <w:qFormat/>
    <w:rsid w:val="007E1C21"/>
    <w:pPr>
      <w:widowControl w:val="0"/>
      <w:spacing w:line="256" w:lineRule="auto"/>
      <w:ind w:firstLine="400"/>
    </w:pPr>
    <w:rPr>
      <w:rFonts w:ascii="Trebuchet MS" w:eastAsia="Trebuchet MS" w:hAnsi="Trebuchet MS" w:cs="Trebuchet MS"/>
      <w:sz w:val="20"/>
      <w:szCs w:val="20"/>
      <w:lang w:val="en-US" w:eastAsia="en-US"/>
    </w:rPr>
  </w:style>
  <w:style w:type="character" w:customStyle="1" w:styleId="BodyTextChar">
    <w:name w:val="Body Text Char"/>
    <w:link w:val="BodyText"/>
    <w:rsid w:val="007E1C21"/>
    <w:rPr>
      <w:rFonts w:ascii="Trebuchet MS" w:eastAsia="Trebuchet MS" w:hAnsi="Trebuchet MS" w:cs="Trebuchet MS"/>
      <w:lang w:val="en-US" w:eastAsia="en-US"/>
    </w:rPr>
  </w:style>
  <w:style w:type="character" w:styleId="Hyperlink">
    <w:name w:val="Hyperlink"/>
    <w:uiPriority w:val="99"/>
    <w:unhideWhenUsed/>
    <w:rsid w:val="007E1C21"/>
    <w:rPr>
      <w:color w:val="0000FF"/>
      <w:u w:val="single"/>
    </w:rPr>
  </w:style>
  <w:style w:type="character" w:customStyle="1" w:styleId="rvts10">
    <w:name w:val="rvts10"/>
    <w:rsid w:val="007E1C21"/>
  </w:style>
  <w:style w:type="character" w:customStyle="1" w:styleId="rvts9">
    <w:name w:val="rvts9"/>
    <w:rsid w:val="007E1C21"/>
  </w:style>
  <w:style w:type="character" w:styleId="Emphasis">
    <w:name w:val="Emphasis"/>
    <w:uiPriority w:val="20"/>
    <w:qFormat/>
    <w:rsid w:val="007E1C21"/>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javascript:OpenDocumentView(285279,%205409255);" TargetMode="Externa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43</ap:TotalTime>
  <ap:Pages>11</ap:Pages>
  <ap:Words>6189</ap:Words>
  <ap:Characters>35281</ap:Characters>
  <ap:Application>Microsoft Office Word</ap:Application>
  <ap:DocSecurity>0</ap:DocSecurity>
  <ap:Lines>294</ap:Lines>
  <ap:Paragraphs>82</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41388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