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E61C2E" w14:paraId="4BCBFC2B" w14:textId="36842C97">
      <w:r>
        <w:t xml:space="preserve"> </w:t>
      </w:r>
    </w:p>
    <w:p w:rsidR="00E61C2E" w14:paraId="6B95D92E" w14:textId="1B306E31">
      <w:pPr>
        <w:ind w:right="-709"/>
        <w:rPr>
          <w:rStyle w:val="Fontdeparagrafimplicit"/>
          <w:b/>
        </w:rPr>
      </w:pPr>
      <w:bookmarkStart w:name="_Hlk236743749" w:id="0"/>
      <w:r>
        <w:rPr>
          <w:rStyle w:val="Fontdeparagrafimplicit"/>
          <w:b/>
        </w:rPr>
        <w:t xml:space="preserve">Dosar nr. </w:t>
      </w:r>
      <w:r w:rsidR="00911FF6">
        <w:rPr>
          <w:rStyle w:val="Fontdeparagrafimplicit"/>
          <w:b/>
        </w:rPr>
        <w:t>1</w:t>
      </w:r>
    </w:p>
    <w:bookmarkEnd w:id="0"/>
    <w:p w:rsidR="00E61C2E" w14:paraId="6EB9B890" w14:textId="6BFA0D3E">
      <w:pPr>
        <w:ind w:right="-709"/>
      </w:pPr>
      <w:r>
        <w:t xml:space="preserve"> </w:t>
      </w:r>
    </w:p>
    <w:p w:rsidR="00E61C2E" w14:paraId="65EA5A15" w14:textId="77777777">
      <w:pPr>
        <w:ind w:right="-709"/>
      </w:pPr>
    </w:p>
    <w:p w:rsidR="00E61C2E" w14:paraId="6A8EB583" w14:textId="77777777">
      <w:pPr>
        <w:ind w:right="-33"/>
        <w:jc w:val="center"/>
        <w:rPr>
          <w:rStyle w:val="Fontdeparagrafimplicit"/>
          <w:b/>
        </w:rPr>
      </w:pPr>
      <w:r>
        <w:rPr>
          <w:rStyle w:val="Fontdeparagrafimplicit"/>
          <w:b/>
        </w:rPr>
        <w:t>ROMÂNIA</w:t>
      </w:r>
    </w:p>
    <w:p w:rsidR="00E61C2E" w14:paraId="7FD65347" w14:textId="681FEE04">
      <w:pPr>
        <w:ind w:right="-33"/>
        <w:jc w:val="center"/>
      </w:pPr>
      <w:r>
        <w:t xml:space="preserve">CURTEA DE APEL </w:t>
      </w:r>
      <w:r w:rsidR="00911FF6">
        <w:t xml:space="preserve">                 </w:t>
      </w:r>
      <w:r>
        <w:t xml:space="preserve"> </w:t>
      </w:r>
    </w:p>
    <w:p w:rsidR="00E61C2E" w14:paraId="5C45D230" w14:textId="37A8F2AB">
      <w:pPr>
        <w:ind w:right="-33"/>
        <w:jc w:val="center"/>
      </w:pPr>
      <w:r>
        <w:t xml:space="preserve">SECŢIA </w:t>
      </w:r>
      <w:r w:rsidR="00911FF6">
        <w:t xml:space="preserve"> </w:t>
      </w:r>
    </w:p>
    <w:p w:rsidR="00E61C2E" w14:paraId="7D9D5DF7" w14:textId="3600AADB">
      <w:pPr>
        <w:ind w:right="-33"/>
        <w:jc w:val="center"/>
        <w:rPr>
          <w:rStyle w:val="Fontdeparagrafimplicit"/>
          <w:b/>
        </w:rPr>
      </w:pPr>
      <w:bookmarkStart w:name="_Hlk236743763" w:id="1"/>
      <w:r>
        <w:rPr>
          <w:rStyle w:val="Fontdeparagrafimplicit"/>
          <w:b/>
        </w:rPr>
        <w:t xml:space="preserve">DECIZIA </w:t>
      </w:r>
      <w:r w:rsidR="0029320D">
        <w:rPr>
          <w:rStyle w:val="Fontdeparagrafimplicit"/>
          <w:b/>
        </w:rPr>
        <w:t xml:space="preserve"> </w:t>
      </w:r>
      <w:r>
        <w:rPr>
          <w:rStyle w:val="Fontdeparagrafimplicit"/>
          <w:b/>
        </w:rPr>
        <w:t xml:space="preserve"> nr. </w:t>
      </w:r>
      <w:r w:rsidR="00911FF6">
        <w:rPr>
          <w:rStyle w:val="Fontdeparagrafimplicit"/>
          <w:b/>
        </w:rPr>
        <w:t>15</w:t>
      </w:r>
    </w:p>
    <w:bookmarkEnd w:id="1"/>
    <w:p w:rsidR="00E61C2E" w14:paraId="192AC777" w14:textId="2B299DC4">
      <w:pPr>
        <w:ind w:right="-33"/>
        <w:jc w:val="center"/>
      </w:pPr>
      <w:r>
        <w:t xml:space="preserve">Şedinţa publica din data de </w:t>
      </w:r>
      <w:r w:rsidR="00911FF6">
        <w:t xml:space="preserve"> </w:t>
      </w:r>
    </w:p>
    <w:p w:rsidR="00E61C2E" w14:paraId="1932E817" w14:textId="77777777">
      <w:pPr>
        <w:ind w:right="-33"/>
        <w:jc w:val="center"/>
      </w:pPr>
      <w:r>
        <w:rPr>
          <w:rStyle w:val="Fontdeparagrafimplicit"/>
          <w:b/>
        </w:rPr>
        <w:t xml:space="preserve">Curtea </w:t>
      </w:r>
      <w:r>
        <w:t>constituită din:</w:t>
      </w:r>
    </w:p>
    <w:p w:rsidR="00E61C2E" w14:paraId="50FE7540" w14:textId="78576C61">
      <w:pPr>
        <w:ind w:right="-33"/>
        <w:jc w:val="center"/>
      </w:pPr>
      <w:r>
        <w:t xml:space="preserve">PREŞEDINTE: </w:t>
      </w:r>
      <w:r w:rsidR="00911FF6">
        <w:t xml:space="preserve"> </w:t>
      </w:r>
    </w:p>
    <w:p w:rsidR="00E61C2E" w14:paraId="4CE4E93F" w14:textId="1703B9EE">
      <w:pPr>
        <w:ind w:right="-33"/>
        <w:jc w:val="center"/>
      </w:pPr>
      <w:r>
        <w:t xml:space="preserve">JUDECĂTOR: </w:t>
      </w:r>
      <w:r w:rsidR="00911FF6">
        <w:t xml:space="preserve">A0002 </w:t>
      </w:r>
    </w:p>
    <w:p w:rsidR="00E61C2E" w14:paraId="04D4FD4B" w14:textId="011D7DDB">
      <w:pPr>
        <w:ind w:right="-33"/>
        <w:jc w:val="center"/>
      </w:pPr>
      <w:r>
        <w:t xml:space="preserve">GREFIER: </w:t>
      </w:r>
      <w:r w:rsidR="00911FF6">
        <w:t xml:space="preserve"> </w:t>
      </w:r>
    </w:p>
    <w:p w:rsidR="00E61C2E" w14:paraId="7A05CCD5" w14:textId="77777777">
      <w:pPr>
        <w:ind w:right="-709"/>
        <w:rPr>
          <w:rStyle w:val="Fontdeparagrafimplicit"/>
          <w:b/>
        </w:rPr>
      </w:pPr>
    </w:p>
    <w:p w:rsidR="00E61C2E" w14:paraId="4B8FF61F" w14:textId="2574F90E">
      <w:pPr>
        <w:ind w:right="-33" w:firstLine="858"/>
        <w:jc w:val="both"/>
      </w:pPr>
      <w:r>
        <w:rPr>
          <w:rStyle w:val="Fontdeparagrafimplicit"/>
          <w:b/>
        </w:rPr>
        <w:t>Ministerul Public</w:t>
      </w:r>
      <w:r>
        <w:t xml:space="preserve"> – Parchetul de pe lângă Curtea de Apel </w:t>
      </w:r>
      <w:r w:rsidR="00911FF6">
        <w:t xml:space="preserve">                 </w:t>
      </w:r>
      <w:r>
        <w:t xml:space="preserve"> a fost reprezentat prin procuror </w:t>
      </w:r>
      <w:r w:rsidR="00911FF6">
        <w:t xml:space="preserve"> </w:t>
      </w:r>
      <w:r>
        <w:t>.</w:t>
      </w:r>
    </w:p>
    <w:p w:rsidR="00E61C2E" w14:paraId="6CE1EF15" w14:textId="27572B36">
      <w:pPr>
        <w:ind w:right="-33" w:firstLine="858"/>
        <w:jc w:val="both"/>
      </w:pPr>
      <w:r>
        <w:t xml:space="preserve">Pe rol se află pronunţarea asupra cauzei penale având ca obiect </w:t>
      </w:r>
      <w:r>
        <w:rPr>
          <w:rStyle w:val="Fontdeparagrafimplicit"/>
          <w:b/>
        </w:rPr>
        <w:t xml:space="preserve">apelul </w:t>
      </w:r>
      <w:r>
        <w:t xml:space="preserve">formulat de către </w:t>
      </w:r>
      <w:r>
        <w:rPr>
          <w:rStyle w:val="Fontdeparagrafimplicit"/>
          <w:i/>
        </w:rPr>
        <w:t xml:space="preserve">inculpatul  </w:t>
      </w:r>
      <w:r w:rsidR="00911FF6">
        <w:rPr>
          <w:rStyle w:val="Fontdeparagrafimplicit"/>
          <w:b/>
        </w:rPr>
        <w:t xml:space="preserve">2       </w:t>
      </w:r>
      <w:r>
        <w:t xml:space="preserve"> împotriva sentinţei penale nr. </w:t>
      </w:r>
      <w:r w:rsidR="00911FF6">
        <w:t xml:space="preserve">3/2016 </w:t>
      </w:r>
      <w:r>
        <w:t xml:space="preserve"> pronunţată de Judecătoria </w:t>
      </w:r>
      <w:r w:rsidR="00911FF6">
        <w:t xml:space="preserve">              </w:t>
      </w:r>
      <w:r>
        <w:t xml:space="preserve"> </w:t>
      </w:r>
      <w:r w:rsidR="00911FF6">
        <w:t xml:space="preserve">                 </w:t>
      </w:r>
      <w:r>
        <w:t xml:space="preserve"> în dosarul nr. </w:t>
      </w:r>
      <w:r w:rsidR="00911FF6">
        <w:t xml:space="preserve">1/2016 </w:t>
      </w:r>
      <w:r>
        <w:t xml:space="preserve">. </w:t>
      </w:r>
    </w:p>
    <w:p w:rsidR="00E61C2E" w14:paraId="329DE115" w14:textId="34B797FC">
      <w:pPr>
        <w:ind w:right="-33" w:firstLine="858"/>
        <w:jc w:val="both"/>
      </w:pPr>
      <w:r>
        <w:t xml:space="preserve">Dezbaterile au avut loc în şedinţa publică din data de </w:t>
      </w:r>
      <w:r w:rsidR="00911FF6">
        <w:t xml:space="preserve"> </w:t>
      </w:r>
      <w:r>
        <w:t xml:space="preserve">, fiind consemnate în încheierea de şedinţă de la data respectivă, care face parte integrantă din această decizie, când Curtea, având nevoie de timp pentru a delibera, a stabilit pronunţarea la data de </w:t>
      </w:r>
      <w:r w:rsidR="00911FF6">
        <w:t xml:space="preserve"> </w:t>
      </w:r>
      <w:r>
        <w:t xml:space="preserve">, astăzi, când în aceeaşi compunere, </w:t>
      </w:r>
    </w:p>
    <w:p w:rsidR="00E61C2E" w14:paraId="6DD09E32" w14:textId="77777777">
      <w:pPr>
        <w:ind w:right="-33" w:firstLine="858"/>
      </w:pPr>
    </w:p>
    <w:p w:rsidR="00E61C2E" w14:paraId="7751CD83" w14:textId="77777777">
      <w:pPr>
        <w:jc w:val="center"/>
        <w:rPr>
          <w:rStyle w:val="Fontdeparagrafimplicit"/>
          <w:b/>
        </w:rPr>
      </w:pPr>
      <w:r>
        <w:rPr>
          <w:rStyle w:val="Fontdeparagrafimplicit"/>
          <w:b/>
        </w:rPr>
        <w:t>CURTEA,</w:t>
      </w:r>
    </w:p>
    <w:p w:rsidR="00E61C2E" w14:paraId="1846036B" w14:textId="77777777">
      <w:pPr>
        <w:ind w:firstLine="832"/>
        <w:rPr>
          <w:rStyle w:val="Fontdeparagrafimplicit"/>
        </w:rPr>
      </w:pPr>
    </w:p>
    <w:p w:rsidR="00E61C2E" w14:paraId="50FDD7D8" w14:textId="77777777">
      <w:pPr>
        <w:ind w:firstLine="832"/>
        <w:jc w:val="both"/>
      </w:pPr>
      <w:r>
        <w:t>Deliberând asupra apelului penal de faţă, din actele şi lucrările dosarului, constată şi reţine următoarele:</w:t>
      </w:r>
    </w:p>
    <w:p w:rsidR="00E61C2E" w14:paraId="354E473F" w14:textId="5D2BF2A7">
      <w:pPr>
        <w:ind w:firstLine="900"/>
        <w:jc w:val="both"/>
      </w:pPr>
      <w:r>
        <w:rPr>
          <w:rStyle w:val="Fontdeparagrafimplicit"/>
          <w:b/>
        </w:rPr>
        <w:t xml:space="preserve">Prin sentinţa penală nr. </w:t>
      </w:r>
      <w:r w:rsidR="00911FF6">
        <w:rPr>
          <w:rStyle w:val="Fontdeparagrafimplicit"/>
          <w:b/>
        </w:rPr>
        <w:t xml:space="preserve">3/2016 </w:t>
      </w:r>
      <w:r>
        <w:t xml:space="preserve">, pronunţată de Judecătoria </w:t>
      </w:r>
      <w:r w:rsidR="00911FF6">
        <w:t xml:space="preserve">              </w:t>
      </w:r>
      <w:r>
        <w:t xml:space="preserve"> </w:t>
      </w:r>
      <w:r w:rsidR="00911FF6">
        <w:t xml:space="preserve">                 </w:t>
      </w:r>
      <w:r>
        <w:t xml:space="preserve">, în baza art.233-art.234 alin.1 lit.d Cod penal, cu aplic. art.396 alin.10 Cod procedură penală, a fost condamnat inculpatul </w:t>
      </w:r>
      <w:r w:rsidR="00911FF6">
        <w:t xml:space="preserve">2       </w:t>
      </w:r>
      <w:r>
        <w:t xml:space="preserve"> la pedeapsa de 4 ani închisoare pentru săvârşirea infracţiunii de tâlhărie calificată.</w:t>
      </w:r>
    </w:p>
    <w:p w:rsidR="00E61C2E" w14:paraId="17100432" w14:textId="155CA82E">
      <w:pPr>
        <w:ind w:firstLine="900"/>
        <w:jc w:val="both"/>
      </w:pPr>
      <w:r>
        <w:t>În baza art.67 Cod penal s-a aplicat inculpatului pedeapsa complementară a interzicerii exercitării drepturilor de a fi ales în autorităţile publice sau în orice alte funcţii publice, de a ocupa o funcţie care implică exerciţiul autorităţii de stat, de a comunica cu victima (</w:t>
      </w:r>
      <w:r w:rsidR="00911FF6">
        <w:t xml:space="preserve">4 </w:t>
      </w:r>
      <w:r>
        <w:t>) ori de a se apropia de aceasta, prev. de art.66 alin.1 lit.a, b şi n Cod penal, pe o perioadă de 3 ani, după executarea pedepsei închisorii.</w:t>
      </w:r>
    </w:p>
    <w:p w:rsidR="00E61C2E" w14:paraId="5C7DB081" w14:textId="77777777">
      <w:pPr>
        <w:ind w:firstLine="900"/>
        <w:jc w:val="both"/>
      </w:pPr>
      <w:r>
        <w:t>În baza art.65 alin.1, 3 Cod penal, a fost interzisă inculpatului, ca pedeapsă accesorie, exercitarea drepturilor prevăzute de art.66 alin.1 lit.a, b şi n Cod penal.</w:t>
      </w:r>
    </w:p>
    <w:p w:rsidR="00E61C2E" w14:paraId="5CE9237F" w14:textId="5ED873B2">
      <w:pPr>
        <w:ind w:firstLine="900"/>
        <w:jc w:val="both"/>
      </w:pPr>
      <w:r>
        <w:t xml:space="preserve">În baza art.72 alin.1 Cod penal, s-a dedus din pedeapsă durata reţinerii şi arestării preventive de la data de </w:t>
      </w:r>
      <w:r w:rsidR="000418A9">
        <w:t xml:space="preserve"> </w:t>
      </w:r>
      <w:r>
        <w:t xml:space="preserve">.08.2016 la zi, iar în baza art.399 alin.1, 4 Cod procedură penală, a fost menţinută arestarea preventivă a inculpatului </w:t>
      </w:r>
      <w:r w:rsidR="00911FF6">
        <w:t xml:space="preserve">2       </w:t>
      </w:r>
      <w:r>
        <w:t xml:space="preserve"> (mandat de arestare nr. </w:t>
      </w:r>
      <w:r w:rsidR="00911FF6">
        <w:t xml:space="preserve">    </w:t>
      </w:r>
      <w:r>
        <w:t>/</w:t>
      </w:r>
      <w:r w:rsidR="000418A9">
        <w:t xml:space="preserve"> </w:t>
      </w:r>
      <w:r>
        <w:t xml:space="preserve">.08.2016 emis de judecătorul de drepturi şi libertăţi din cadrul Judecătoriei </w:t>
      </w:r>
      <w:r w:rsidR="00911FF6">
        <w:t xml:space="preserve">              </w:t>
      </w:r>
      <w:r>
        <w:t xml:space="preserve"> </w:t>
      </w:r>
      <w:r w:rsidR="00911FF6">
        <w:t xml:space="preserve">                 </w:t>
      </w:r>
      <w:r>
        <w:t>).</w:t>
      </w:r>
    </w:p>
    <w:p w:rsidR="00E61C2E" w14:paraId="7703A8C8" w14:textId="77777777">
      <w:pPr>
        <w:ind w:firstLine="900"/>
        <w:jc w:val="both"/>
      </w:pPr>
      <w:r>
        <w:t>În baza art.7 din Legea nr. 76/2008 privind organizarea şi funcţionarea Sistemului Naţional de Date Genetice Judiciare, s-a dispus prelevarea probelor biologice de la inculpat în vederea introducerii profilelor genetice în S.N.D.G.J.</w:t>
      </w:r>
    </w:p>
    <w:p w:rsidR="00E61C2E" w14:paraId="626F0534" w14:textId="2ED07E86">
      <w:pPr>
        <w:ind w:firstLine="900"/>
        <w:jc w:val="both"/>
      </w:pPr>
      <w:r>
        <w:t xml:space="preserve">În baza art.397 alin.1 rap. la art.19, art.23 Cod procedură penală, a fost admisă acţiunea civilă exercitată de </w:t>
      </w:r>
      <w:r w:rsidR="00911FF6">
        <w:t xml:space="preserve">4 </w:t>
      </w:r>
      <w:r>
        <w:t xml:space="preserve"> (cu domiciliul în </w:t>
      </w:r>
      <w:r w:rsidR="00911FF6">
        <w:t xml:space="preserve">                 </w:t>
      </w:r>
      <w:r>
        <w:t xml:space="preserve">, </w:t>
      </w:r>
      <w:r w:rsidR="00911FF6">
        <w:t xml:space="preserve"> </w:t>
      </w:r>
      <w:r>
        <w:t xml:space="preserve"> nr.</w:t>
      </w:r>
      <w:r w:rsidR="00911FF6">
        <w:t xml:space="preserve"> </w:t>
      </w:r>
      <w:r>
        <w:t xml:space="preserve">, </w:t>
      </w:r>
      <w:r w:rsidR="00911FF6">
        <w:t xml:space="preserve">            </w:t>
      </w:r>
      <w:r>
        <w:t xml:space="preserve">, CNP </w:t>
      </w:r>
      <w:r w:rsidR="00911FF6">
        <w:t xml:space="preserve"> </w:t>
      </w:r>
      <w:r>
        <w:t xml:space="preserve">) şi a fost obligat inculpatul </w:t>
      </w:r>
      <w:r w:rsidR="00911FF6">
        <w:t xml:space="preserve">2       </w:t>
      </w:r>
      <w:r>
        <w:t xml:space="preserve"> la plata sumei de 350 lei către partea civilă </w:t>
      </w:r>
      <w:r w:rsidR="00911FF6">
        <w:t xml:space="preserve">4 </w:t>
      </w:r>
      <w:r>
        <w:t>, reprezentând daune morale.</w:t>
      </w:r>
    </w:p>
    <w:p w:rsidR="00E61C2E" w14:paraId="5827822B" w14:textId="20AA3689">
      <w:pPr>
        <w:ind w:firstLine="900"/>
        <w:jc w:val="both"/>
      </w:pPr>
      <w:r>
        <w:t xml:space="preserve">În baza art.397 alin.1 rap. la art.19, art.23 Cod procedură penală, coroborat cu art.320 alin.1 din Legea nr.95/2006, a fost admisă acţiunea civilă exercitată de SPITALUL CLINIC DE </w:t>
      </w:r>
      <w:r>
        <w:t>URGENŢĂ “</w:t>
      </w:r>
      <w:r w:rsidR="00911FF6">
        <w:t xml:space="preserve">AAA </w:t>
      </w:r>
      <w:r>
        <w:t xml:space="preserve">” (cu sediul în </w:t>
      </w:r>
      <w:r w:rsidR="00911FF6">
        <w:t xml:space="preserve">                 </w:t>
      </w:r>
      <w:r>
        <w:t xml:space="preserve">, </w:t>
      </w:r>
      <w:r w:rsidR="00911FF6">
        <w:t xml:space="preserve">    </w:t>
      </w:r>
      <w:r>
        <w:t xml:space="preserve">) şi a fost obligat inculpatul </w:t>
      </w:r>
      <w:r w:rsidR="00911FF6">
        <w:t xml:space="preserve">2       </w:t>
      </w:r>
      <w:r>
        <w:t xml:space="preserve"> la plata sumei de 273 lei către partea civilă Spitalul Clinic de Urgenţă “</w:t>
      </w:r>
      <w:r w:rsidR="00911FF6">
        <w:t xml:space="preserve">AAA </w:t>
      </w:r>
      <w:r>
        <w:t>”, reprezentând despăgubiri materiale.</w:t>
      </w:r>
    </w:p>
    <w:p w:rsidR="00E61C2E" w14:paraId="7EB98322" w14:textId="77777777">
      <w:pPr>
        <w:ind w:firstLine="900"/>
        <w:jc w:val="both"/>
      </w:pPr>
      <w:r>
        <w:t>În baza art.274 alin.1 Cod procedură penală, a fost obligat inculpatul la plata sumei de 1.500 lei, reprezentând cheltuieli judiciare avansate de stat.</w:t>
      </w:r>
    </w:p>
    <w:p w:rsidR="00E61C2E" w14:paraId="2DE8B58D" w14:textId="1C663259">
      <w:pPr>
        <w:ind w:firstLine="832"/>
        <w:jc w:val="both"/>
      </w:pPr>
      <w:r>
        <w:t xml:space="preserve">Pentru a pronunţa această sentinţă, judecătorul fondului a reţinut, în fapt, că în data de </w:t>
      </w:r>
      <w:r w:rsidR="00911FF6">
        <w:t xml:space="preserve"> </w:t>
      </w:r>
      <w:r>
        <w:t xml:space="preserve">.2016, în jurul orei 22:25, inculpatul </w:t>
      </w:r>
      <w:r w:rsidR="00911FF6">
        <w:t xml:space="preserve">2       </w:t>
      </w:r>
      <w:r>
        <w:t xml:space="preserve"> a lovit-o pe numita </w:t>
      </w:r>
      <w:r w:rsidR="00911FF6">
        <w:t xml:space="preserve">4 </w:t>
      </w:r>
      <w:r>
        <w:t xml:space="preserve">, fosta concubină, de mai multe ori cu pumnii şi picioarele, cauzându-i acesteia contuzii toraco-abdominale, fracturi costale arcuri laterale VII şi VIII drepte şi un număr de 14-16 zile de îngrijiri medicale, după care i-a sustras portofelul şi telefonul mobil marca </w:t>
      </w:r>
      <w:r w:rsidR="00911FF6">
        <w:t xml:space="preserve">                  </w:t>
      </w:r>
      <w:r>
        <w:t xml:space="preserve"> de culoare neagră, în timp ce se afla pe şos.</w:t>
      </w:r>
      <w:r w:rsidR="00911FF6">
        <w:t xml:space="preserve">                  </w:t>
      </w:r>
      <w:r>
        <w:t>, nr.</w:t>
      </w:r>
      <w:r w:rsidR="00911FF6">
        <w:t xml:space="preserve"> </w:t>
      </w:r>
      <w:r>
        <w:t xml:space="preserve">, </w:t>
      </w:r>
      <w:r w:rsidR="00911FF6">
        <w:t xml:space="preserve">                  </w:t>
      </w:r>
      <w:r>
        <w:t>.</w:t>
      </w:r>
    </w:p>
    <w:p w:rsidR="00E61C2E" w14:paraId="5389A1FC" w14:textId="77777777">
      <w:pPr>
        <w:ind w:firstLine="832"/>
        <w:jc w:val="both"/>
      </w:pPr>
      <w:r>
        <w:t>Situaţia de fapt, astfel cum a fost descrisă, a fost temeinic dovedită, pe baza mijloacelor de probă administrate în faza de urmărire penală, probe pe care inculpatul şi le-a însuşit, solicitând judecarea cauzei în procedură simplificată.</w:t>
      </w:r>
    </w:p>
    <w:p w:rsidR="00E61C2E" w14:paraId="6218307D" w14:textId="6698BFFD">
      <w:pPr>
        <w:ind w:firstLine="900"/>
        <w:jc w:val="both"/>
      </w:pPr>
      <w:r>
        <w:t xml:space="preserve">Probele se află la dosar, iar instanţa de fond le-a individualizat şi analizat pe larg, concluzionând că, în drept, fapta inculpatului </w:t>
      </w:r>
      <w:r w:rsidR="00911FF6">
        <w:t xml:space="preserve">2       </w:t>
      </w:r>
      <w:r>
        <w:t xml:space="preserve"> întruneşte elementele constitutive ale infracţiunii de tâlhărie calificată, prev. de art.233-art.234 alin.1 lit.d Cod penal.</w:t>
      </w:r>
    </w:p>
    <w:p w:rsidR="00E61C2E" w14:paraId="5509137C" w14:textId="77777777">
      <w:pPr>
        <w:ind w:firstLine="900"/>
        <w:jc w:val="both"/>
      </w:pPr>
      <w:r>
        <w:t xml:space="preserve">La individualizarea judiciară a pedepsei ce a fost aplicată, judecătorul fondului a ţinut seama de criteriile generale prevăzute de art.74 Cod penal, de incidenţa art. 396 alin. 10 Cod procedură penală cu privire la reducerea limitelor de pedeapsă cu o treime în cazul aplicării procedurii simplificate a recunoaşterii învinuirii, acestea fiind situate între 2 ani şi 6 ani şi 8 luni închisoare, precum şi de pericolul social crescut al faptei, care este dat de modul de comitere a acesteia, de mijloacele folosite, respectiv săvârşirea faptei prin acte de violenţă comise în loc public asupra unei persoane de sex feminin, brutalitatea şi violenţa cu care a acţionat inculpatul, urmările produse asupra integrităţii persoanei vătămate. </w:t>
      </w:r>
    </w:p>
    <w:p w:rsidR="00E61C2E" w14:paraId="583D6159" w14:textId="77777777">
      <w:pPr>
        <w:ind w:firstLine="900"/>
        <w:jc w:val="both"/>
      </w:pPr>
      <w:r>
        <w:t>Chiar dacă inculpatul nu este cunoscut cu antecedente penale, modalitatea, împrejurările săvârşirii faptei, violenţa cu care a acţionat şi consecinţele produse asupra victimei impun, în aprecierea instanţei, ca executarea pedepsei să se facă în regim de detenţie.</w:t>
      </w:r>
    </w:p>
    <w:p w:rsidR="00E61C2E" w14:paraId="45CC835A" w14:textId="77777777">
      <w:pPr>
        <w:ind w:firstLine="900"/>
        <w:jc w:val="both"/>
      </w:pPr>
      <w:r>
        <w:t>Faţă de aspectele reţinute mai sus, în vederea atingerii scopului educativ şi preventiv al pedepsei, judecătorul fondului i-a aplicat inculpatului o pedeapsă cu închisoarea, într-un cuantum orientat spre mediu, care să ţină seama şi de circumstanţele personale ale acestuia, pentru a reflecta toate criteriile ce caracterizează individualizarea judiciară a pedepselor, dându-se relevanţă şi principiului proporţionalităţii între gravitatea faptei comise şi profilul socio-moral şi de personalitate al inculpatului.</w:t>
      </w:r>
    </w:p>
    <w:p w:rsidR="00E61C2E" w14:paraId="51D7DC60" w14:textId="77777777">
      <w:pPr>
        <w:ind w:firstLine="900"/>
        <w:jc w:val="both"/>
      </w:pPr>
      <w:r>
        <w:t xml:space="preserve">Procedând la soluţionarea laturii civile a cauzei, judecătorul fondului a constatat că sunt îndeplinite condiţiile angajării răspunderii civile delictuale, privind existenţa unui prejudiciu nereparat încă, a faptei ilicite a inculpatului şi a legăturii de cauzalitate existente între fapta inculpatului, comisă cu intenţie, şi producerea prejudiciului. </w:t>
      </w:r>
    </w:p>
    <w:p w:rsidR="00E61C2E" w14:paraId="612E300E" w14:textId="5A8BFB9F">
      <w:pPr>
        <w:ind w:firstLine="900"/>
        <w:jc w:val="both"/>
      </w:pPr>
      <w:r>
        <w:t xml:space="preserve">Totodată, s-a ţinut seama de faptul că inculpatul a recunoscut pretenţiile părţilor civile, la termenul de judecată, astfel că a admis acţiunile civile formulate de </w:t>
      </w:r>
      <w:r w:rsidR="00911FF6">
        <w:t xml:space="preserve">4 </w:t>
      </w:r>
      <w:r>
        <w:t xml:space="preserve"> şi l-a obligat pe inculpat la plata sumei de 350 lei către aceasta, reprezentând daune morale şi de SPITALUL CLINIC DE URGENŢĂ “</w:t>
      </w:r>
      <w:r w:rsidR="00911FF6">
        <w:t xml:space="preserve">AAA </w:t>
      </w:r>
      <w:r>
        <w:t>” şi l-a obligat pe inculpat la plata sumei de 273 lei către aceasta, reprezentând despăgubiri materiale.</w:t>
      </w:r>
    </w:p>
    <w:p w:rsidR="00E61C2E" w14:paraId="43F6797A" w14:textId="5A241DEB">
      <w:pPr>
        <w:ind w:firstLine="832"/>
        <w:jc w:val="both"/>
      </w:pPr>
      <w:r>
        <w:t xml:space="preserve">Împotriva acestei sentinţe, în termenul legal, a declarat apel inculpatul </w:t>
      </w:r>
      <w:r w:rsidR="00911FF6">
        <w:t xml:space="preserve">2       </w:t>
      </w:r>
      <w:r>
        <w:t>, criticând-o pentru netemeinicie, în esenţă, sub aspectul greşitei individualizări judiciare a pedepsei aplicate.</w:t>
      </w:r>
    </w:p>
    <w:p w:rsidR="00E61C2E" w14:paraId="619F28D7" w14:textId="77777777">
      <w:pPr>
        <w:ind w:right="-59" w:firstLine="858"/>
        <w:jc w:val="both"/>
        <w:rPr>
          <w:rStyle w:val="Fontdeparagrafimplicit"/>
          <w:b/>
        </w:rPr>
      </w:pPr>
      <w:r>
        <w:rPr>
          <w:rStyle w:val="Fontdeparagrafimplicit"/>
          <w:b/>
        </w:rPr>
        <w:t>Analizând hotărârea pronunţată de instanţa de fond, în raport cu toate actele şi lucrările dosarului, cu motivele anterior menţionate, dar şi în conformitate cu art.417 şi următoarele din Codul de procedură penală, Curtea constată că apelul declarat în speţă este nefondat, în considerarea următoarelor argumente:</w:t>
      </w:r>
    </w:p>
    <w:p w:rsidR="00E61C2E" w14:paraId="31EEB30C" w14:textId="3530291D">
      <w:pPr>
        <w:ind w:right="-59" w:firstLine="858"/>
        <w:jc w:val="both"/>
      </w:pPr>
      <w:r>
        <w:t xml:space="preserve">Judecătorul fondului – respectând dispoziţiile legale ce garantează aflarea adevărului, precum şi pe cele ce asigură respectarea drepturilor procesuale ale părţilor, a reţinut, în mod corect, existenţa faptei şi vinovăţia inculpatului </w:t>
      </w:r>
      <w:r w:rsidR="00911FF6">
        <w:t xml:space="preserve">2       </w:t>
      </w:r>
      <w:r>
        <w:t>, adoptând – sub acest aspect – o soluţie legală, care va fi confirmată şi de către instanţa de apel.</w:t>
      </w:r>
    </w:p>
    <w:p w:rsidR="00E61C2E" w14:paraId="2D579F43" w14:textId="77777777">
      <w:pPr>
        <w:ind w:right="-59" w:firstLine="858"/>
        <w:jc w:val="both"/>
      </w:pPr>
      <w:r>
        <w:t>Situaţia de fapt nu comportă critici, întrucât a fost corect reţinută pe baza unui amplu material probator, chiar dacă administrat în faza urmăririi penale, probe care însă se coroborează şi cu recunoaşterile inculpatului din speţă, deşi Curtea le apreciază ca fiind unele pur formale, el fiind pus în faţa unei evidenţe.</w:t>
      </w:r>
    </w:p>
    <w:p w:rsidR="00E61C2E" w14:paraId="1585A742" w14:textId="77777777">
      <w:pPr>
        <w:ind w:right="-59" w:firstLine="858"/>
        <w:jc w:val="both"/>
      </w:pPr>
      <w:r>
        <w:t xml:space="preserve">Judecătorul fondului a aplicat inculpatului (apelant, în speţă) o pedeapsă de 4 ani închisoare pentru infracţiunea de tâlhărie, în condiţiile în care inculpatul a urmărit-o pe partea civilă în timp ce aceasta se întorcea de la serviciu, în timpul nopţii, aplicându-i lovituri cu o intensitate deosebită, provocându-i o contuzie toracală abdominală, fracturi costale arcuri laterale 7 şi 8, necesitând 14 – 16 zile îngrijiri medicale, fiindu-i sustras şi portofelul. </w:t>
      </w:r>
    </w:p>
    <w:p w:rsidR="00E61C2E" w14:paraId="436E4141" w14:textId="77777777">
      <w:pPr>
        <w:ind w:right="-59" w:firstLine="858"/>
        <w:jc w:val="both"/>
      </w:pPr>
      <w:r>
        <w:t>Acest cuantum de pedeapsă a fost orientat spre mediu (în condiţiile reţinerii procedurii simplificate), limitele de pedeapsă înscriindu-se în cele care iniţial au fost reduse potrivit art. 396 alin.10 Cod procedură penală.</w:t>
      </w:r>
    </w:p>
    <w:p w:rsidR="00E61C2E" w14:paraId="77CA2FE1" w14:textId="77777777">
      <w:pPr>
        <w:ind w:right="-59" w:firstLine="858"/>
        <w:jc w:val="both"/>
      </w:pPr>
      <w:r>
        <w:t xml:space="preserve">Periculozitatea inculpatului, precum și gradul de pericol social ridicat al faptei săvârșite  rezidă din lipsa totală de empatie  față de o persoană cu care a dezvoltat relații de afecțiune și în raport cu care a manifestat acțiuni de o agresivitate deosebită, deduse, atât din modul de săvârșire a faptei, cât și din consecințele agresiunii exercitate. </w:t>
      </w:r>
    </w:p>
    <w:p w:rsidR="00E61C2E" w14:paraId="229BBFB4" w14:textId="77777777">
      <w:pPr>
        <w:ind w:right="-59" w:firstLine="858"/>
        <w:jc w:val="both"/>
      </w:pPr>
      <w:r>
        <w:t>Exercitarea unor fapte de  agresiune fizică împotriva unei persoane în grija căreia se aflau în întreținere copii minori, fapt cunoscut de inculpat dată fiind relația de concubinaj pe care a avut-o cu partea vătămată, trădează o incapacitate morală a acestuia de a respecta valori sociale primordiale, fiind un real pericol pentru societate, dar și pentru propria-i persoană.</w:t>
      </w:r>
    </w:p>
    <w:p w:rsidR="00E61C2E" w14:paraId="4C1624B2" w14:textId="61E1FD54">
      <w:pPr>
        <w:ind w:right="-59" w:firstLine="858"/>
        <w:jc w:val="both"/>
        <w:rPr>
          <w:rStyle w:val="Fontdeparagrafimplicit"/>
          <w:color w:val="1D1B11"/>
        </w:rPr>
      </w:pPr>
      <w:r>
        <w:rPr>
          <w:rStyle w:val="Fontdeparagrafimplicit"/>
          <w:color w:val="1D1B11"/>
        </w:rPr>
        <w:t xml:space="preserve">În aceste condiţii, pedeapsa aplicată inculpatului </w:t>
      </w:r>
      <w:r w:rsidR="00911FF6">
        <w:rPr>
          <w:rStyle w:val="Fontdeparagrafimplicit"/>
          <w:color w:val="1D1B11"/>
        </w:rPr>
        <w:t xml:space="preserve">2       </w:t>
      </w:r>
      <w:r>
        <w:rPr>
          <w:rStyle w:val="Fontdeparagrafimplicit"/>
          <w:color w:val="1D1B11"/>
        </w:rPr>
        <w:t>, pentru fapta dedusă judecăţii, corect încadrată juridic, a fost în mod legal stabilită de către judecătorul fondului, în raport cu limitele de pedeapsă prevăzute de lege pentru această infracţiune, iar înăuntrul acestor limite a fost şi în mod just individualizată prin prisma criteriilor prev. de art.74 din Codul penal, la determinarea duratei acesteia ţinându-se seama în mod corespunzător, atât de ansamblul circumstanţelor reale care ilustrează gravitatea faptei comise, cât şi de referinţele personale ale inculpatului care conturează periculozitatea acestuia.</w:t>
      </w:r>
    </w:p>
    <w:p w:rsidR="00E61C2E" w14:paraId="088AA55F" w14:textId="77777777">
      <w:pPr>
        <w:ind w:right="-59" w:firstLine="858"/>
        <w:jc w:val="both"/>
      </w:pPr>
      <w:r>
        <w:rPr>
          <w:rStyle w:val="Fontdeparagrafimplicit"/>
          <w:color w:val="1D1B11"/>
        </w:rPr>
        <w:t>În ceea ce priveşte modalitatea de executare a pedepsei stabilită în sarcina inculpatului, p</w:t>
      </w:r>
      <w:r>
        <w:t>edeapsa de 4 ani închisoare pe care o are de executat nu este susceptibilă de vreo formă de amânare sau suspendare a executării pedepsei sub supraveghere, acest lucru putând opera numai în cazul unor pedepse de 2, respectiv 3 ani închisoare.</w:t>
      </w:r>
    </w:p>
    <w:p w:rsidR="00E61C2E" w14:paraId="49F6E5C8" w14:textId="2F47C8B2">
      <w:pPr>
        <w:ind w:right="-59" w:firstLine="900"/>
        <w:jc w:val="both"/>
      </w:pPr>
      <w:r>
        <w:rPr>
          <w:rStyle w:val="Fontdeparagrafimplicit"/>
          <w:color w:val="1D1B11"/>
        </w:rPr>
        <w:t xml:space="preserve">Este adevărat că inculpatul </w:t>
      </w:r>
      <w:r w:rsidR="00911FF6">
        <w:rPr>
          <w:rStyle w:val="Fontdeparagrafimplicit"/>
          <w:color w:val="1D1B11"/>
        </w:rPr>
        <w:t xml:space="preserve">2       </w:t>
      </w:r>
      <w:r>
        <w:rPr>
          <w:rStyle w:val="Fontdeparagrafimplicit"/>
          <w:color w:val="1D1B11"/>
        </w:rPr>
        <w:t xml:space="preserve"> a avut o atitudine de recunoaştere şi colaborare, împrejurare reţinută şi valorificată, însă în aceeaşi măsură a fost reţinut şi faptul că </w:t>
      </w:r>
      <w:r>
        <w:t>inculpatul este o persoană cu potenţial violent.</w:t>
      </w:r>
    </w:p>
    <w:p w:rsidR="00E61C2E" w14:paraId="1FDA134F" w14:textId="77777777">
      <w:pPr>
        <w:ind w:right="-59" w:firstLine="858"/>
        <w:jc w:val="both"/>
      </w:pPr>
      <w:r>
        <w:t>Curtea constată că pedeapsa astfel stabilită – 4 ani închisoare cu executare în penitenciar - este menită a asigura în mod eficient îndreptarea socială şi morală a inculpatului, astfel încât pe viitor să dobândească o atitudine de respect faţă de ordinea de drept şi de valorile sociale protejate de lege.</w:t>
      </w:r>
    </w:p>
    <w:p w:rsidR="00E61C2E" w14:paraId="0C237586" w14:textId="77777777">
      <w:pPr>
        <w:ind w:right="-59" w:firstLine="871"/>
        <w:jc w:val="both"/>
      </w:pPr>
      <w:r>
        <w:t>În raport cu împrejurările anterior menţionate, Curtea constată că în cauză nu există nici un fel de împrejurări care să conducă la modificarea cuantumului sau a modalităţii de executare a pedepsei, astfel cum a fost stabilită de judecătorul fondului, faptele de agresiune fizică astfel cum au fost realizate în cauza dedusă judecății justificând o sancțiune cu executarea în condiții de detenție.</w:t>
      </w:r>
    </w:p>
    <w:p w:rsidR="00E61C2E" w14:paraId="47605585" w14:textId="77777777">
      <w:pPr>
        <w:ind w:right="-59" w:firstLine="858"/>
        <w:jc w:val="both"/>
      </w:pPr>
      <w:r>
        <w:t>Curtea conchide – în acord cu judecătorul fondului – că nu se impune reţinerea nici uneia dintre circumstanţele atenuante prevăzute lege, cele susţinute de apărarea inculpatului neputând fi primite, întrucât vin în concurs cu circumstanţele agravante mai sus reţinute.</w:t>
      </w:r>
    </w:p>
    <w:p w:rsidR="00E61C2E" w14:paraId="55BD9FDD" w14:textId="2D219400">
      <w:pPr>
        <w:ind w:right="-59" w:firstLine="832"/>
        <w:jc w:val="both"/>
      </w:pPr>
      <w:r>
        <w:t xml:space="preserve">Constatând că nu este incident, pentru motivele anterior arătate, niciun caz de reformare a hotărârii atacate, Curtea, va respinge, ca nefondat apelul declarat de inculpatul </w:t>
      </w:r>
      <w:r w:rsidR="00911FF6">
        <w:t xml:space="preserve">2       </w:t>
      </w:r>
      <w:r>
        <w:t>.</w:t>
      </w:r>
    </w:p>
    <w:p w:rsidR="00E61C2E" w14:paraId="66AAC53D" w14:textId="327C80FE">
      <w:pPr>
        <w:ind w:firstLine="858"/>
        <w:jc w:val="both"/>
      </w:pPr>
      <w:r>
        <w:t>În baza art. 422 C.p.p., va deduce prevenţia de la     .2016 la zi.</w:t>
      </w:r>
    </w:p>
    <w:p w:rsidR="00E61C2E" w14:paraId="405D9AD7" w14:textId="77777777">
      <w:pPr>
        <w:ind w:right="-59" w:firstLine="858"/>
        <w:jc w:val="both"/>
      </w:pPr>
      <w:r>
        <w:rPr>
          <w:rStyle w:val="Fontdeparagrafimplicit"/>
          <w:color w:val="000000"/>
        </w:rPr>
        <w:t xml:space="preserve">Constatând culpa procesuală a inculpatului, având </w:t>
      </w:r>
      <w:r>
        <w:t>în vedere şi jurisprudenţa CEDO în domeniu, Curtea va face aplicarea art.275 alin.2, art.272 alin.1 şi 2 şi art.276 Cod procedură penală.</w:t>
      </w:r>
    </w:p>
    <w:p w:rsidR="00E61C2E" w14:paraId="6209F03D" w14:textId="77777777">
      <w:pPr>
        <w:ind w:firstLine="832"/>
      </w:pPr>
    </w:p>
    <w:p w:rsidR="00E61C2E" w14:paraId="32522E9A" w14:textId="77777777">
      <w:pPr>
        <w:pStyle w:val="Style1"/>
        <w:widowControl/>
        <w:tabs>
          <w:tab w:val="right" w:pos="8342"/>
        </w:tabs>
        <w:spacing w:line="317" w:lineRule="exact"/>
        <w:jc w:val="center"/>
        <w:rPr>
          <w:rStyle w:val="FontStyle11"/>
          <w:b/>
        </w:rPr>
      </w:pPr>
      <w:r>
        <w:rPr>
          <w:rStyle w:val="FontStyle11"/>
          <w:b/>
        </w:rPr>
        <w:t>PENTRU ACESTE MOTIVE,</w:t>
      </w:r>
    </w:p>
    <w:p w:rsidR="00E61C2E" w14:paraId="15D286A4" w14:textId="77777777">
      <w:pPr>
        <w:pStyle w:val="Style1"/>
        <w:widowControl/>
        <w:tabs>
          <w:tab w:val="right" w:pos="8342"/>
        </w:tabs>
        <w:spacing w:line="317" w:lineRule="exact"/>
        <w:jc w:val="center"/>
        <w:rPr>
          <w:rStyle w:val="FontStyle11"/>
          <w:b/>
        </w:rPr>
      </w:pPr>
      <w:r>
        <w:rPr>
          <w:rStyle w:val="FontStyle11"/>
          <w:b/>
        </w:rPr>
        <w:t>ÎN NUMELE LEGII,</w:t>
      </w:r>
    </w:p>
    <w:p w:rsidR="00E61C2E" w14:paraId="4883FA00" w14:textId="77777777">
      <w:pPr>
        <w:pStyle w:val="Style1"/>
        <w:widowControl/>
        <w:tabs>
          <w:tab w:val="right" w:pos="8342"/>
        </w:tabs>
        <w:spacing w:line="317" w:lineRule="exact"/>
        <w:jc w:val="center"/>
        <w:rPr>
          <w:rStyle w:val="FontStyle11"/>
          <w:b/>
        </w:rPr>
      </w:pPr>
      <w:r>
        <w:rPr>
          <w:rStyle w:val="FontStyle11"/>
          <w:b/>
        </w:rPr>
        <w:t>DECIDE:</w:t>
      </w:r>
    </w:p>
    <w:p w:rsidR="00E61C2E" w14:paraId="0A1AA33A" w14:textId="77777777">
      <w:pPr>
        <w:jc w:val="both"/>
        <w:rPr>
          <w:rStyle w:val="FontStyle11"/>
        </w:rPr>
      </w:pPr>
    </w:p>
    <w:p w:rsidR="00E61C2E" w14:paraId="3AF497A7" w14:textId="2005AF7A">
      <w:pPr>
        <w:ind w:firstLine="858"/>
        <w:jc w:val="both"/>
      </w:pPr>
      <w:r>
        <w:t xml:space="preserve">În baza art. 421 pct. 1 lit. b C.p.p. respinge, ca nefondat, apelul formulat de inculpatul </w:t>
      </w:r>
      <w:r w:rsidR="00911FF6">
        <w:t xml:space="preserve">2       </w:t>
      </w:r>
      <w:r>
        <w:t xml:space="preserve"> împotriva sentinţei penale nr. </w:t>
      </w:r>
      <w:r w:rsidR="00911FF6">
        <w:t xml:space="preserve">3/2016 </w:t>
      </w:r>
      <w:r>
        <w:t xml:space="preserve"> pronunţată de Judecătoria </w:t>
      </w:r>
      <w:r w:rsidR="00911FF6">
        <w:t xml:space="preserve">              </w:t>
      </w:r>
      <w:r>
        <w:t xml:space="preserve"> </w:t>
      </w:r>
      <w:r w:rsidR="00911FF6">
        <w:t xml:space="preserve">                 </w:t>
      </w:r>
      <w:r>
        <w:t xml:space="preserve"> în dosarul cu numărul de mai sus.</w:t>
      </w:r>
    </w:p>
    <w:p w:rsidR="00E61C2E" w14:paraId="546AA241" w14:textId="1622D386">
      <w:pPr>
        <w:ind w:firstLine="858"/>
        <w:jc w:val="both"/>
      </w:pPr>
      <w:r>
        <w:t>În baza art. 422 C.p.p. deduce prevenţia de la  .2016 la zi.</w:t>
      </w:r>
    </w:p>
    <w:p w:rsidR="00E61C2E" w14:paraId="19DF877C" w14:textId="77777777">
      <w:pPr>
        <w:ind w:firstLine="858"/>
        <w:jc w:val="both"/>
      </w:pPr>
      <w:r>
        <w:t xml:space="preserve">În baza art. 275 alin. 2 C.p.p. obligă apelantul – inculpat la 500 lei cheltuieli judiciare stat. </w:t>
      </w:r>
    </w:p>
    <w:p w:rsidR="00E61C2E" w14:paraId="2F5D5ACB" w14:textId="77777777">
      <w:pPr>
        <w:ind w:firstLine="858"/>
        <w:jc w:val="both"/>
      </w:pPr>
      <w:r>
        <w:t>Onorariul apărătorului din oficiu, în cuantum de 260 lei, va fi avansat din fondurile MJ.</w:t>
      </w:r>
    </w:p>
    <w:p w:rsidR="00E61C2E" w14:paraId="2B70E0CF" w14:textId="77777777">
      <w:pPr>
        <w:ind w:firstLine="858"/>
        <w:jc w:val="both"/>
      </w:pPr>
      <w:r>
        <w:t>Definitivă.</w:t>
      </w:r>
    </w:p>
    <w:p w:rsidR="00E61C2E" w14:paraId="246D2E7B" w14:textId="0DC3402B">
      <w:pPr>
        <w:ind w:firstLine="858"/>
        <w:jc w:val="both"/>
      </w:pPr>
      <w:r>
        <w:t xml:space="preserve">Pronunţată în şedinţă publică, azi, </w:t>
      </w:r>
      <w:r w:rsidR="00911FF6">
        <w:t xml:space="preserve"> </w:t>
      </w:r>
      <w:r>
        <w:t>.</w:t>
      </w:r>
    </w:p>
    <w:p w:rsidR="00E61C2E" w14:paraId="0B9CF0E4" w14:textId="77777777">
      <w:pPr>
        <w:ind w:firstLine="858"/>
      </w:pPr>
      <w:r>
        <w:t>PREŞEDINTE,                                               JUDECĂTOR,</w:t>
      </w:r>
    </w:p>
    <w:p w:rsidR="00E61C2E" w14:paraId="1ED203E4" w14:textId="32F7CFA3">
      <w:pPr>
        <w:ind w:right="-33"/>
      </w:pPr>
      <w:r>
        <w:t xml:space="preserve">      </w:t>
      </w:r>
      <w:r w:rsidR="00911FF6">
        <w:t xml:space="preserve">  </w:t>
      </w:r>
      <w:r w:rsidR="00911FF6">
        <w:tab/>
      </w:r>
      <w:r w:rsidR="00911FF6">
        <w:tab/>
      </w:r>
      <w:r w:rsidR="00911FF6">
        <w:tab/>
      </w:r>
      <w:r w:rsidR="00911FF6">
        <w:tab/>
      </w:r>
      <w:r w:rsidR="00911FF6">
        <w:tab/>
      </w:r>
      <w:r w:rsidR="00911FF6">
        <w:tab/>
      </w:r>
      <w:r w:rsidR="00911FF6">
        <w:tab/>
      </w:r>
      <w:r w:rsidR="00911FF6">
        <w:tab/>
        <w:t>A0002</w:t>
      </w:r>
    </w:p>
    <w:p w:rsidR="00E61C2E" w14:paraId="79EC09FB" w14:textId="77777777"/>
    <w:p w:rsidR="00E61C2E" w14:paraId="6F47DF50" w14:textId="77777777"/>
    <w:p w:rsidR="00E61C2E" w14:paraId="334EE717" w14:textId="77777777"/>
    <w:p w:rsidR="00E61C2E" w14:paraId="75042DE7" w14:textId="77777777"/>
    <w:p w:rsidR="00E61C2E" w14:paraId="3C61DADF" w14:textId="77777777"/>
    <w:p w:rsidR="00E61C2E" w14:paraId="111682D8" w14:textId="77777777"/>
    <w:p w:rsidR="00E61C2E" w14:paraId="27A6462D" w14:textId="77777777">
      <w:r>
        <w:t xml:space="preserve">                                                                                                                 GREFIER,</w:t>
      </w:r>
    </w:p>
    <w:p w:rsidR="00E61C2E" w14:paraId="30DEFE8C" w14:textId="2C96DF0D">
      <w:r>
        <w:t xml:space="preserve">                                                                                                 </w:t>
      </w:r>
      <w:r w:rsidR="00911FF6">
        <w:t xml:space="preserve"> </w:t>
      </w:r>
    </w:p>
    <w:p w:rsidR="00E61C2E" w14:paraId="75D7FE4C" w14:textId="77777777"/>
    <w:p w:rsidR="00E61C2E" w14:paraId="7A43A7B6" w14:textId="77777777"/>
    <w:p w:rsidR="00E61C2E" w14:paraId="1085E5EF" w14:textId="0F900D77">
      <w:pPr>
        <w:rPr>
          <w:rStyle w:val="Fontdeparagrafimplicit"/>
          <w:sz w:val="20"/>
        </w:rPr>
      </w:pPr>
      <w:r>
        <w:rPr>
          <w:rStyle w:val="Fontdeparagrafimplicit"/>
          <w:sz w:val="20"/>
        </w:rPr>
        <w:t>red.</w:t>
      </w:r>
      <w:r w:rsidR="00911FF6">
        <w:rPr>
          <w:rStyle w:val="Fontdeparagrafimplicit"/>
          <w:sz w:val="20"/>
        </w:rPr>
        <w:t>A0002</w:t>
      </w:r>
    </w:p>
    <w:p w:rsidR="00E61C2E" w14:paraId="7BD2BC31" w14:textId="44787387">
      <w:pPr>
        <w:rPr>
          <w:rStyle w:val="Fontdeparagrafimplicit"/>
          <w:sz w:val="20"/>
        </w:rPr>
      </w:pPr>
      <w:r>
        <w:rPr>
          <w:rStyle w:val="Fontdeparagrafimplicit"/>
          <w:sz w:val="20"/>
        </w:rPr>
        <w:t>dact.</w:t>
      </w:r>
      <w:r w:rsidR="00911FF6">
        <w:rPr>
          <w:rStyle w:val="Fontdeparagrafimplicit"/>
          <w:sz w:val="20"/>
        </w:rPr>
        <w:t xml:space="preserve"> </w:t>
      </w:r>
    </w:p>
    <w:p w:rsidR="00E61C2E" w14:paraId="5E8A90BF" w14:textId="77777777">
      <w:pPr>
        <w:pBdr>
          <w:bottom w:val="single" w:color="auto" w:sz="6" w:space="0"/>
        </w:pBdr>
        <w:rPr>
          <w:rStyle w:val="Fontdeparagrafimplicit"/>
          <w:sz w:val="20"/>
        </w:rPr>
      </w:pPr>
      <w:r>
        <w:rPr>
          <w:rStyle w:val="Fontdeparagrafimplicit"/>
          <w:sz w:val="20"/>
        </w:rPr>
        <w:t>ex.6</w:t>
      </w:r>
    </w:p>
    <w:p w:rsidR="00E61C2E" w14:paraId="18D88081" w14:textId="68C3121C">
      <w:pPr>
        <w:rPr>
          <w:rStyle w:val="Fontdeparagrafimplicit"/>
        </w:rPr>
      </w:pPr>
      <w:r>
        <w:rPr>
          <w:rStyle w:val="Fontdeparagrafimplicit"/>
          <w:sz w:val="20"/>
        </w:rPr>
        <w:t>red.</w:t>
      </w:r>
      <w:r w:rsidR="00911FF6">
        <w:rPr>
          <w:rStyle w:val="Fontdeparagrafimplicit"/>
          <w:sz w:val="20"/>
        </w:rPr>
        <w:t xml:space="preserve"> </w:t>
      </w:r>
      <w:r>
        <w:rPr>
          <w:rStyle w:val="Fontdeparagrafimplicit"/>
          <w:sz w:val="20"/>
        </w:rPr>
        <w:t>-Jud.</w:t>
      </w:r>
      <w:r w:rsidR="00911FF6">
        <w:rPr>
          <w:rStyle w:val="Fontdeparagrafimplicit"/>
          <w:sz w:val="20"/>
        </w:rPr>
        <w:t xml:space="preserve"> </w:t>
      </w:r>
    </w:p>
    <w:sectPr>
      <w:footerReference w:type="even" r:id="rId4"/>
      <w:footerReference w:type="default" r:id="rId5"/>
      <w:pgSz w:w="11906" w:h="16838"/>
      <w:pgMar w:top="1134" w:right="567" w:bottom="1134" w:left="170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61C2E" w14:paraId="29FA6081"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E61C2E" w14:paraId="0554ED70" w14:textId="77777777">
    <w:pPr>
      <w:pStyle w:val="Subsol"/>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E61C2E" w14:paraId="0BA454C0"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E61C2E" w14:paraId="3A540B17" w14:textId="77777777">
    <w:pPr>
      <w:pStyle w:val="Subsol"/>
      <w:rPr>
        <w:rStyle w:val="Numrdepagi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2"/>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1C2E"/>
    <w:rsid w:val="000418A9"/>
    <w:rsid w:val="0029320D"/>
    <w:rsid w:val="007F11AC"/>
    <w:rsid w:val="00911FF6"/>
    <w:rsid w:val="00D777FB"/>
    <w:rsid w:val="00E61C2E"/>
    <w:rsid w:val="00F470FF"/>
  </w:rsids>
  <w:docVars>
    <w:docVar w:name="url" w:val="http://10.1.48.53:80/ecris_cdms/document_upload.aspx?id_document=200000002521487&amp;id_departament=2&amp;id_sesiune=2123251&amp;id_user=838&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08440451"/>
  <w15:docId w15:val="{23E11965-8699-47C9-9932-16529AF9EF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Subsol">
    <w:name w:val="Subsol"/>
    <w:basedOn w:val="Normal"/>
    <w:pPr>
      <w:tabs>
        <w:tab w:val="center" w:pos="4536"/>
        <w:tab w:val="right" w:pos="9072"/>
      </w:tabs>
    </w:pPr>
  </w:style>
  <w:style w:type="paragraph" w:customStyle="1" w:styleId="Style1">
    <w:name w:val="Style1"/>
    <w:basedOn w:val="Normal"/>
    <w:pPr>
      <w:widowControl w:val="0"/>
      <w:spacing w:line="331" w:lineRule="exact"/>
      <w:jc w:val="both"/>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FontStyle11">
    <w:name w:val="Font Style11"/>
    <w:rPr>
      <w:rFonts w:ascii="Times New Roman" w:hAnsi="Times New Roman"/>
      <w:sz w:val="24"/>
    </w:rPr>
  </w:style>
  <w:style w:type="character" w:customStyle="1" w:styleId="Numrdepagin">
    <w:name w:val="Număr de pagină"/>
    <w:basedOn w:val="Fontdeparagraf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13</ap:TotalTime>
  <ap:Pages>4</ap:Pages>
  <ap:Words>1904</ap:Words>
  <ap:Characters>10857</ap:Characters>
  <ap:Application>Microsoft Office Word</ap:Application>
  <ap:DocSecurity>0</ap:DocSecurity>
  <ap:Lines>90</ap:Lines>
  <ap:Paragraphs>25</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12736</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