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EE60EA" w:rsidR="00EE60EA" w:rsidRDefault="00EE60EA">
      <w:pPr>
        <w:ind w:left="-284" w:right="-2"/>
        <w:rPr>
          <w:b/>
        </w:rPr>
      </w:pPr>
      <w:bookmarkStart w:name="_GoBack" w:id="0"/>
      <w:r w:rsidRPr="00EE60EA">
        <w:rPr>
          <w:b/>
        </w:rPr>
        <w:t>Hot. 12</w:t>
      </w:r>
    </w:p>
    <w:bookmarkEnd w:id="0"/>
    <w:p w:rsidR="001947BE" w:rsidRDefault="00E023D7">
      <w:pPr>
        <w:ind w:left="-284" w:right="-2"/>
      </w:pPr>
      <w:r>
        <w:t>Prezentul document este supus reglementărilor aflate sub incidenţa Regulamentului U.E. 2016/679</w:t>
      </w:r>
    </w:p>
    <w:p w:rsidR="001947BE" w:rsidRDefault="00E023D7">
      <w:pPr>
        <w:ind w:left="-284" w:right="-2"/>
      </w:pPr>
      <w:r>
        <w:rPr>
          <w:lang w:val="en-US"/>
        </w:rPr>
        <w:t>ECLI:RO:CA…</w:t>
      </w:r>
    </w:p>
    <w:p w:rsidR="001947BE" w:rsidRDefault="001947BE">
      <w:pPr>
        <w:ind w:left="-284" w:right="-2"/>
      </w:pPr>
    </w:p>
    <w:p w:rsidR="001947BE" w:rsidRDefault="00E023D7">
      <w:pPr>
        <w:keepNext/>
        <w:ind w:left="-284" w:right="-2"/>
        <w:jc w:val="center"/>
        <w:outlineLvl w:val="2"/>
      </w:pPr>
      <w:r>
        <w:t>R O M Â N I A</w:t>
      </w:r>
    </w:p>
    <w:p w:rsidR="001947BE" w:rsidRDefault="001947BE">
      <w:pPr>
        <w:ind w:left="-284" w:right="-2"/>
        <w:jc w:val="center"/>
      </w:pPr>
    </w:p>
    <w:p w:rsidR="001947BE" w:rsidRDefault="00E023D7">
      <w:pPr>
        <w:ind w:left="-284" w:right="-2"/>
        <w:jc w:val="center"/>
      </w:pPr>
      <w:r>
        <w:t>CURTEA DE APEL X</w:t>
      </w:r>
    </w:p>
    <w:p w:rsidR="001947BE" w:rsidRDefault="00E023D7">
      <w:pPr>
        <w:ind w:left="-284" w:right="-2"/>
        <w:jc w:val="center"/>
      </w:pPr>
      <w:r>
        <w:t>SECŢIA …</w:t>
      </w:r>
    </w:p>
    <w:p w:rsidR="001947BE" w:rsidRDefault="001947BE">
      <w:pPr>
        <w:ind w:left="-284" w:right="-2"/>
        <w:jc w:val="center"/>
      </w:pPr>
    </w:p>
    <w:p w:rsidR="001947BE" w:rsidRDefault="00E023D7">
      <w:pPr>
        <w:ind w:left="-284" w:right="-2"/>
      </w:pPr>
      <w:r>
        <w:t>Dosar nr. 1/a3</w:t>
      </w:r>
    </w:p>
    <w:p w:rsidR="001947BE" w:rsidRDefault="001947BE">
      <w:pPr>
        <w:ind w:left="-284" w:right="-2"/>
      </w:pPr>
    </w:p>
    <w:p w:rsidR="001947BE" w:rsidRDefault="00E023D7">
      <w:pPr>
        <w:keepNext/>
        <w:ind w:left="-284" w:right="-2"/>
        <w:jc w:val="center"/>
        <w:outlineLvl w:val="1"/>
      </w:pPr>
      <w:r>
        <w:t>ÎNCHEIERE PENALĂ NR. 2</w:t>
      </w:r>
    </w:p>
    <w:p w:rsidR="001947BE" w:rsidRDefault="00E023D7">
      <w:pPr>
        <w:ind w:left="-284" w:right="-2"/>
        <w:jc w:val="center"/>
      </w:pPr>
      <w:r>
        <w:t>Şedinţa </w:t>
      </w:r>
      <w:bookmarkStart w:name="tip_sedinta" w:id="1"/>
      <w:r>
        <w:t>publică</w:t>
      </w:r>
      <w:bookmarkEnd w:id="1"/>
      <w:r>
        <w:t xml:space="preserve"> din data de … </w:t>
      </w:r>
    </w:p>
    <w:p w:rsidR="001947BE" w:rsidRDefault="00E023D7">
      <w:pPr>
        <w:ind w:left="-284" w:right="-2"/>
        <w:jc w:val="center"/>
      </w:pPr>
      <w:r>
        <w:t>Instanţa constituită din:</w:t>
      </w:r>
    </w:p>
    <w:p w:rsidR="001947BE" w:rsidRDefault="00E023D7">
      <w:pPr>
        <w:ind w:left="-284" w:right="-2"/>
        <w:jc w:val="center"/>
      </w:pPr>
      <w:r>
        <w:t>PREŞEDINTE: …</w:t>
      </w:r>
    </w:p>
    <w:p w:rsidR="001947BE" w:rsidRDefault="00E023D7">
      <w:pPr>
        <w:ind w:left="-284" w:right="-2"/>
        <w:jc w:val="center"/>
      </w:pPr>
      <w:r>
        <w:t>Judecător: A0004</w:t>
      </w:r>
    </w:p>
    <w:p w:rsidR="001947BE" w:rsidRDefault="00E023D7">
      <w:pPr>
        <w:ind w:left="-284" w:right="-2"/>
        <w:jc w:val="center"/>
      </w:pPr>
      <w:r>
        <w:t>Grefier …</w:t>
      </w:r>
    </w:p>
    <w:p w:rsidR="001947BE" w:rsidRDefault="001947BE">
      <w:pPr>
        <w:ind w:left="-284" w:right="-2"/>
        <w:jc w:val="center"/>
      </w:pPr>
    </w:p>
    <w:p w:rsidR="001947BE" w:rsidRDefault="00E023D7">
      <w:pPr>
        <w:ind w:left="-284" w:right="-2"/>
        <w:jc w:val="center"/>
      </w:pPr>
      <w:bookmarkStart w:name="nume_procuror" w:id="2"/>
      <w:bookmarkEnd w:id="2"/>
    </w:p>
    <w:p w:rsidR="001947BE" w:rsidRDefault="00E023D7">
      <w:pPr>
        <w:ind w:left="-284" w:right="-2" w:firstLine="708"/>
        <w:jc w:val="center"/>
      </w:pPr>
      <w:r>
        <w:t xml:space="preserve">Ministerul Public reprezentat prin procuror … – </w:t>
      </w:r>
    </w:p>
    <w:p w:rsidR="001947BE" w:rsidRDefault="00E023D7">
      <w:pPr>
        <w:ind w:left="-284" w:right="-2" w:firstLine="708"/>
        <w:jc w:val="center"/>
      </w:pPr>
      <w:r>
        <w:t>din cadrul Parchetului de pe lângă Curtea de Apel X</w:t>
      </w:r>
    </w:p>
    <w:p w:rsidR="001947BE" w:rsidRDefault="001947BE">
      <w:pPr>
        <w:ind w:left="-284" w:right="-2" w:firstLine="708"/>
        <w:jc w:val="center"/>
      </w:pPr>
    </w:p>
    <w:p w:rsidR="001947BE" w:rsidRDefault="00E023D7">
      <w:pPr>
        <w:ind w:left="-284" w:right="-2" w:firstLine="708"/>
        <w:jc w:val="both"/>
      </w:pPr>
      <w:r>
        <w:t>Pe rol fiind verificarea legalităţii şi temeiniciei măsurii preventive dispusă faţă de inculpatul I în cadrul apelului declarat de inculpat împotriva Sentinţei penale nr.3 pronunţată de către Judecătoria T în Dosarul nr. 1, cercetat şi judecat pentru săvârşirea infracţiunii de furt calificat, prev de art. 228 al. 1 Cod penal, art. 229 al. 1 lit. a Cod penal, cu aplic art. 41 al. 1 Cod penal rap la art. 43 al. 5 Cod penal.</w:t>
      </w:r>
    </w:p>
    <w:p w:rsidR="001947BE" w:rsidRDefault="00E023D7">
      <w:pPr>
        <w:ind w:left="-284" w:right="-2" w:firstLine="708"/>
        <w:jc w:val="both"/>
      </w:pPr>
      <w:r>
        <w:t>La apelul nominal, se prezintă apelantul-inculpat, I şi asistat de apărătorul din oficiu av. A1, cu delegaţie avocaţială pentru asistenţă juridică obligatorie nr. …/2023 la dosarul cauzei.</w:t>
      </w:r>
    </w:p>
    <w:p w:rsidR="001947BE" w:rsidRDefault="00E023D7">
      <w:pPr>
        <w:ind w:left="-284" w:right="-2" w:firstLine="708"/>
        <w:jc w:val="both"/>
      </w:pPr>
      <w:r>
        <w:t>Procedura de citare este legal îndeplinită.</w:t>
      </w:r>
    </w:p>
    <w:p w:rsidR="001947BE" w:rsidRDefault="00E023D7">
      <w:pPr>
        <w:ind w:left="-284" w:right="-2" w:firstLine="708"/>
        <w:jc w:val="both"/>
      </w:pPr>
      <w:r>
        <w:t>S-a făcut referatul cauzei, după care.</w:t>
      </w:r>
    </w:p>
    <w:p w:rsidR="001947BE" w:rsidRDefault="00E023D7">
      <w:pPr>
        <w:ind w:left="-284" w:right="-2" w:firstLine="708"/>
        <w:jc w:val="both"/>
      </w:pPr>
      <w:r>
        <w:t>Instanţa procedează la identificarea inculpatul, aducându-i la cunoştiinţă şi faptul că s-a creat un dosar asociat pentru verificarea măsurii arestului preventiv.</w:t>
      </w:r>
    </w:p>
    <w:p w:rsidR="001947BE" w:rsidRDefault="00E023D7">
      <w:pPr>
        <w:ind w:left="-284" w:right="-2" w:firstLine="708"/>
        <w:jc w:val="both"/>
      </w:pPr>
      <w:r>
        <w:t>La întrebarea instanţei, inculpata declară că este de acord cu apărătorul desemnat din oficiu.</w:t>
      </w:r>
    </w:p>
    <w:p w:rsidR="001947BE" w:rsidRDefault="00E023D7">
      <w:pPr>
        <w:ind w:left="-284" w:right="-2" w:firstLine="708"/>
        <w:jc w:val="both"/>
        <w:rPr>
          <w:i/>
        </w:rPr>
      </w:pPr>
      <w:r>
        <w:rPr>
          <w:i/>
        </w:rPr>
        <w:t>Nemaifiind alte cereri de formulat sau excepţii de ridicat Curtea acordă cuvântul asupra legalităţii şi temeiniciei măsurilor preventive dispuse în cauză.</w:t>
      </w:r>
    </w:p>
    <w:p w:rsidR="001947BE" w:rsidRDefault="00E023D7">
      <w:pPr>
        <w:ind w:left="-284" w:right="-2" w:firstLine="708"/>
        <w:jc w:val="both"/>
      </w:pPr>
      <w:r>
        <w:rPr>
          <w:i/>
        </w:rPr>
        <w:t>Reprezentantul Ministerului Public</w:t>
      </w:r>
      <w:r>
        <w:t xml:space="preserve"> solicită menţinerea arestului preventiv dispus faţă de inculpat, apreciind că măsura este legală şi temeinică întrucât motivele care au stat la baza luării acestei măsuri încă mai subzistă, măsura fiind necesară în vederea asigurării bunei desfăşurări a procesului penal şi al înlăturării unei stări de pericol pentru ordinea publică, stare de pericol ce ar exista dacă inculpatul ar fi pus în libertate. Totodată, reprezentantul Ministerului Public consideră că măsura preventivă este proporţională cu gravitatea faptei pentru care s-a şi dispus condamnarea inculpatului în primă instanţă, menţionând şi împrejurarea că inculpatul a sustras bunuri într-un mijloc de transport în comun în timpul zilei. Reprezentantul Ministerului Public susţine că inculpatul a săvârşit fapta în stare de recidivă post executorie.</w:t>
      </w:r>
    </w:p>
    <w:p w:rsidR="001947BE" w:rsidRDefault="00E023D7">
      <w:pPr>
        <w:ind w:left="-284" w:right="-2" w:firstLine="708"/>
        <w:jc w:val="both"/>
      </w:pPr>
      <w:r>
        <w:rPr>
          <w:i/>
        </w:rPr>
        <w:t>Apărătorul desemnat din oficiu av. A1</w:t>
      </w:r>
      <w:r>
        <w:t xml:space="preserve"> solicită înlocuirea măsurii arestării preventive cu măsura arestului la domiciliu care este de aceeaşi intensitate, diferă doar locul executării. Totodată, aceasta susţine că nu este nevoie să se schimbe temeiurile de la luarea măsurii arestării preventive pentru luarea măsurii arestului la domiciliu.</w:t>
      </w:r>
    </w:p>
    <w:p w:rsidR="001947BE" w:rsidRDefault="00E023D7">
      <w:pPr>
        <w:ind w:left="-284" w:right="-2" w:firstLine="708"/>
        <w:jc w:val="both"/>
      </w:pPr>
      <w:r>
        <w:t xml:space="preserve"> Apărătorul desemnat din oficiu susţine că inculpatul este prezumat nevinovat până la condamnarea definitivă a acestuia, totodată, aceasta susţine că paguba este una redusă, nefiind un cuantum foarte ridicat.</w:t>
      </w:r>
    </w:p>
    <w:p w:rsidR="001947BE" w:rsidRDefault="00E023D7">
      <w:pPr>
        <w:ind w:left="-284" w:right="-2" w:firstLine="708"/>
        <w:jc w:val="both"/>
      </w:pPr>
      <w:r>
        <w:rPr>
          <w:i/>
        </w:rPr>
        <w:t>Inculpatul,</w:t>
      </w:r>
      <w:r>
        <w:t xml:space="preserve"> având ultimul cuvânt, declară că lasă la aprecierea instanţei soluţia cu privire la măsura preventivă şi că este de acord cu cele expuse de avocatul acestuia.</w:t>
      </w:r>
    </w:p>
    <w:p w:rsidR="001947BE" w:rsidRDefault="00E023D7">
      <w:pPr>
        <w:ind w:left="-284" w:right="-2" w:firstLine="708"/>
        <w:jc w:val="both"/>
      </w:pPr>
      <w:r>
        <w:t>Curtea declară închise dezbaterile şi reţine cauza în pronunţare.</w:t>
      </w:r>
    </w:p>
    <w:p w:rsidR="001947BE" w:rsidRDefault="001947BE">
      <w:pPr>
        <w:keepNext/>
        <w:ind w:left="-284" w:right="-2"/>
        <w:outlineLvl w:val="1"/>
        <w:rPr>
          <w:b/>
        </w:rPr>
      </w:pPr>
    </w:p>
    <w:p w:rsidR="001947BE" w:rsidRDefault="00E023D7">
      <w:pPr>
        <w:ind w:left="-284" w:right="-2"/>
        <w:rPr>
          <w:b/>
        </w:rPr>
      </w:pPr>
      <w:r>
        <w:rPr>
          <w:b/>
        </w:rPr>
        <w:t xml:space="preserve">           </w:t>
      </w:r>
      <w:r>
        <w:rPr>
          <w:b/>
        </w:rPr>
        <w:tab/>
      </w:r>
      <w:r>
        <w:rPr>
          <w:b/>
        </w:rPr>
        <w:tab/>
      </w:r>
      <w:r>
        <w:rPr>
          <w:b/>
        </w:rPr>
        <w:tab/>
      </w:r>
      <w:r>
        <w:rPr>
          <w:b/>
        </w:rPr>
        <w:tab/>
        <w:t xml:space="preserve">    </w:t>
      </w:r>
      <w:r>
        <w:rPr>
          <w:b/>
        </w:rPr>
        <w:tab/>
        <w:t>C U R T E A:</w:t>
      </w:r>
    </w:p>
    <w:p w:rsidR="001947BE" w:rsidRDefault="001947BE">
      <w:pPr>
        <w:keepNext/>
        <w:ind w:left="-284" w:right="-2" w:firstLine="600"/>
        <w:jc w:val="center"/>
        <w:outlineLvl w:val="1"/>
        <w:rPr>
          <w:b/>
        </w:rPr>
      </w:pPr>
    </w:p>
    <w:p w:rsidR="001947BE" w:rsidRDefault="00E023D7">
      <w:pPr>
        <w:ind w:left="-284" w:right="-2" w:firstLine="710"/>
        <w:jc w:val="both"/>
        <w:rPr>
          <w:i/>
        </w:rPr>
      </w:pPr>
      <w:bookmarkStart w:name="_Hlk42584719" w:id="3"/>
      <w:r>
        <w:rPr>
          <w:i/>
        </w:rPr>
        <w:t>Deliberând asupra cauzei penale de faţă, constată următoarele:</w:t>
      </w:r>
    </w:p>
    <w:p w:rsidR="001947BE" w:rsidRDefault="00E023D7">
      <w:pPr>
        <w:ind w:left="-284" w:right="-2" w:firstLine="710"/>
        <w:jc w:val="both"/>
      </w:pPr>
      <w:r>
        <w:rPr>
          <w:i/>
        </w:rPr>
        <w:t>Prin Sentinţa penală nr. 3 din …, pronunţată în dosarul nr. 1</w:t>
      </w:r>
      <w:r>
        <w:t>, î</w:t>
      </w:r>
      <w:r>
        <w:rPr>
          <w:color w:val="000000"/>
        </w:rPr>
        <w:t xml:space="preserve">n baza art. </w:t>
      </w:r>
      <w:r>
        <w:rPr>
          <w:color w:val="1B1B1B"/>
        </w:rPr>
        <w:t>396</w:t>
      </w:r>
      <w:r>
        <w:rPr>
          <w:color w:val="000000"/>
        </w:rPr>
        <w:t xml:space="preserve"> alin. 2 Cod Procedură Penală coroborat cu art. 374 alin. 4 Cod Procedură Penală Judecătoria T l-a condamnat pe </w:t>
      </w:r>
      <w:r>
        <w:t xml:space="preserve">inculpatul </w:t>
      </w:r>
      <w:r>
        <w:rPr>
          <w:b/>
        </w:rPr>
        <w:t>I</w:t>
      </w:r>
      <w:r>
        <w:t xml:space="preserve"> – </w:t>
      </w:r>
      <w:r w:rsidR="00A023C7">
        <w:t>fiul lui …. şi …, născut la data de ….  domiciliat …str. …., nr. …., …. CNP….</w:t>
      </w:r>
      <w:r>
        <w:t xml:space="preserve">, </w:t>
      </w:r>
      <w:r>
        <w:rPr>
          <w:color w:val="000000"/>
        </w:rPr>
        <w:t xml:space="preserve">la pedeapsa închisorii în cuantum de </w:t>
      </w:r>
      <w:r>
        <w:rPr>
          <w:color w:val="000000"/>
          <w:u w:val="single"/>
        </w:rPr>
        <w:t>3 ani</w:t>
      </w:r>
      <w:r>
        <w:rPr>
          <w:color w:val="000000"/>
        </w:rPr>
        <w:t xml:space="preserve"> pentru săvârşirea</w:t>
      </w:r>
      <w:r>
        <w:rPr>
          <w:i/>
          <w:color w:val="000000"/>
        </w:rPr>
        <w:t xml:space="preserve"> </w:t>
      </w:r>
      <w:r>
        <w:rPr>
          <w:color w:val="000000"/>
        </w:rPr>
        <w:t xml:space="preserve">infracţiunii de </w:t>
      </w:r>
      <w:r>
        <w:t>furt calificat, prev. de art. 228 alin. 1 – 229 alin. 1 lit. a) C.pen., cu aplic. art. 41 alin. 1 rap. la art. 43 alin. 5 C.pen., faţă de persoana vătămată V1.</w:t>
      </w:r>
    </w:p>
    <w:p w:rsidR="001947BE" w:rsidRDefault="00E023D7">
      <w:pPr>
        <w:tabs>
          <w:tab w:val="left" w:pos="720"/>
        </w:tabs>
        <w:ind w:left="-284" w:right="-2" w:firstLine="710"/>
        <w:jc w:val="both"/>
      </w:pPr>
      <w:r>
        <w:rPr>
          <w:color w:val="000000"/>
        </w:rPr>
        <w:t xml:space="preserve">Potrivit art. 404 alin. 4 lit. a) Cod Proc. Penală raportat la art. 72 Cod Penal, s-a dedus din pedeapsa de 3 ani închisoare aplicată inculpatului I, </w:t>
      </w:r>
      <w:r>
        <w:t xml:space="preserve">perioada reţinerii şi a arestului preventiv, începând cu data de </w:t>
      </w:r>
      <w:r>
        <w:rPr>
          <w:color w:val="000000"/>
        </w:rPr>
        <w:t xml:space="preserve">30.01.2023 la zi. </w:t>
      </w:r>
    </w:p>
    <w:p w:rsidR="001947BE" w:rsidRDefault="00E023D7">
      <w:pPr>
        <w:tabs>
          <w:tab w:val="left" w:pos="720"/>
        </w:tabs>
        <w:ind w:left="-284" w:right="-2" w:firstLine="710"/>
        <w:jc w:val="both"/>
      </w:pPr>
      <w:r>
        <w:rPr>
          <w:color w:val="000000"/>
        </w:rPr>
        <w:t xml:space="preserve">În baza art. </w:t>
      </w:r>
      <w:r>
        <w:rPr>
          <w:color w:val="1B1B1B"/>
        </w:rPr>
        <w:t>404</w:t>
      </w:r>
      <w:r>
        <w:rPr>
          <w:color w:val="000000"/>
        </w:rPr>
        <w:t xml:space="preserve"> alin. 4 lit. b </w:t>
      </w:r>
      <w:r>
        <w:rPr>
          <w:color w:val="1B1B1B"/>
        </w:rPr>
        <w:t xml:space="preserve">Cod Proc. Pen. </w:t>
      </w:r>
      <w:r>
        <w:rPr>
          <w:color w:val="000000"/>
        </w:rPr>
        <w:t xml:space="preserve">rap. la art. </w:t>
      </w:r>
      <w:r>
        <w:t xml:space="preserve">399 alin. 1 şi 10 Cod Proc. Penală, s-a </w:t>
      </w:r>
      <w:r>
        <w:rPr>
          <w:color w:val="000000"/>
        </w:rPr>
        <w:t>menţinut măsura arestului preventiv începând cu data de 25.05.2023</w:t>
      </w:r>
      <w:r>
        <w:t>, până la soluţionarea defintivă a cauzei.</w:t>
      </w:r>
    </w:p>
    <w:p w:rsidR="001947BE" w:rsidRDefault="00E023D7">
      <w:pPr>
        <w:ind w:left="-284" w:right="-2" w:firstLine="710"/>
        <w:contextualSpacing/>
        <w:jc w:val="both"/>
      </w:pPr>
      <w:r>
        <w:t>Conform art. 19 şi art. 397 alin. 1 Cod Procedură Penală coroborat cu art. </w:t>
      </w:r>
      <w:hyperlink w:tgtFrame="_blank" w:history="1" w:anchor="/dokument/16901347/2017-03-24?unitId=art(1349)&amp;cm=DOCUMENT" r:id="rId6">
        <w:r>
          <w:t>1349</w:t>
        </w:r>
      </w:hyperlink>
      <w:r>
        <w:t xml:space="preserve"> şi art. </w:t>
      </w:r>
      <w:hyperlink w:tgtFrame="_blank" w:history="1" w:anchor="/dokument/16901347/2017-03-24?unitId=art(1357)&amp;cm=DOCUMENT" r:id="rId7">
        <w:r>
          <w:t>1357</w:t>
        </w:r>
      </w:hyperlink>
      <w:r>
        <w:t xml:space="preserve"> Cod Civil, s-a admis acţiunea civilă exercitată de </w:t>
      </w:r>
      <w:r>
        <w:rPr>
          <w:color w:val="000000"/>
        </w:rPr>
        <w:t>p</w:t>
      </w:r>
      <w:r>
        <w:t>ersoana vătămată V1, şi s-a dispus obligarea inculpatului I să plătească acestei părţi civile suma de 1.400 de lei</w:t>
      </w:r>
      <w:r>
        <w:rPr>
          <w:rFonts w:ascii="Calibri" w:hAnsi="Calibri"/>
          <w:color w:val="000000"/>
          <w:sz w:val="22"/>
        </w:rPr>
        <w:t xml:space="preserve"> </w:t>
      </w:r>
      <w:r>
        <w:t xml:space="preserve"> cu titlu de daune materiale.</w:t>
      </w:r>
    </w:p>
    <w:p w:rsidR="001947BE" w:rsidRDefault="00E023D7">
      <w:pPr>
        <w:ind w:left="-284" w:right="-2" w:firstLine="710"/>
        <w:contextualSpacing/>
        <w:jc w:val="both"/>
        <w:rPr>
          <w:b/>
        </w:rPr>
      </w:pPr>
      <w:r>
        <w:t>În baza art. 398 raportat la art. 274 alin. 1 Cod Proc. Pen., s-a dispus obligarea inculpatului</w:t>
      </w:r>
      <w:r>
        <w:rPr>
          <w:color w:val="000000"/>
        </w:rPr>
        <w:t xml:space="preserve"> l</w:t>
      </w:r>
      <w:r>
        <w:t>a plata sumei de 550 lei cu titlu de cheltuieli judiciare avansate de stat, din care suma de 150 lei în faza de urmărire penală, iar suma de 400 lei în cursul camerei preliminare și al judecății.</w:t>
      </w:r>
    </w:p>
    <w:p w:rsidR="001947BE" w:rsidRDefault="00E023D7">
      <w:pPr>
        <w:suppressAutoHyphens/>
        <w:ind w:left="-284" w:right="-2" w:firstLine="710"/>
        <w:contextualSpacing/>
        <w:jc w:val="both"/>
      </w:pPr>
      <w:r>
        <w:rPr>
          <w:color w:val="000000"/>
        </w:rPr>
        <w:t xml:space="preserve">S-a dispus avansarea din fondurile Ministerului Justiţiei în contul Baroului X a sumei </w:t>
      </w:r>
      <w:r>
        <w:t xml:space="preserve">de </w:t>
      </w:r>
      <w:r>
        <w:rPr>
          <w:color w:val="000000"/>
        </w:rPr>
        <w:t xml:space="preserve">sumei </w:t>
      </w:r>
      <w:r>
        <w:t xml:space="preserve">de 942 lei, reprezentând onorariul apărătorului desemnat din oficiu, av. A2. </w:t>
      </w:r>
    </w:p>
    <w:p w:rsidR="001947BE" w:rsidRDefault="00E023D7">
      <w:pPr>
        <w:ind w:left="-284" w:right="-2" w:firstLine="710"/>
        <w:jc w:val="both"/>
        <w:rPr>
          <w:b/>
        </w:rPr>
      </w:pPr>
      <w:r>
        <w:rPr>
          <w:b/>
        </w:rPr>
        <w:t xml:space="preserve">Împotriva acestei sentințe a formulat apel inculpatul I, </w:t>
      </w:r>
      <w:r>
        <w:t>cauza fiind stabilită iniţial pentru data de 6.12.2023, termen preschimbat ulterior pentru data de 13.09.2023.</w:t>
      </w:r>
    </w:p>
    <w:p w:rsidR="001947BE" w:rsidRDefault="00E023D7">
      <w:pPr>
        <w:ind w:left="-284" w:right="-2" w:firstLine="710"/>
        <w:jc w:val="both"/>
        <w:rPr>
          <w:b/>
        </w:rPr>
      </w:pPr>
      <w:r>
        <w:rPr>
          <w:b/>
          <w:i/>
        </w:rPr>
        <w:t xml:space="preserve">Verificând, din oficiu, conform dispozițiilor art. 420 alin. 11 Cod procedură penală, raportat la art. 362 alin. 2 Cod procedură penală, art. 208 alin. 4 Cod procedură penală, legalitatea şi temeinicia măsurii arestării preventive luată faţă de inculpat, Curtea de Apel reține următoarele: </w:t>
      </w:r>
    </w:p>
    <w:p w:rsidR="001947BE" w:rsidRDefault="00E023D7">
      <w:pPr>
        <w:ind w:left="-284" w:right="-2" w:firstLine="710"/>
        <w:jc w:val="both"/>
      </w:pPr>
      <w:r>
        <w:t>Dată fiind starea de arest preventiv a inculpatului, instanţa de control judiciar este ţinută, în conformitate cu prevederile art. 420 alin. 11 Cod procedură penală, să efectueze din oficiu, anterior datei expirării duratei arestării preventive, un nou control de legalitate şi oportunitate a măsurii preventive privative de libertate care subzistă la acest moment faţă de inculpatul I, acesta fiind condamnat în primă instanţă în raport de infracţiunea reţinută în sarcina sa, aceea de furt calificat, prevăzut de art. 228 alin. 1 – 229 alin. 1 lit. a) C.pen., cu aplicarea art. 41 alin. 1 raportat la art. 43 alin. 5 C.pen., faţă de persoana vătămată V1,</w:t>
      </w:r>
      <w:r>
        <w:rPr>
          <w:b/>
        </w:rPr>
        <w:t xml:space="preserve"> </w:t>
      </w:r>
      <w:r>
        <w:rPr>
          <w:color w:val="000000"/>
        </w:rPr>
        <w:t>la pedeapsa închisorii în cuantum de 3 ani</w:t>
      </w:r>
      <w:r>
        <w:t>, în acord cu cele expuse mai-sus, prin hotărârea instanţei de fond, apelată în cauză, fiind menţinută măsura arestării preventive faţă de inculpat. Astfel, în speţă devin incidente dispoziţiile art. 362 Cod procedură penală şi art. 208 alin. 4 C.proc.pen.</w:t>
      </w:r>
    </w:p>
    <w:p w:rsidR="001947BE" w:rsidRDefault="00E023D7">
      <w:pPr>
        <w:ind w:left="-284" w:right="-2" w:firstLine="710"/>
        <w:jc w:val="both"/>
      </w:pPr>
      <w:r>
        <w:t xml:space="preserve">La acest moment, procedând la o nouă verificare a legalităţii şi temeiniciei măsurii preventive, în acord cu prevederile art. 208 alin. 4 C.proc.pen., instanţa de apel apreciază că toate temeiurile avute în vederea la luarea şi menţinerea măsurii se verifică şi în prezent, iar măsura este necesară în scopul prevăzut de art. 202 alin. 1 C.proc.pen. </w:t>
      </w:r>
    </w:p>
    <w:p w:rsidR="001947BE" w:rsidRDefault="00E023D7">
      <w:pPr>
        <w:ind w:left="-284" w:right="-2" w:firstLine="710"/>
        <w:jc w:val="both"/>
      </w:pPr>
      <w:r>
        <w:t xml:space="preserve">Astfel, în cauză, </w:t>
      </w:r>
      <w:r>
        <w:rPr>
          <w:b/>
          <w:i/>
          <w:u w:val="single"/>
        </w:rPr>
        <w:t>Curtea apreciază că sunt incidente dispozițiile art. 207 alin. 4 C.proc.pen., constatând că subzistă temeiurile care au determinat luarea măsurii arestării preventive față de inculpatul I, motiv pentru care va dispune menținerea măsurii preventive față de inculpat</w:t>
      </w:r>
      <w:r>
        <w:t xml:space="preserve">. </w:t>
      </w:r>
    </w:p>
    <w:p w:rsidR="001947BE" w:rsidRDefault="00E023D7">
      <w:pPr>
        <w:ind w:left="-284" w:right="-2" w:firstLine="710"/>
        <w:jc w:val="both"/>
      </w:pPr>
      <w:r>
        <w:t>De la momentul luării măsurii (</w:t>
      </w:r>
      <w:r>
        <w:rPr>
          <w:color w:val="000000"/>
        </w:rPr>
        <w:t>31.01.2023</w:t>
      </w:r>
      <w:r>
        <w:t xml:space="preserve">) până în prezent, la data soluţionării apelului de către Curtea de Apel X, după dezînvestirea instanței de fond care a pronunțat o hotărâre de condamnare a inculpatului pentru infracțiunea pentru care a fost trimis în judecată, ca urmare a sesizării instanței prin rechizitoriu, au trecut </w:t>
      </w:r>
      <w:r>
        <w:rPr>
          <w:color w:val="000000"/>
        </w:rPr>
        <w:t xml:space="preserve">aproximativ </w:t>
      </w:r>
      <w:r>
        <w:rPr>
          <w:b/>
          <w:color w:val="000000"/>
          <w:u w:val="single"/>
        </w:rPr>
        <w:t>7 luni</w:t>
      </w:r>
      <w:r>
        <w:t>. Până în prezent nu au apărut cauze care să împiedice exercitarea în continuare a acțiunii penale.</w:t>
      </w:r>
    </w:p>
    <w:p w:rsidR="001947BE" w:rsidRDefault="00E023D7">
      <w:pPr>
        <w:ind w:left="-284" w:right="-2" w:firstLine="710"/>
        <w:jc w:val="both"/>
      </w:pPr>
      <w:r>
        <w:t>Curtea reaminteşte că, prin instituirea măsurilor preventive împotriva unei persoane în cursul procesului penal, conform art. 202 și urm. C.proc.pen., se aduce atingere libertății individuale, motiv pentru care legislația națională, precum și cea europeană prevăd o serie de garanții care sunt menite să înlăture arbitrariul în luarea și menținerea măsurilor preventive.</w:t>
      </w:r>
    </w:p>
    <w:p w:rsidR="001947BE" w:rsidRDefault="00E023D7">
      <w:pPr>
        <w:ind w:left="-284" w:right="-2" w:firstLine="710"/>
        <w:jc w:val="both"/>
      </w:pPr>
      <w:r>
        <w:lastRenderedPageBreak/>
        <w:t xml:space="preserve">Ca atare, ori de câte ori se pune problema luării, </w:t>
      </w:r>
      <w:r>
        <w:rPr>
          <w:i/>
        </w:rPr>
        <w:t>menținerii</w:t>
      </w:r>
      <w:r>
        <w:t>, prelungirii sau confirmării unei măsuri preventive, dincolo de prevederile Codului de procedură penală, ce constituie cadrul măsurilor preventive, este imperios necesar să se țină seama de dispozițiile art. 23 din Constituția României, precum și de cele ale Convenției europene pentru apărarea drepturilor omului și libertăților fundamentale, cu referire la dispozițiile art. 5 privind dreptul la libertate și siguranță, de deciziile pronunțate de Înalta Curte de Casație și Justiție în soluționarea unor recursuri în interesul legii sau pentru dezlegarea unor chestiuni de drept.</w:t>
      </w:r>
    </w:p>
    <w:p w:rsidR="001947BE" w:rsidRDefault="00E023D7">
      <w:pPr>
        <w:ind w:left="-284" w:right="-2" w:firstLine="710"/>
        <w:jc w:val="both"/>
      </w:pPr>
      <w:r>
        <w:t>Ori de câte ori se pune problema luării unei măsuri preventive față de o persoană în cursul procesului penal trebuie plecat de la faptul că, potrivit art. 9 alin. 2 C.proc.pen., restrângerea exercițiului unor drepturi fundamentale are caracter excepțional. Sub acest aspect, în deplină concordanță cu jurisprudența Curții Europene a Drepturilor Omului, limitarea drepturilor fundamentale trebuie să se realizeze strict în limitele prescrise de lege, iar măsura să fie necesară într-o societate democratică.</w:t>
      </w:r>
    </w:p>
    <w:p w:rsidR="001947BE" w:rsidRDefault="00E023D7">
      <w:pPr>
        <w:ind w:left="-284" w:right="-2" w:firstLine="710"/>
        <w:jc w:val="both"/>
      </w:pPr>
      <w:r>
        <w:t>Măsurile preventive ce pot fi luate împotriva unei persoane fizice în cursul procesului penal sunt expres și limitativ prevăzute de lege în cuprinsul art. 202 alin. 4 C.proc.pen., și anume: reținerea, controlul judiciar, controlul judiciar pe cauțiune, arestul la domiciliu și arestarea preventivă.</w:t>
      </w:r>
    </w:p>
    <w:p w:rsidR="001947BE" w:rsidRDefault="00E023D7">
      <w:pPr>
        <w:ind w:left="-284" w:right="-2" w:firstLine="710"/>
        <w:jc w:val="both"/>
      </w:pPr>
      <w:r>
        <w:t>Indiferent de măsura preventivă ce se impune a fi luată în concret de organele judiciare, în fiecare situație este necesar să se verifice întrunirea condițiilor generale de luare a unei măsuri preventive, referitoare la scopul măsurii, necesitatea existenței unor probe sau indicii temeinice din care rezultă suspiciunea rezonabilă că o persoană a săvârșit o infracțiune, măsura aleasă să fie proporțională cu gravitatea acuzației aduse și să fie necesară pentru realizarea scopului urmărit prin dispunerea ei. Deopotrivă, este necesar să se constate inexistența vreuneia din cauzele care împiedică punerea în mișcare sau exercitarea acțiunii penale, enumerate la art. 16 alin. 1 C.proc.pen.</w:t>
      </w:r>
    </w:p>
    <w:p w:rsidR="001947BE" w:rsidRDefault="00E023D7">
      <w:pPr>
        <w:ind w:left="-284" w:right="-2" w:firstLine="710"/>
        <w:jc w:val="both"/>
      </w:pPr>
      <w:r>
        <w:t xml:space="preserve">Pornind de la scopul și condițiile de aplicare a măsurilor preventive, astfel cum acestea sunt reglementate în prevederile art. 202 C.proc.pen., precum și ținând seama de actele și lucrările dosarului, rezultă, în mod neechivoc, că față de persoana inculpatului </w:t>
      </w:r>
      <w:r>
        <w:rPr>
          <w:b/>
          <w:u w:val="single"/>
        </w:rPr>
        <w:t>I</w:t>
      </w:r>
      <w:r>
        <w:t xml:space="preserve"> se impune menținerea măsurii preventive privative de libertate, iar măsura arestului preventiv dispusă față de acesta este legală, cu întrunirea tuturor exigențelor de temeinicie prescrise de legea procesual penală. Instanţa de apel apreciază că, în speță, nu s-au modificat temeiurile ce au stat la baza luării măsurii arestului preventiv față de inculpat, privarea lui de libertate ca măsură preventivă impunându-se în continuare.</w:t>
      </w:r>
    </w:p>
    <w:p w:rsidR="001947BE" w:rsidRDefault="00E023D7">
      <w:pPr>
        <w:ind w:left="-284" w:right="-2" w:firstLine="710"/>
        <w:jc w:val="both"/>
        <w:rPr>
          <w:i/>
        </w:rPr>
      </w:pPr>
      <w:r>
        <w:t xml:space="preserve">Astfel, </w:t>
      </w:r>
      <w:r>
        <w:rPr>
          <w:b/>
          <w:i/>
        </w:rPr>
        <w:t>în aparenţă</w:t>
      </w:r>
      <w:r>
        <w:t xml:space="preserve"> din întreg materialul probator administrat până în prezent în cauză există indicii temeinice și probe care fac </w:t>
      </w:r>
      <w:r>
        <w:rPr>
          <w:b/>
          <w:i/>
        </w:rPr>
        <w:t>rezonabilă presupunerea</w:t>
      </w:r>
      <w:r>
        <w:t xml:space="preserve"> că sus-numitul a săvârşit infracţiunea pentru care acesta a fost trimis în judecată prin rechizitoriul emis de Parchetul de pe lângă Judecătoria T în dosarul nr. 4: </w:t>
      </w:r>
      <w:r>
        <w:rPr>
          <w:color w:val="000000"/>
        </w:rPr>
        <w:t>furt calificat, prev. de art. 228 alin. (1) - art. 229 alin. (1) lit a) C. pen.,</w:t>
      </w:r>
      <w:r>
        <w:t xml:space="preserve"> cu aplicarea art. 41 alin. (1) C. pen. rap. la art. 43 alin. (5) C. pen</w:t>
      </w:r>
      <w:r>
        <w:rPr>
          <w:b/>
        </w:rPr>
        <w:t>.</w:t>
      </w:r>
    </w:p>
    <w:p w:rsidR="001947BE" w:rsidRDefault="00E023D7">
      <w:pPr>
        <w:ind w:left="-284" w:right="-2" w:firstLine="710"/>
        <w:jc w:val="both"/>
      </w:pPr>
      <w:r>
        <w:t>În privinţa probelor suficiente care au aptitudinea de a contura suspiciunea rezonabilă de comitere a ilicitului penal de către inculpat, în sensul cerut de art. 223 alin. 2 C.proc.pen. şi art. 202 C.proc.pen., în cauză s-au pronunţat judecătorii de drepturi şi libertăţi, de cameră preliminară şi prima instanţă pe fondul cauzei, aceasta din urmă pronunţând o hotărâre de condamnare a inculpatului la pedeapsa închisorii cu executare în regim de detenţie. Până la acest moment, nu au fost administrate probe din care să rezulte o concluzie contrară.</w:t>
      </w:r>
    </w:p>
    <w:p w:rsidR="001947BE" w:rsidRDefault="00E023D7">
      <w:pPr>
        <w:ind w:left="-284" w:right="-2" w:firstLine="710"/>
        <w:jc w:val="both"/>
      </w:pPr>
      <w:r>
        <w:t>Astfel, inculpatul a fost trimis în judecată şi judecat pentru comiterea unei infracţiuni intenționate, aceea de furt calificat, care poate constitui temei de arestare raportat la gravitatea acuzaţiei penale şi  la periculozitatea inculpatului, care, de altfel, este cunoscut cu antecedente penale.</w:t>
      </w:r>
    </w:p>
    <w:p w:rsidR="001947BE" w:rsidRDefault="00E023D7">
      <w:pPr>
        <w:ind w:left="-284" w:right="-2" w:firstLine="710"/>
        <w:jc w:val="both"/>
      </w:pPr>
      <w:r>
        <w:t>Instanţa de apel reţine că, în prezent, nu s-au modificat temeiurile ce au stat la baza luării măsurii, considerentele expuse de Judecătorii de drepturi şi libertăţi, de cameră preliminară şi de instanţa de fond cu ocazia examenelor de legalitate şi oportunitate verificându-se şi la acest moment.</w:t>
      </w:r>
    </w:p>
    <w:p w:rsidR="001947BE" w:rsidRDefault="00E023D7">
      <w:pPr>
        <w:ind w:left="-284" w:right="-2" w:firstLine="710"/>
        <w:jc w:val="both"/>
      </w:pPr>
      <w:r>
        <w:t>Astfel, subzistă scopul general al măsurilor preventive, prev. art. 202 alin. 1 C.proc.pen., constând în necesitatea de a asigura buna desfășurare a procesului penal, prevenirea săvârșirii altor infracțiuni. Astfel, examinând piesele probatorii ale dosarului, se remarcă gravitatea faptei pretins săvârșite de inculpat (furt calificat), a scopului urmărit de acesta şi, mai ales, datele care caracterizează persoana acestuia, aşa cum acestea au fost conturate de judecătorii de drepturi şi libertăţi cu ocazia luării măsurii arestului preventiv faţă de inculpat. Din fişa de cazier judiciar ţinută pe numele inculpatului rezultă că, aparent, acesta a comis infracţiunea de care este acuzat în stare de recidivă postexecutorie (f. 22-24 d.u.p.).</w:t>
      </w:r>
    </w:p>
    <w:p w:rsidR="001947BE" w:rsidRDefault="00E023D7">
      <w:pPr>
        <w:ind w:left="-284" w:right="-2" w:firstLine="710"/>
        <w:jc w:val="both"/>
        <w:rPr>
          <w:i/>
        </w:rPr>
      </w:pPr>
      <w:r>
        <w:lastRenderedPageBreak/>
        <w:t>Modul de comitere a faptei imputate inculpatului, acuzat că, în data de 17.01.2023, în jurul orei 13:30, după un plan bine organizat, în colaborare cu alte persoane, printre care şi un minor, profitând de faptul că era aglomerație în mijlocul de transport în comun şi de neatenţia victimei aflată în etate, a sustras acesteia din urmă din buzunarul de la piept al gecii, portofelul în care se aflau suma de 1400 de lei, 3 carduri bancare, mai multe carduri promoționale și alte documente, reliefează nu doar gravitatea infracțiunii săvârșite, dar relevă aspecte ce țin de personalitatea acestuia, care a înțeles să reitereze conduita infracţională, cu toate că fusese condamnat anterior pentru comiterea unor infracţiuni similare, perseverând astfel pe calea infracțională.</w:t>
      </w:r>
    </w:p>
    <w:p w:rsidR="001947BE" w:rsidRDefault="00E023D7">
      <w:pPr>
        <w:ind w:left="-284" w:right="-2" w:firstLine="710"/>
        <w:jc w:val="both"/>
      </w:pPr>
      <w:r>
        <w:t>Lăsarea inculpatului în libertate prezintă pericol pentru ordinea publică, aspect ce reiese din natura şi gravitatea faptei săvârșite, a datelor care conturează antecedenţa penală a acestuia. De altfel, aşa cum s-a arătat, inculpatul a mai fost condamnat anterior pentru infracţiuni similare, iar în ciuda avertismentului primit, inculpatul a reintrat în câmpul infracţional (recidivă omogenă).</w:t>
      </w:r>
    </w:p>
    <w:p w:rsidR="001947BE" w:rsidRDefault="00E023D7">
      <w:pPr>
        <w:ind w:left="-284" w:right="-2" w:firstLine="710"/>
        <w:jc w:val="both"/>
      </w:pPr>
      <w:r>
        <w:t xml:space="preserve">Scopul unei măsuri preventive față de inculpat nu este dat doar de necesitatea împiedicării acestuia de a se sustrage de la judecată, ci și de necesitatea de a înlătura o stare de pericol pentru ordinea publică, prevenirea săvârșirii de noi infracțiuni de către inculpat, așa cum s-a arătat mai-sus. </w:t>
      </w:r>
    </w:p>
    <w:p w:rsidR="001947BE" w:rsidRDefault="00E023D7">
      <w:pPr>
        <w:ind w:left="-284" w:right="-2" w:firstLine="710"/>
        <w:jc w:val="both"/>
      </w:pPr>
      <w:r>
        <w:t xml:space="preserve">Raportat la gravitatea acuzațiilor aduse inculpatului, adecvată și proporțională cu scopul amintit mai-sus este măsura arestului preventiv. </w:t>
      </w:r>
    </w:p>
    <w:p w:rsidR="001947BE" w:rsidRDefault="00E023D7">
      <w:pPr>
        <w:ind w:left="-284" w:right="-2" w:firstLine="710"/>
        <w:jc w:val="both"/>
      </w:pPr>
      <w:r>
        <w:t xml:space="preserve">Gravitatea acuzațiilor aduse inculpatului este evaluată atât în abstract, prin raportare la natura infracțiunii pretins comise, cât și în concret, prin evaluarea criteriilor de ordin obiectiv și subiectiv relativ la conținutul faptei, modul și mijloacele de săvârșire, împrejurările concrete de săvârșire a faptei, urmările produse și, mai ales, persoana inculpatului, conduita acestuia anterior şi ulterior săvârșirii infracțiunii pentru care a fost trimis în judecată. </w:t>
      </w:r>
    </w:p>
    <w:p w:rsidR="001947BE" w:rsidRDefault="00E023D7">
      <w:pPr>
        <w:shd w:val="clear" w:color="auto" w:fill="FFFFFF"/>
        <w:ind w:left="-284" w:right="-2" w:firstLine="710"/>
        <w:jc w:val="both"/>
      </w:pPr>
      <w:r>
        <w:t xml:space="preserve">Instanţa de control judiciar reține că măsura arestului preventiv este necesară și se verifică temeiurile existente la data luării inițiale a măsurii față de inculpat, doar prin menținerea acesteia se poate preîntâmpina sau chiar înlătura pericolul generat de conduita acuzatului, prevenirea săvârșirii de noi infracțiuni, împiedicarea sustragerii inculpatului de la judecată și, în fine, asigurarea bunei desfășurări a procesului penal, în aşteptarea aplicării unei pedepse (în contextul în care prima instanţă a adoptat o hotărâre de condamnare, apelată la Curtea de Apel X).  </w:t>
      </w:r>
    </w:p>
    <w:p w:rsidR="001947BE" w:rsidRDefault="00E023D7">
      <w:pPr>
        <w:tabs>
          <w:tab w:val="left" w:pos="1095"/>
        </w:tabs>
        <w:ind w:left="-284" w:right="-2" w:firstLine="710"/>
        <w:jc w:val="both"/>
      </w:pPr>
      <w:r>
        <w:t>În cauză, se verifică întrunirea condițiilor generale și specifice ce au stat la baza luării inițiale a măsurii arestului preventiv față de inculpat.</w:t>
      </w:r>
    </w:p>
    <w:p w:rsidR="001947BE" w:rsidRDefault="00E023D7">
      <w:pPr>
        <w:ind w:left="-284" w:right="-2" w:firstLine="710"/>
        <w:jc w:val="both"/>
      </w:pPr>
      <w:r>
        <w:t>Astfel, dincolo de scopul măsurii preventive, existența unor indicii temeinice și probe ce contureaza suspiciunea rezonabilă că inculpatul este autorul infracțiunii pentru care s-a dispus trimiterea lui în judecată, potrivit art. 223 alin. 2 C.proc.pen., instanța reține că subzistă cerințele speciale pentru menținerea stării de arest preventiv, referitoare la săvârșirea unei infracțiuni intenționate anume prevăzute de art. 223 alin. 2 C.proc.pen., iar pe baza evaluării gravității faptelor imputate, a modului și a circumstanțelor de săvârșire a acesteia, a urmărilor faptei, dar și având în vedere persoana inculpatului, este necesară privarea de libertate a acestuia pentru înlăturarea unei stări de pericol concret pentru ordinea publică, pentru a se asigura buna desfășurare a procesului penal, precum și pentru prevenirea săvârșirii de noi infracțiuni de către inculpat.</w:t>
      </w:r>
    </w:p>
    <w:p w:rsidR="001947BE" w:rsidRDefault="00E023D7">
      <w:pPr>
        <w:ind w:left="-284" w:right="-2" w:firstLine="710"/>
        <w:jc w:val="both"/>
      </w:pPr>
      <w:r>
        <w:t>Măsura arestului preventiv este necesară și proporțională cu gravitatea acuzației, păstrându-se justul echilibru între restrângerea dreptului de libertate al inculpatului și interesul statului pentru prezervarea siguranței publice.</w:t>
      </w:r>
    </w:p>
    <w:p w:rsidR="001947BE" w:rsidRDefault="00E023D7">
      <w:pPr>
        <w:ind w:left="-284" w:right="-2" w:firstLine="710"/>
        <w:jc w:val="both"/>
      </w:pPr>
      <w:r>
        <w:t xml:space="preserve">În ceea ce privește solicitarea apărătorului inculpatului de înlocuire a măsurii arestului preventiv cu măsura arestului la domiciliu sau controlul judiciar, Curtea reține că aceste din urmă măsuri nu sunt adecvate și suficiente în realizarea scopului prevăzut de art. 202 alin. 1 C.proc.pen., raportat la considerentele expuse anterior. </w:t>
      </w:r>
    </w:p>
    <w:p w:rsidR="001947BE" w:rsidRDefault="00E023D7">
      <w:pPr>
        <w:ind w:left="-284" w:right="-2" w:firstLine="710"/>
        <w:jc w:val="both"/>
      </w:pPr>
      <w:r>
        <w:t xml:space="preserve">Existența stării de pericol pentru ordinea publică, în sensul art. 223 alin. 2 C.proc.pen., ce decurge din conduita ilicită a inculpatului, precum și din gravitatea faptei pretins comise, face ca măsura controlului judiciar să nu fie suficientă pentru atingerea scopului prev. de art. 202 alin. 1 C.proc.pen. Starea de pericol pentru ordinea publică, rezultată în urma comiterii faptei imputate, nu se confundă cu pericolul social concret al faptei săvârșite. Raportat la considerentele expuse anterior, se poate concluziona în sensul existenţei pericolului pentru ordinea publică, de reiterare a comportamentul infracțional, chiar prin săvârșirea altor infracțiuni similare, contrar celor învederate de apărătorul inculpatului. </w:t>
      </w:r>
    </w:p>
    <w:p w:rsidR="001947BE" w:rsidRDefault="00E023D7">
      <w:pPr>
        <w:ind w:left="-284" w:right="-2" w:firstLine="710"/>
        <w:jc w:val="both"/>
      </w:pPr>
      <w:r>
        <w:lastRenderedPageBreak/>
        <w:t>Înlocuirea măsurii preventive este măsura procesuală ce poate fi dispusă în situaţia în care s-au schimbat temeiurile care au determinat luarea măsurii arestării preventive, sunt îndeplinite condiţiile prev. de art. 211 C.proc.pen. sau 218 C.proc.pen. şi, în urma evaluării împrejurărilor concrete ale cauzei şi a conduitei procesuale a inculpatului, se apreciază că măsura preventivă mai uşoară este suficientă pentru realizarea scopului prev. de art. 202 alin. 1 C.proc.pen.</w:t>
      </w:r>
    </w:p>
    <w:p w:rsidR="001947BE" w:rsidRDefault="00E023D7">
      <w:pPr>
        <w:ind w:left="-284" w:right="-2" w:firstLine="710"/>
        <w:jc w:val="both"/>
      </w:pPr>
      <w:r>
        <w:t xml:space="preserve">Pericolul concret pentru ordinea publică este încă unul actual, în raport cu împrejurările comiterii faptei, precum şi cu rezonanţa pe care o are în comunitate infracţiunea pretins a fi săvârşită de către inculpat. </w:t>
      </w:r>
    </w:p>
    <w:p w:rsidR="001947BE" w:rsidRDefault="00E023D7">
      <w:pPr>
        <w:ind w:left="-284" w:right="-2" w:firstLine="710"/>
        <w:jc w:val="both"/>
      </w:pPr>
      <w:r>
        <w:t>În lumina tuturor considerentelor expuse mai-sus, se impune menţinerea măsurii preventive pentru o perioadă rezonabilă, ea fiind încă proporţională cu gravitatea acuzaţiei penale formulate, este necesară în scopul prev. de art. 202 alin. 1 C.proc.pen.</w:t>
      </w:r>
    </w:p>
    <w:p w:rsidR="001947BE" w:rsidRDefault="00E023D7">
      <w:pPr>
        <w:ind w:left="-284" w:right="-2" w:firstLine="710"/>
        <w:jc w:val="both"/>
      </w:pPr>
      <w:r>
        <w:t>Ca atare, este neîntemeiată cererea de înlocuire a măsurii arestului preventiv cu o altă măsură preventivă mai uşoară, formulată de inculpat.</w:t>
      </w:r>
    </w:p>
    <w:p w:rsidR="001947BE" w:rsidRDefault="00E023D7">
      <w:pPr>
        <w:ind w:left="-284" w:right="-2" w:firstLine="710"/>
        <w:jc w:val="both"/>
      </w:pPr>
      <w:r>
        <w:t>În baza art. 420 alin. 11 Cod procedură penală raportat la art. 362 alin. 2, art. 208 alin. 4 Cod procedură penală, va constată legalitatea şi temeinicia măsurii arestării preventive luată în cauză faţă de apelantul-inculpat I (</w:t>
      </w:r>
      <w:r w:rsidR="00A023C7">
        <w:t>fiul lui …. şi …, născut la data de ….  domiciliat …str. …., nr. …., …. CNP….</w:t>
      </w:r>
      <w:r>
        <w:t>), pe care o va menţine.</w:t>
      </w:r>
    </w:p>
    <w:p w:rsidR="001947BE" w:rsidRDefault="00E023D7">
      <w:pPr>
        <w:ind w:left="-284" w:right="-2" w:firstLine="710"/>
        <w:jc w:val="both"/>
      </w:pPr>
      <w:r>
        <w:t>În baza art. 275 alin. 3 Codul de procedură penală, cheltuielile judiciare avansate de stat vor rămâne în sarcina acestuia.</w:t>
      </w:r>
    </w:p>
    <w:bookmarkEnd w:id="3"/>
    <w:p w:rsidR="001947BE" w:rsidRDefault="001947BE">
      <w:pPr>
        <w:tabs>
          <w:tab w:val="left" w:pos="1095"/>
        </w:tabs>
        <w:ind w:left="-284" w:right="-2" w:firstLine="600"/>
        <w:jc w:val="both"/>
      </w:pPr>
    </w:p>
    <w:p w:rsidR="001947BE" w:rsidRDefault="00E023D7">
      <w:pPr>
        <w:ind w:left="-284" w:right="-2"/>
        <w:jc w:val="center"/>
        <w:rPr>
          <w:b/>
        </w:rPr>
      </w:pPr>
      <w:r>
        <w:rPr>
          <w:b/>
        </w:rPr>
        <w:t>PENTRU ACESTE MOTIVE</w:t>
      </w:r>
    </w:p>
    <w:p w:rsidR="001947BE" w:rsidRDefault="00E023D7">
      <w:pPr>
        <w:ind w:left="-284" w:right="-2"/>
        <w:jc w:val="center"/>
        <w:rPr>
          <w:b/>
        </w:rPr>
      </w:pPr>
      <w:r>
        <w:rPr>
          <w:b/>
        </w:rPr>
        <w:t>ÎN NUMELE LEGII</w:t>
      </w:r>
    </w:p>
    <w:p w:rsidR="001947BE" w:rsidRDefault="00E023D7">
      <w:pPr>
        <w:ind w:left="-284" w:right="-2"/>
        <w:jc w:val="center"/>
        <w:rPr>
          <w:b/>
        </w:rPr>
      </w:pPr>
      <w:r>
        <w:rPr>
          <w:b/>
        </w:rPr>
        <w:t>D I S P U N E :</w:t>
      </w:r>
    </w:p>
    <w:p w:rsidR="001947BE" w:rsidRDefault="001947BE">
      <w:pPr>
        <w:ind w:left="-284" w:right="-2"/>
        <w:jc w:val="both"/>
      </w:pPr>
    </w:p>
    <w:p w:rsidR="001947BE" w:rsidRDefault="00E023D7">
      <w:pPr>
        <w:ind w:left="-284" w:right="-2" w:firstLine="710"/>
        <w:jc w:val="both"/>
      </w:pPr>
      <w:r>
        <w:t xml:space="preserve">În baza art.420 al.11 C.pr.pen. rap. la art. 362 alin. 2 din Codul de procedură penală raportat la art. 208 alin. 4 din Codul de procedură penală, constată legalitatea şi temeinicia măsurii arestării preventive a  inculpatului </w:t>
      </w:r>
      <w:r>
        <w:rPr>
          <w:b/>
        </w:rPr>
        <w:t xml:space="preserve">I, </w:t>
      </w:r>
      <w:r w:rsidR="00A023C7">
        <w:t>fiul lui …. şi …, născut la data de ….  domiciliat …str. …., nr. …., …. CNP….</w:t>
      </w:r>
      <w:r>
        <w:t xml:space="preserve">, aflat în prezent în Penitenciarul G, măsură pe care o menţine. </w:t>
      </w:r>
    </w:p>
    <w:p w:rsidR="001947BE" w:rsidRDefault="00E023D7">
      <w:pPr>
        <w:ind w:left="-284" w:right="-2" w:firstLine="710"/>
        <w:jc w:val="both"/>
      </w:pPr>
      <w:r>
        <w:t xml:space="preserve">În baza art. 275 alin. 3 Codul de procedură penală cheltuielile judiciare avansate de stat rămân în sarcina acestuia. </w:t>
      </w:r>
    </w:p>
    <w:p w:rsidR="001947BE" w:rsidRDefault="00E023D7">
      <w:pPr>
        <w:ind w:left="-284" w:right="-2" w:firstLine="710"/>
        <w:jc w:val="both"/>
      </w:pPr>
      <w:r>
        <w:t>Definitivă.</w:t>
      </w:r>
    </w:p>
    <w:p w:rsidR="001947BE" w:rsidRDefault="00E023D7">
      <w:pPr>
        <w:ind w:left="-284" w:right="-2" w:firstLine="710"/>
        <w:jc w:val="both"/>
      </w:pPr>
      <w:r>
        <w:t>Pronunţată prin punerea la dispoziţia părţilor prin intermediul grefei, azi data de ….</w:t>
      </w:r>
    </w:p>
    <w:p w:rsidR="001947BE" w:rsidRDefault="001947BE">
      <w:pPr>
        <w:ind w:left="-284" w:right="-2" w:firstLine="851"/>
      </w:pPr>
    </w:p>
    <w:p w:rsidR="001947BE" w:rsidRDefault="00E023D7">
      <w:pPr>
        <w:ind w:left="-284" w:right="-2" w:firstLine="1277"/>
        <w:rPr>
          <w:b/>
        </w:rPr>
      </w:pPr>
      <w:r>
        <w:rPr>
          <w:b/>
        </w:rPr>
        <w:t xml:space="preserve">  PREŞEDINTE</w:t>
      </w:r>
      <w:r>
        <w:rPr>
          <w:b/>
        </w:rPr>
        <w:tab/>
      </w:r>
      <w:r>
        <w:rPr>
          <w:b/>
        </w:rPr>
        <w:tab/>
      </w:r>
      <w:r>
        <w:rPr>
          <w:b/>
        </w:rPr>
        <w:tab/>
      </w:r>
      <w:r>
        <w:rPr>
          <w:b/>
        </w:rPr>
        <w:tab/>
        <w:t xml:space="preserve"> </w:t>
      </w:r>
      <w:r>
        <w:rPr>
          <w:b/>
        </w:rPr>
        <w:tab/>
        <w:t>JUDECĂTOR</w:t>
      </w:r>
    </w:p>
    <w:p w:rsidR="00E023D7" w:rsidP="00E023D7" w:rsidRDefault="00E023D7">
      <w:pPr>
        <w:ind w:left="436" w:right="-2" w:firstLine="1004"/>
        <w:rPr>
          <w:b/>
        </w:rPr>
      </w:pPr>
      <w:r>
        <w:rPr>
          <w:b/>
        </w:rPr>
        <w:t xml:space="preserve"> … </w:t>
      </w:r>
      <w:r>
        <w:rPr>
          <w:b/>
        </w:rPr>
        <w:tab/>
        <w:t xml:space="preserve">              </w:t>
      </w:r>
      <w:r>
        <w:rPr>
          <w:b/>
        </w:rPr>
        <w:tab/>
      </w:r>
      <w:r>
        <w:rPr>
          <w:b/>
        </w:rPr>
        <w:tab/>
      </w:r>
      <w:r>
        <w:rPr>
          <w:b/>
        </w:rPr>
        <w:tab/>
      </w:r>
      <w:r>
        <w:rPr>
          <w:b/>
        </w:rPr>
        <w:tab/>
      </w:r>
      <w:r>
        <w:rPr>
          <w:b/>
        </w:rPr>
        <w:tab/>
        <w:t>A0004</w:t>
      </w:r>
      <w:r>
        <w:rPr>
          <w:b/>
        </w:rPr>
        <w:tab/>
      </w:r>
      <w:r>
        <w:rPr>
          <w:b/>
        </w:rPr>
        <w:tab/>
      </w:r>
      <w:r>
        <w:rPr>
          <w:b/>
        </w:rPr>
        <w:tab/>
      </w:r>
    </w:p>
    <w:p w:rsidR="001947BE" w:rsidRDefault="00E023D7">
      <w:pPr>
        <w:ind w:left="-284" w:right="-2" w:firstLine="851"/>
        <w:rPr>
          <w:i/>
        </w:rPr>
      </w:pPr>
      <w:r>
        <w:rPr>
          <w:i/>
        </w:rPr>
        <w:t>Fiind în concediu medical,</w:t>
      </w:r>
    </w:p>
    <w:p w:rsidR="001947BE" w:rsidRDefault="00E023D7">
      <w:pPr>
        <w:ind w:left="-284" w:right="-2" w:firstLine="851"/>
        <w:rPr>
          <w:i/>
        </w:rPr>
      </w:pPr>
      <w:r>
        <w:rPr>
          <w:i/>
        </w:rPr>
        <w:t xml:space="preserve">Semnează preşedintele Curţii  </w:t>
      </w:r>
    </w:p>
    <w:p w:rsidR="001947BE" w:rsidRDefault="001947BE">
      <w:pPr>
        <w:ind w:left="-284" w:right="-2" w:firstLine="851"/>
        <w:rPr>
          <w:i/>
        </w:rPr>
      </w:pPr>
    </w:p>
    <w:p w:rsidR="001947BE" w:rsidRDefault="00E023D7">
      <w:pPr>
        <w:ind w:left="-284" w:right="-2"/>
        <w:jc w:val="center"/>
        <w:rPr>
          <w:b/>
        </w:rPr>
      </w:pPr>
      <w:r>
        <w:rPr>
          <w:b/>
        </w:rPr>
        <w:t>GREFIER</w:t>
      </w:r>
    </w:p>
    <w:p w:rsidR="001947BE" w:rsidRDefault="00E023D7">
      <w:pPr>
        <w:ind w:left="-284" w:right="-2"/>
        <w:jc w:val="center"/>
        <w:rPr>
          <w:b/>
        </w:rPr>
      </w:pPr>
      <w:r>
        <w:rPr>
          <w:b/>
        </w:rPr>
        <w:t>…</w:t>
      </w:r>
    </w:p>
    <w:p w:rsidR="001947BE" w:rsidRDefault="001947BE">
      <w:pPr>
        <w:ind w:left="-284" w:right="-2" w:firstLine="600"/>
        <w:rPr>
          <w:b/>
        </w:rPr>
      </w:pPr>
    </w:p>
    <w:p w:rsidR="001947BE" w:rsidRDefault="001947BE">
      <w:pPr>
        <w:ind w:left="-284" w:right="-2"/>
        <w:rPr>
          <w:b/>
        </w:rPr>
      </w:pPr>
    </w:p>
    <w:p w:rsidR="001947BE" w:rsidRDefault="00E023D7">
      <w:pPr>
        <w:ind w:left="-284" w:right="-2" w:firstLine="600"/>
        <w:jc w:val="both"/>
        <w:rPr>
          <w:sz w:val="20"/>
        </w:rPr>
      </w:pPr>
      <w:r>
        <w:rPr>
          <w:sz w:val="20"/>
        </w:rPr>
        <w:t>Red. A0004/Tehn.…</w:t>
      </w:r>
    </w:p>
    <w:p w:rsidR="001947BE" w:rsidRDefault="00E023D7">
      <w:pPr>
        <w:ind w:left="-284" w:right="-2" w:firstLine="600"/>
        <w:jc w:val="both"/>
        <w:rPr>
          <w:sz w:val="20"/>
        </w:rPr>
      </w:pPr>
      <w:r>
        <w:rPr>
          <w:sz w:val="20"/>
        </w:rPr>
        <w:t>…/4ex.</w:t>
      </w:r>
    </w:p>
    <w:p w:rsidR="001947BE" w:rsidRDefault="00E023D7">
      <w:pPr>
        <w:ind w:left="-284" w:right="-2" w:firstLine="600"/>
        <w:jc w:val="both"/>
      </w:pPr>
      <w:r>
        <w:t xml:space="preserve"> </w:t>
      </w:r>
    </w:p>
    <w:p w:rsidR="001947BE" w:rsidRDefault="001947BE">
      <w:pPr>
        <w:ind w:left="-284" w:right="-2" w:firstLine="600"/>
      </w:pPr>
    </w:p>
    <w:p w:rsidR="001947BE" w:rsidRDefault="001947BE">
      <w:pPr>
        <w:keepNext/>
        <w:ind w:left="-284" w:right="-2" w:firstLine="600"/>
        <w:jc w:val="center"/>
        <w:outlineLvl w:val="1"/>
        <w:rPr>
          <w:b/>
        </w:rPr>
      </w:pPr>
    </w:p>
    <w:p w:rsidR="001947BE" w:rsidRDefault="001947BE">
      <w:pPr>
        <w:ind w:left="-284" w:right="-2" w:firstLine="600"/>
      </w:pPr>
    </w:p>
    <w:p w:rsidR="001947BE" w:rsidRDefault="001947BE">
      <w:pPr>
        <w:ind w:left="-284" w:right="-2" w:firstLine="600"/>
        <w:jc w:val="both"/>
      </w:pPr>
    </w:p>
    <w:p w:rsidR="001947BE" w:rsidP="00E023D7" w:rsidRDefault="00E023D7">
      <w:pPr>
        <w:ind w:left="-284" w:right="-2" w:firstLine="600"/>
        <w:jc w:val="both"/>
      </w:pPr>
      <w:r>
        <w:rPr>
          <w:i/>
        </w:rPr>
        <w:tab/>
      </w:r>
    </w:p>
    <w:sectPr w:rsidR="001947BE">
      <w:footerReference w:type="even" r:id="rId8"/>
      <w:footerReference w:type="default" r:id="rId9"/>
      <w:pgSz w:w="11906" w:h="16838"/>
      <w:pgMar w:top="851" w:right="851"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6134" w:rsidRDefault="00E023D7">
      <w:r>
        <w:separator/>
      </w:r>
    </w:p>
  </w:endnote>
  <w:endnote w:type="continuationSeparator" w:id="0">
    <w:p w:rsidR="008D6134" w:rsidRDefault="00E02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47BE" w:rsidRDefault="00E023D7">
    <w:pPr>
      <w:pStyle w:val="Footer"/>
      <w:framePr w:wrap="around" w:hAnchor="margin" w:vAnchor="text" w:xAlign="center" w:y="1"/>
      <w:rPr>
        <w:rStyle w:val="PageNumber"/>
      </w:rPr>
    </w:pPr>
    <w:r>
      <w:fldChar w:fldCharType="begin"/>
    </w:r>
    <w:r>
      <w:rPr>
        <w:rStyle w:val="PageNumber"/>
      </w:rPr>
      <w:instrText xml:space="preserve">PAGE  </w:instrText>
    </w:r>
    <w:r>
      <w:rPr>
        <w:rStyle w:val="PageNumber"/>
      </w:rPr>
      <w:fldChar w:fldCharType="separate"/>
    </w:r>
    <w:r>
      <w:rPr>
        <w:rStyle w:val="PageNumber"/>
      </w:rPr>
      <w:t>#</w:t>
    </w:r>
    <w:r>
      <w:rPr>
        <w:rStyle w:val="PageNumber"/>
      </w:rPr>
      <w:fldChar w:fldCharType="end"/>
    </w:r>
  </w:p>
  <w:p w:rsidR="001947BE" w:rsidRDefault="001947BE">
    <w:pPr>
      <w:pStyle w:val="Footer"/>
      <w:rPr>
        <w:rStyle w:val="PageNumbe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47BE" w:rsidRDefault="00E023D7">
    <w:pPr>
      <w:pStyle w:val="Footer"/>
      <w:framePr w:wrap="around" w:hAnchor="margin" w:vAnchor="text" w:xAlign="center" w:y="1"/>
      <w:rPr>
        <w:rStyle w:val="PageNumber"/>
      </w:rPr>
    </w:pPr>
    <w:r>
      <w:fldChar w:fldCharType="begin"/>
    </w:r>
    <w:r>
      <w:rPr>
        <w:rStyle w:val="PageNumber"/>
      </w:rPr>
      <w:instrText xml:space="preserve">PAGE  </w:instrText>
    </w:r>
    <w:r>
      <w:rPr>
        <w:rStyle w:val="PageNumber"/>
      </w:rPr>
      <w:fldChar w:fldCharType="separate"/>
    </w:r>
    <w:r>
      <w:rPr>
        <w:rStyle w:val="PageNumber"/>
      </w:rPr>
      <w:t>#</w:t>
    </w:r>
    <w:r>
      <w:rPr>
        <w:rStyle w:val="PageNumber"/>
      </w:rPr>
      <w:fldChar w:fldCharType="end"/>
    </w:r>
  </w:p>
  <w:p w:rsidR="001947BE" w:rsidRDefault="001947BE">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6134" w:rsidRDefault="00E023D7">
      <w:r>
        <w:separator/>
      </w:r>
    </w:p>
  </w:footnote>
  <w:footnote w:type="continuationSeparator" w:id="0">
    <w:p w:rsidR="008D6134" w:rsidRDefault="00E023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bd-cjca:80/ecris_cdms/document_upload.aspx?id_document=3300000001763822&amp;id_departament=7&amp;id_sesiune=2303976&amp;id_user=258&amp;id_institutie=33&amp;actiune=modifica"/>
  </w:docVars>
  <w:rsids>
    <w:rsidRoot w:val="001947BE"/>
    <w:rsid w:val="001947BE"/>
    <w:rsid w:val="008D6134"/>
    <w:rsid w:val="00A023C7"/>
    <w:rsid w:val="00A85569"/>
    <w:rsid w:val="00E023D7"/>
    <w:rsid w:val="00EE60E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98317"/>
  <w15:docId w15:val="{2F6C9375-4172-472C-AABF-BA01624E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paragraph" w:styleId="Heading1">
    <w:name w:val="heading 1"/>
    <w:basedOn w:val="Normal"/>
    <w:next w:val="Normal"/>
    <w:uiPriority w:val="9"/>
    <w:qFormat/>
    <w:pPr>
      <w:keepNext/>
      <w:jc w:val="center"/>
      <w:outlineLvl w:val="0"/>
    </w:pPr>
    <w:rPr>
      <w:b/>
      <w:sz w:val="28"/>
      <w:lang w:val="en-US"/>
    </w:rPr>
  </w:style>
  <w:style w:type="paragraph" w:styleId="Heading2">
    <w:name w:val="heading 2"/>
    <w:basedOn w:val="Normal"/>
    <w:next w:val="Normal"/>
    <w:link w:val="Heading2Char"/>
    <w:uiPriority w:val="9"/>
    <w:semiHidden/>
    <w:unhideWhenUsed/>
    <w:qFormat/>
    <w:pPr>
      <w:keepNext/>
      <w:jc w:val="center"/>
      <w:outlineLvl w:val="1"/>
    </w:pPr>
    <w:rPr>
      <w:rFonts w:ascii="Garamond" w:hAnsi="Garamond"/>
      <w:b/>
    </w:rPr>
  </w:style>
  <w:style w:type="paragraph" w:styleId="Heading3">
    <w:name w:val="heading 3"/>
    <w:basedOn w:val="Normal"/>
    <w:next w:val="Normal"/>
    <w:link w:val="Heading3Char"/>
    <w:uiPriority w:val="9"/>
    <w:semiHidden/>
    <w:unhideWhenUsed/>
    <w:qFormat/>
    <w:pPr>
      <w:keepNext/>
      <w:jc w:val="center"/>
      <w:outlineLvl w:val="2"/>
    </w:pPr>
    <w:rPr>
      <w:rFonts w:ascii="Garamond" w:hAnsi="Garamond"/>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Heading2Char">
    <w:name w:val="Heading 2 Char"/>
    <w:link w:val="Heading2"/>
    <w:rPr>
      <w:rFonts w:ascii="Garamond" w:hAnsi="Garamond"/>
      <w:b/>
    </w:rPr>
  </w:style>
  <w:style w:type="character" w:customStyle="1" w:styleId="Heading3Char">
    <w:name w:val="Heading 3 Char"/>
    <w:link w:val="Heading3"/>
    <w:rPr>
      <w:rFonts w:ascii="Garamond" w:hAnsi="Garamond"/>
      <w:sz w:val="36"/>
    </w:rPr>
  </w:style>
  <w:style w:type="character" w:styleId="PageNumber">
    <w:name w:val="page number"/>
    <w:basedOn w:val="DefaultParagraphFon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sintact.r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intact.ro/"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10</ap:TotalTime>
  <ap:Pages>5</ap:Pages>
  <ap:Words>3035</ap:Words>
  <ap:Characters>17606</ap:Characters>
  <ap:Application>Microsoft Office Word</ap:Application>
  <ap:DocSecurity>0</ap:DocSecurity>
  <ap:Lines>146</ap:Lines>
  <ap:Paragraphs>41</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20600</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