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3783D" w:rsidR="007B5E13" w:rsidP="007B5E13" w:rsidRDefault="007B5E13" w14:paraId="14B2C2DC"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R O M Â N I A</w:t>
      </w:r>
    </w:p>
    <w:p w:rsidRPr="0063783D" w:rsidR="007B5E13" w:rsidP="007B5E13" w:rsidRDefault="007B5E13" w14:paraId="28EA3E6D"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3D69A088"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18405F72"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789A4A50"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5221DE37"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7856C74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342722AB"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5C69BEFB" w14:textId="6687B98D">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18</w:t>
      </w:r>
    </w:p>
    <w:p w:rsidRPr="0063783D" w:rsidR="007B5E13" w:rsidP="007B5E13" w:rsidRDefault="007B5E13" w14:paraId="5FD07A4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5BEEC5A3"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Şedinţa </w:t>
      </w:r>
      <w:r w:rsidRPr="0063783D">
        <w:rPr>
          <w:rFonts w:ascii="Times New Roman" w:hAnsi="Times New Roman" w:eastAsia="Times New Roman" w:cs="Times New Roman"/>
          <w:b/>
          <w:kern w:val="0"/>
          <w:sz w:val="24"/>
          <w:szCs w:val="20"/>
          <w:lang w:val="ro-RO" w:eastAsia="en-GB"/>
          <w14:ligatures w14:val="none"/>
        </w:rPr>
      </w:r>
      <w:r w:rsidRPr="0063783D">
        <w:rPr>
          <w:rFonts w:ascii="Times New Roman" w:hAnsi="Times New Roman" w:eastAsia="Times New Roman" w:cs="Times New Roman"/>
          <w:b/>
          <w:kern w:val="0"/>
          <w:sz w:val="24"/>
          <w:szCs w:val="20"/>
          <w:lang w:val="ro-RO" w:eastAsia="en-GB"/>
          <w14:ligatures w14:val="none"/>
        </w:rPr>
      </w:r>
      <w:r w:rsidRPr="0063783D">
        <w:rPr>
          <w:rFonts w:ascii="Times New Roman" w:hAnsi="Times New Roman" w:eastAsia="Times New Roman" w:cs="Times New Roman"/>
          <w:b/>
          <w:kern w:val="0"/>
          <w:sz w:val="24"/>
          <w:szCs w:val="20"/>
          <w:lang w:val="ro-RO" w:eastAsia="en-GB"/>
          <w14:ligatures w14:val="none"/>
        </w:rPr>
      </w:r>
      <w:r w:rsidRPr="0063783D">
        <w:rPr>
          <w:rFonts w:ascii="Times New Roman" w:hAnsi="Times New Roman" w:eastAsia="Times New Roman" w:cs="Times New Roman"/>
          <w:b/>
          <w:kern w:val="0"/>
          <w:sz w:val="24"/>
          <w:szCs w:val="20"/>
          <w:lang w:val="ro-RO" w:eastAsia="en-GB"/>
          <w14:ligatures w14:val="none"/>
        </w:rPr>
        <w:t>publică</w:t>
      </w:r>
      <w:r w:rsidRPr="0063783D">
        <w:rPr>
          <w:rFonts w:ascii="Times New Roman" w:hAnsi="Times New Roman" w:eastAsia="Times New Roman" w:cs="Times New Roman"/>
          <w:b/>
          <w:kern w:val="0"/>
          <w:sz w:val="24"/>
          <w:szCs w:val="20"/>
          <w:lang w:val="ro-RO" w:eastAsia="en-GB"/>
          <w14:ligatures w14:val="none"/>
        </w:rPr>
      </w:r>
      <w:r w:rsidRPr="0063783D">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p>
    <w:p w:rsidRPr="0063783D" w:rsidR="007B5E13" w:rsidP="007B5E13" w:rsidRDefault="007B5E13" w14:paraId="7220D6A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Completul constituit din:</w:t>
      </w:r>
    </w:p>
    <w:p w:rsidRPr="0063783D" w:rsidR="007B5E13" w:rsidP="007B5E13" w:rsidRDefault="007B5E13" w14:paraId="70D6C536" w14:textId="6C6EEDA0">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63783D" w:rsidR="007B5E13" w:rsidP="007B5E13" w:rsidRDefault="007B5E13" w14:paraId="7A58AA0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w:t>
      </w:r>
    </w:p>
    <w:p w:rsidRPr="0063783D" w:rsidR="007B5E13" w:rsidP="007B5E13" w:rsidRDefault="007B5E13" w14:paraId="367F4FF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4D2BA1F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1DF0E4B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Pe rol se află judecarea </w:t>
      </w:r>
      <w:r w:rsidRPr="0063783D">
        <w:rPr>
          <w:rFonts w:ascii="Times New Roman" w:hAnsi="Times New Roman" w:eastAsia="Times New Roman" w:cs="Times New Roman"/>
          <w:i/>
          <w:kern w:val="0"/>
          <w:sz w:val="24"/>
          <w:szCs w:val="20"/>
          <w:lang w:val="ro-RO" w:eastAsia="en-GB"/>
          <w14:ligatures w14:val="none"/>
        </w:rPr>
        <w:t>cererii de chemare în judecată</w:t>
      </w:r>
      <w:r w:rsidRPr="0063783D">
        <w:rPr>
          <w:rFonts w:ascii="Times New Roman" w:hAnsi="Times New Roman" w:eastAsia="Times New Roman" w:cs="Times New Roman"/>
          <w:kern w:val="0"/>
          <w:sz w:val="24"/>
          <w:szCs w:val="20"/>
          <w:lang w:val="ro-RO" w:eastAsia="en-GB"/>
          <w14:ligatures w14:val="none"/>
        </w:rPr>
        <w:t xml:space="preserve"> formulate de reclamantul </w:t>
      </w:r>
      <w:r>
        <w:rPr>
          <w:rFonts w:ascii="Times New Roman" w:hAnsi="Times New Roman" w:eastAsia="Times New Roman" w:cs="Times New Roman"/>
          <w:b/>
          <w:kern w:val="0"/>
          <w:sz w:val="24"/>
          <w:szCs w:val="20"/>
          <w:lang w:val="ro-RO" w:eastAsia="en-GB"/>
          <w14:ligatures w14:val="none"/>
        </w:rPr>
        <w:t>A</w:t>
      </w:r>
      <w:r w:rsidRPr="0063783D">
        <w:rPr>
          <w:rFonts w:ascii="Times New Roman" w:hAnsi="Times New Roman" w:eastAsia="Times New Roman" w:cs="Times New Roman"/>
          <w:b/>
          <w:kern w:val="0"/>
          <w:sz w:val="24"/>
          <w:szCs w:val="20"/>
          <w:lang w:val="ro-RO" w:eastAsia="en-GB"/>
          <w14:ligatures w14:val="none"/>
        </w:rPr>
        <w:t xml:space="preserve"> </w:t>
      </w:r>
      <w:r w:rsidRPr="0063783D">
        <w:rPr>
          <w:rFonts w:ascii="Times New Roman" w:hAnsi="Times New Roman" w:eastAsia="Times New Roman" w:cs="Times New Roman"/>
          <w:kern w:val="0"/>
          <w:sz w:val="24"/>
          <w:szCs w:val="20"/>
          <w:lang w:val="ro-RO" w:eastAsia="en-GB"/>
          <w14:ligatures w14:val="none"/>
        </w:rPr>
        <w:t xml:space="preserve">(CNP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în contradictoriu cu pârâtul </w:t>
      </w:r>
      <w:r w:rsidRPr="0063783D">
        <w:rPr>
          <w:rFonts w:ascii="Times New Roman" w:hAnsi="Times New Roman" w:eastAsia="Times New Roman" w:cs="Times New Roman"/>
          <w:b/>
          <w:kern w:val="0"/>
          <w:sz w:val="24"/>
          <w:szCs w:val="20"/>
          <w:lang w:val="ro-RO" w:eastAsia="en-GB"/>
          <w14:ligatures w14:val="none"/>
        </w:rPr>
        <w:t xml:space="preserve">Guvernul României </w:t>
      </w:r>
      <w:r w:rsidRPr="0063783D">
        <w:rPr>
          <w:rFonts w:ascii="Times New Roman" w:hAnsi="Times New Roman" w:eastAsia="Times New Roman" w:cs="Times New Roman"/>
          <w:kern w:val="0"/>
          <w:sz w:val="24"/>
          <w:szCs w:val="20"/>
          <w:lang w:val="ro-RO" w:eastAsia="en-GB"/>
          <w14:ligatures w14:val="none"/>
        </w:rPr>
        <w:t xml:space="preserve">(CIF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având ca obiect acţiune în constatare, urmare a declinării competenţei de soluţionare a cauzei de la Tribunalul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prin Sentinţa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pronunţată în dosarul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Pr="0063783D" w:rsidR="007B5E13" w:rsidP="007B5E13" w:rsidRDefault="007B5E13" w14:paraId="3D82D02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La apelul nominal făcut în şedinţa </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publică</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 se constată lipsa părţilor.</w:t>
      </w:r>
    </w:p>
    <w:p w:rsidRPr="0063783D" w:rsidR="007B5E13" w:rsidP="007B5E13" w:rsidRDefault="007B5E13" w14:paraId="5E77CD7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S-a făcut </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referatul</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 xml:space="preserve"> cauzei de către </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grefier</w:t>
      </w:r>
      <w:r w:rsidRPr="0063783D">
        <w:rPr>
          <w:rFonts w:ascii="Times New Roman" w:hAnsi="Times New Roman" w:eastAsia="Times New Roman" w:cs="Times New Roman"/>
          <w:kern w:val="0"/>
          <w:sz w:val="24"/>
          <w:szCs w:val="20"/>
          <w:lang w:val="ro-RO" w:eastAsia="en-GB"/>
          <w14:ligatures w14:val="none"/>
        </w:rPr>
      </w:r>
      <w:r w:rsidRPr="0063783D">
        <w:rPr>
          <w:rFonts w:ascii="Times New Roman" w:hAnsi="Times New Roman" w:eastAsia="Times New Roman" w:cs="Times New Roman"/>
          <w:kern w:val="0"/>
          <w:sz w:val="24"/>
          <w:szCs w:val="20"/>
          <w:lang w:val="ro-RO" w:eastAsia="en-GB"/>
          <w14:ligatures w14:val="none"/>
        </w:rPr>
        <w:t>, care arată că procedura de citare este legal îndeplinită faţă de părţi şi că s-a solicitat judecarea cauzei şi în lipsă.</w:t>
      </w:r>
    </w:p>
    <w:p w:rsidRPr="0063783D" w:rsidR="007B5E13" w:rsidP="007B5E13" w:rsidRDefault="007B5E13" w14:paraId="3513418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Curtea reţine că, la termenul precedent de judecată, s-a dispus unirea cu fondul cauzei a excepţiei inadmisibilităţii invocate de către pârâtul Guvernul României atât în ceea ce priveşte acţiunea în ansamblul său, cât şi petitele I şi II din cererea de chemare în judecată.</w:t>
      </w:r>
    </w:p>
    <w:p w:rsidRPr="0063783D" w:rsidR="007B5E13" w:rsidP="007B5E13" w:rsidRDefault="007B5E13" w14:paraId="3EC4A67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De asemenea, Curtea invocă, din oficiu, excepţia lipsei de interes în ceea ce priveşte solicitarea de obligare a pârâtului Guvernul României la restituirea sumelor reţinute din pensie cu titlu de contribuţii de asigurări sociale de sănătate, începând cu luna ianuarie 2022 şi până la momentul încetării reţinerii. </w:t>
      </w:r>
    </w:p>
    <w:p w:rsidRPr="0063783D" w:rsidR="007B5E13" w:rsidP="007B5E13" w:rsidRDefault="007B5E13" w14:paraId="1932EA5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Curtea acordă cuvântul asupra acestor excepţii, cât şi asupra fondului cauzei.</w:t>
      </w:r>
    </w:p>
    <w:p w:rsidRPr="0063783D" w:rsidR="007B5E13" w:rsidP="007B5E13" w:rsidRDefault="007B5E13" w14:paraId="5154CD8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Faţă de actele şi lucrările existente la dosar, Curtea reţine cauza în pronunţare, hotărârea urmând a fi pronunţată astăzi, prin punerea soluţiei la dispoziţia părţilor prin intermediul grefei.</w:t>
      </w:r>
    </w:p>
    <w:p w:rsidRPr="0063783D" w:rsidR="007B5E13" w:rsidP="007B5E13" w:rsidRDefault="007B5E13" w14:paraId="3D5E2157"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5F31EA4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CURTEA DE APEL,</w:t>
      </w:r>
    </w:p>
    <w:p w:rsidRPr="0063783D" w:rsidR="007B5E13" w:rsidP="007B5E13" w:rsidRDefault="007B5E13" w14:paraId="18F4D626"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03C8201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Deliberând, constată că,</w:t>
      </w:r>
      <w:r w:rsidRPr="0063783D">
        <w:rPr>
          <w:rFonts w:ascii="Times New Roman" w:hAnsi="Times New Roman" w:eastAsia="Times New Roman" w:cs="Times New Roman"/>
          <w:kern w:val="0"/>
          <w:sz w:val="24"/>
          <w:szCs w:val="20"/>
          <w:lang w:val="ro-RO" w:eastAsia="en-GB"/>
          <w14:ligatures w14:val="none"/>
        </w:rPr>
        <w:t xml:space="preserve"> prin Sentinţa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pronunţată de Tribunalul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s-a admis excepția necompetenței materiale a Tribunalului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şi s-a declinat, în favoarea Curții de Apel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competența soluționării acțiunii formulate de reclamantul </w:t>
      </w:r>
      <w:r>
        <w:rPr>
          <w:rFonts w:ascii="Times New Roman" w:hAnsi="Times New Roman" w:eastAsia="Times New Roman" w:cs="Times New Roman"/>
          <w:b/>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 solicitat, în contradictoriu cu pârâții </w:t>
      </w:r>
      <w:r w:rsidRPr="0063783D">
        <w:rPr>
          <w:rFonts w:ascii="Times New Roman" w:hAnsi="Times New Roman" w:eastAsia="Times New Roman" w:cs="Times New Roman"/>
          <w:b/>
          <w:kern w:val="0"/>
          <w:sz w:val="24"/>
          <w:szCs w:val="20"/>
          <w:lang w:val="ro-RO" w:eastAsia="en-GB"/>
          <w14:ligatures w14:val="none"/>
        </w:rPr>
        <w:t>Guvernul României</w:t>
      </w:r>
      <w:r w:rsidRPr="0063783D">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Pr="0063783D" w:rsidR="007B5E13" w:rsidP="007B5E13" w:rsidRDefault="007B5E13" w14:paraId="2F82B86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44E89F1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Astfel, la data de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s-a înregistrat pe rolul Curţii de Apel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acţiunea formulată de către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sub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în contradictoriu exclusiv cu pârâtul Guvernul României, dosarul fiind disjuns din dosarul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al Tribunalului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potrivit Încheierii din data de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Cererea formulată de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în contradictoriu cu pârâta Casei Sectoriale de Pensii MAI a fost judecată în cadrul dosarului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al Tribunalului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Pr="0063783D" w:rsidR="007B5E13" w:rsidP="007B5E13" w:rsidRDefault="007B5E13" w14:paraId="2B2CB34A"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6CE6E7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Se constată că, </w:t>
      </w:r>
      <w:r w:rsidRPr="0063783D">
        <w:rPr>
          <w:rFonts w:ascii="Times New Roman" w:hAnsi="Times New Roman" w:eastAsia="Times New Roman" w:cs="Times New Roman"/>
          <w:b/>
          <w:kern w:val="0"/>
          <w:sz w:val="24"/>
          <w:szCs w:val="20"/>
          <w:lang w:val="ro-RO" w:eastAsia="en-GB"/>
          <w14:ligatures w14:val="none"/>
        </w:rPr>
        <w:t>prin cererea de chemare în judecată disjunsă</w:t>
      </w:r>
      <w:r w:rsidRPr="0063783D">
        <w:rPr>
          <w:rFonts w:ascii="Times New Roman" w:hAnsi="Times New Roman" w:eastAsia="Times New Roman" w:cs="Times New Roman"/>
          <w:color w:val="FF0000"/>
          <w:kern w:val="0"/>
          <w:sz w:val="24"/>
          <w:szCs w:val="20"/>
          <w:lang w:val="ro-RO" w:eastAsia="en-GB"/>
          <w14:ligatures w14:val="none"/>
        </w:rPr>
        <w:t xml:space="preserve">, </w:t>
      </w:r>
      <w:r w:rsidRPr="0063783D">
        <w:rPr>
          <w:rFonts w:ascii="Times New Roman" w:hAnsi="Times New Roman" w:eastAsia="Times New Roman" w:cs="Times New Roman"/>
          <w:kern w:val="0"/>
          <w:sz w:val="24"/>
          <w:szCs w:val="20"/>
          <w:lang w:val="ro-RO" w:eastAsia="en-GB"/>
          <w14:ligatures w14:val="none"/>
        </w:rPr>
        <w:t xml:space="preserve">reclamantul a solicitat ca prin hotărârea ce se va pronunţa în contradictoriu cu pârâtul Guvernul României, să se constate vătămarea drepturilor și intereselor sale legitime prin măsura reglementată de art. XXIV pct. 12 și 13 din O.U.G. nr. 130/2021, și anume prin modificarea Codului fiscal, respectiv prin aplicarea cotei de contribuție la sistemul de sănătate de 10% în cazul pensiilor ce depășesc suma lunară de 4.000 lei, şi obligarea pârâtului Guvernul României să asigure fonduri pentru restituirea sumelor reținute din pensie cu titlu de C.A.S., începând cu luna ianuarie 2022 și până la momentul încetării reținerii, sume actualizate cu indicele de inflație și a plății dobânzii legale penalizatoare prevăzute de art. 3 alin. 2 din O.U.G. nr. 13/2011. </w:t>
      </w:r>
    </w:p>
    <w:p w:rsidRPr="0063783D" w:rsidR="007B5E13" w:rsidP="007B5E13" w:rsidRDefault="007B5E13" w14:paraId="715041A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Reclamantul a invocat şi excepția de neconstituționalitate a dispozițiilor art. XXIV pct. 12 și 13 din O.U.G. nr. 130/2021, în raport cu dispozițiile art. 44, art. 47, art. 115, art. 125 și art. 56 din Constituția României.</w:t>
      </w:r>
    </w:p>
    <w:p w:rsidRPr="0063783D" w:rsidR="007B5E13" w:rsidP="007B5E13" w:rsidRDefault="007B5E13" w14:paraId="2EF4B3B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motivarea cererii, în primul rând, reclamantul a precizat că are calitate de pensionar, sens în care a făcut dovada cu copie a cuponului de pensie.</w:t>
      </w:r>
    </w:p>
    <w:p w:rsidRPr="0063783D" w:rsidR="007B5E13" w:rsidP="007B5E13" w:rsidRDefault="007B5E13" w14:paraId="7C9F1E9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continuare, a arătat faptul că prin O.U.G. nr. 130/2021, publicată în Monitorul Oficial nr.1202 din 18 decembrie 2021, Guvernul, în calitate de legislator delegat, a procedat la modificarea, în regim de urgență, a mai multor acte normative.</w:t>
      </w:r>
    </w:p>
    <w:p w:rsidRPr="0063783D" w:rsidR="007B5E13" w:rsidP="007B5E13" w:rsidRDefault="007B5E13" w14:paraId="7F64652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Potrivit dispozițiilor de la art. XXIV punctele 12 și 13, au fost modificate dispozițiile art. 155 din Codul fiscal - Legea nr.227/2015, astfel:</w:t>
      </w:r>
    </w:p>
    <w:p w:rsidRPr="0063783D" w:rsidR="007B5E13" w:rsidP="007B5E13" w:rsidRDefault="007B5E13" w14:paraId="4989B0A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„12. La articolul 154 alineatul (1), litera h) se modifică și va avea următorul cuprins: h) persoanele fizice care au calitatea de pensionari, pentru veniturile din pensii de până la suma de 4.000 lei lunar inclusiv, precum și pentru veniturile realizate din drepturi de proprietate intelectuală;</w:t>
      </w:r>
    </w:p>
    <w:p w:rsidRPr="0063783D" w:rsidR="007B5E13" w:rsidP="007B5E13" w:rsidRDefault="007B5E13" w14:paraId="424A0F7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13. La articolul 155 alineatul (1), după litera a) se introduce o nouă literă, litera al) cu următorul cuprins:</w:t>
      </w:r>
    </w:p>
    <w:p w:rsidRPr="0063783D" w:rsidR="007B5E13" w:rsidP="007B5E13" w:rsidRDefault="007B5E13" w14:paraId="2E412A0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 venituri din pensii, definite conform art. 99, pentru partea care depășește suma lunară de 4.000 lei;”.</w:t>
      </w:r>
    </w:p>
    <w:p w:rsidRPr="0063783D" w:rsidR="007B5E13" w:rsidP="007B5E13" w:rsidRDefault="007B5E13" w14:paraId="14F6B69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Potrivit titlului IV din Legea nr.227/2015 - Codul fiscal, Contribuții sociale obligatorii, Secțiunea a 2-a, intitulată Venituri pentru care se datorează contribuția, cotele de contribuții, contribuția pentru sistemul asigurărilor de sănătate, era reglementată ca fiind datorată, până la intrarea în vigoare a acestei modificări, doar pentru cetățenii care realizau venituri din salarii sau asimilate salariilor, veniturilor din activități independente, din drepturi de proprietate intelectuală ele.</w:t>
      </w:r>
    </w:p>
    <w:p w:rsidRPr="0063783D" w:rsidR="007B5E13" w:rsidP="007B5E13" w:rsidRDefault="007B5E13" w14:paraId="57C7D3D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Conform punctelor 12 și 13 ale art. XXIV din OUG nr. 130/2021, contribuția obligatorie la sistemul asigurărilor de sănătate, a fost reglementată, în regim de urgență și în cazul veniturilor din pensii, pentru partea care depășește suma de 4.000 lei.</w:t>
      </w:r>
    </w:p>
    <w:p w:rsidRPr="0063783D" w:rsidR="007B5E13" w:rsidP="007B5E13" w:rsidRDefault="007B5E13" w14:paraId="2815B04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Urmare a acestor dispoziţii pe care le apreciază a fi în contradicție cu Constituția României, veniturile obținute din pensie au fost reduse începând cu 01.01.2022 cu cota de 10% aplicată la valoarea ce depășește 4.000 lei.</w:t>
      </w:r>
    </w:p>
    <w:p w:rsidRPr="0063783D" w:rsidR="007B5E13" w:rsidP="007B5E13" w:rsidRDefault="007B5E13" w14:paraId="6319365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 În ceea ce priveşte cererea de sesizare a Curţii Constituționale a României, a arătat că OUG nr. 130/2021 prezintă carențe procedurale, întrucât sub pretextul urgenței, nemotivat, se  încalcă dispozițiile referitoare la ritmul normal de transparență decizională și adaptare, părţile implicate nefiind consultate.</w:t>
      </w:r>
    </w:p>
    <w:p w:rsidRPr="0063783D" w:rsidR="007B5E13" w:rsidP="007B5E13" w:rsidRDefault="007B5E13" w14:paraId="5947770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continuare, a menţionat că dispoziţiile art. XXIV pct. 12 şi 13 din O.U.G. nr. 130/2021 contravin şi dispoziţiilor art. 115 alin. 6 din Constituție. În acest context, a subliniat că potrivit dispoziţiilor art. 44 din Constituție, sunt garantate constituțional dreptul de proprietate și creanțele asupra statului, iar conținutul și limitele acestora sunt stabilite prin lege.</w:t>
      </w:r>
    </w:p>
    <w:p w:rsidRPr="0063783D" w:rsidR="007B5E13" w:rsidP="007B5E13" w:rsidRDefault="007B5E13" w14:paraId="25AF5C2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lastRenderedPageBreak/>
        <w:t>Pe lângă aceste motive de neconstituționalitate extrinsecă, reclamantul a înţeles să invoce şi motive de neconstituționalitate intrinsecă a dispoziţiilor art. XXIV pct. 12 şi pct. 13 din O.U.G. nr. 130/2021.</w:t>
      </w:r>
    </w:p>
    <w:p w:rsidRPr="0063783D" w:rsidR="007B5E13" w:rsidP="007B5E13" w:rsidRDefault="007B5E13" w14:paraId="536F3EF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Astfel, susținând încălcarea dispoziţiilor art. 44 și 47 din Constituție, reclamantul a arătat că toată perioada de activitate a contribuit la sistemul de asigurări de sănătate, că prin reglementarea acestei contribuții la acelaşi sistem doar în cazul persoanelor care realizează o pensie mai mare de 4000 lei lunar se încalcă dreptul la pensie al acestei categorii de cetățeni.</w:t>
      </w:r>
    </w:p>
    <w:p w:rsidRPr="0063783D" w:rsidR="007B5E13" w:rsidP="007B5E13" w:rsidRDefault="007B5E13" w14:paraId="6DCFCB7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Aşadar, pensia are natura unei asigurări sociale şi de sănătate a unei persoane, conform Legii nr. 223/2015, astfel că nu poate fi grevată cu o contribuție care are ca natură asigurarea de sănătate, aflându-se în prezența unei duble asigurări de sănătate aplicată discriminator  persoanelor a căror pensie depășește 4000 lei lunar.</w:t>
      </w:r>
    </w:p>
    <w:p w:rsidRPr="0063783D" w:rsidR="007B5E13" w:rsidP="007B5E13" w:rsidRDefault="007B5E13" w14:paraId="57BE965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 În continuare, reclamantul a solicitat să se constate că odată stabilită pensia, are așteptarea legitimă ca sistemul de taxe și impozite să rămână în privinţa pensiei cel puţin la nivelul datei pensionării, asigurându-se astfel stabilitatea pensiei, respectiv a nivelului de trai reglementat de art. 47 din Constituție. Dispoziţiile art. XXIV pct. 12 şi pct. 13 din O.U.G. nr. 130/2021 încalcă și art. 56 din Constituție, în sensul că reglementarea criticată depășește sfera de aplicare a acestui text constituțional, întrucât din economia art. 56 nu se poate desprinde posibilitatea ca aceste contribuții financiare să poarte asupra pensiei.</w:t>
      </w:r>
    </w:p>
    <w:p w:rsidRPr="0063783D" w:rsidR="007B5E13" w:rsidP="007B5E13" w:rsidRDefault="007B5E13" w14:paraId="459A3AE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acest sens, a susţinut că sistemul de impunere şi taxare poartă asupra veniturilor persoanei și nu asupra pensiei care reprezintă un drept câștigat şi o garanție de asigurare a existenţei pensionarului în raport cu natura, felul muncii, importanța muncii şi profesiei exercitate.</w:t>
      </w:r>
    </w:p>
    <w:p w:rsidRPr="0063783D" w:rsidR="007B5E13" w:rsidP="007B5E13" w:rsidRDefault="007B5E13" w14:paraId="48D3A68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Referitor la plata contribuției de sănătate, asupra veniturilor din salarii- măsuri aplicabile tuturor cetățenilor cât şi asupra pensiei- doar în cazul unor categorii de pensionari, a arătat că aceste situaţii duc la o dublă impunere a persoanei pentru acelaşi tip de asigurare  de sănătate, încălcându-se astfel art. 56 din Constituţie.</w:t>
      </w:r>
    </w:p>
    <w:p w:rsidRPr="0063783D" w:rsidR="007B5E13" w:rsidP="007B5E13" w:rsidRDefault="007B5E13" w14:paraId="7AA99D9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privinţa justei aşezări a sarcinilor fiscale, reclamantul a susţinut că măsura ,,tăierii pensiilor” vizează doar pensiile care depăşesc 4000 lei lunar, având caracter injust şi discriminatoriu.</w:t>
      </w:r>
    </w:p>
    <w:p w:rsidRPr="0063783D" w:rsidR="007B5E13" w:rsidP="007B5E13" w:rsidRDefault="007B5E13" w14:paraId="580F2A9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De asemenea, a menţionat că această măsură încalcă şi principiul neutralităţii măsurilor fiscale.</w:t>
      </w:r>
    </w:p>
    <w:p w:rsidRPr="0063783D" w:rsidR="007B5E13" w:rsidP="007B5E13" w:rsidRDefault="007B5E13" w14:paraId="58E24F4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Totodată, a arătat că potrivit dispoziţiilor art. 7 alin. 5 din Legea nr. 554/2004, plângerea prealabila nu este obligatorie.</w:t>
      </w:r>
    </w:p>
    <w:p w:rsidRPr="0063783D" w:rsidR="007B5E13" w:rsidP="007B5E13" w:rsidRDefault="007B5E13" w14:paraId="7D074D5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drept, reclamantul a invocat prevederile art. 9 din Legea nr. 554/2004.</w:t>
      </w:r>
    </w:p>
    <w:p w:rsidRPr="0063783D" w:rsidR="007B5E13" w:rsidP="007B5E13" w:rsidRDefault="007B5E13" w14:paraId="1C3030C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7FCBC7C2"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cauză,</w:t>
      </w:r>
      <w:r w:rsidRPr="0063783D">
        <w:rPr>
          <w:rFonts w:ascii="Times New Roman" w:hAnsi="Times New Roman" w:eastAsia="Times New Roman" w:cs="Times New Roman"/>
          <w:b/>
          <w:kern w:val="0"/>
          <w:sz w:val="24"/>
          <w:szCs w:val="20"/>
          <w:lang w:val="ro-RO" w:eastAsia="en-GB"/>
          <w14:ligatures w14:val="none"/>
        </w:rPr>
        <w:t xml:space="preserve"> pârâtul Guvernul României a depus la dosar întâmpinare</w:t>
      </w:r>
      <w:r w:rsidRPr="0063783D">
        <w:rPr>
          <w:rFonts w:ascii="Times New Roman" w:hAnsi="Times New Roman" w:eastAsia="Times New Roman" w:cs="Times New Roman"/>
          <w:kern w:val="0"/>
          <w:sz w:val="24"/>
          <w:szCs w:val="20"/>
          <w:lang w:val="ro-RO" w:eastAsia="en-GB"/>
          <w14:ligatures w14:val="none"/>
        </w:rPr>
        <w:t>, prin care</w:t>
      </w:r>
      <w:r w:rsidRPr="0063783D">
        <w:rPr>
          <w:rFonts w:ascii="Times New Roman" w:hAnsi="Times New Roman" w:eastAsia="Times New Roman" w:cs="Times New Roman"/>
          <w:kern w:val="0"/>
          <w:sz w:val="20"/>
          <w:szCs w:val="20"/>
          <w:lang w:val="ro-RO" w:eastAsia="en-GB"/>
          <w14:ligatures w14:val="none"/>
        </w:rPr>
        <w:t xml:space="preserve"> a invocat excepţia nulităţii cererii de chemare în judecată, excepţia inadmisibilităţii, iar pe fond a solicitat respingerea cererii de chemare în judecată ca neîntemeiată. </w:t>
      </w:r>
    </w:p>
    <w:p w:rsidRPr="0063783D" w:rsidR="007B5E13" w:rsidP="007B5E13" w:rsidRDefault="007B5E13" w14:paraId="47BB67A5"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În ce priveşte excepţia nulităţii cererii de chemare în judecată, pentru lipsa motivării acesteia, pârâtul a solicitat să se observe faptul că, deşi este întemeiată pe dispoziţiile art. 9 din Legea nr. 554/2004, cu modificările şi completările ulterioare, cererea de chemare în judecată nu respectă nici exigenţele de admisibilitate specifice temeiului de drept invocat, şi nici cele ale art. 194 Cod procedură civilă, fiind reprezentată exclusiv de excepţia de neconstituţionalitate invocată în cauză. Or, potrivit normei art. 9, persoana vătămată într-un drept al său ori într-un interes legitim prin ordonanţe sau dispoziţii din ordonanţe poate introduce acţiune la instanţa de contencios administrativ, însoţită de excepţia de neconstituţionalitate, în măsura în care obiectul principal nu este constatarea neconstituționalității ordonanţei sau a dispoziţiei din ordonanţă.</w:t>
      </w:r>
    </w:p>
    <w:p w:rsidRPr="0063783D" w:rsidR="007B5E13" w:rsidP="007B5E13" w:rsidRDefault="007B5E13" w14:paraId="7B83FCAE"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Astfel, în opinia pârâtului, întemeierea demersului judiciar pe dispoziţiile art. 9 este doar formală, excepţia de neconstituţionalitate neputând reprezenta, prin ea înseși, motivarea impusă de art. 194 Cod procedură civilă.</w:t>
      </w:r>
    </w:p>
    <w:p w:rsidRPr="0063783D" w:rsidR="007B5E13" w:rsidP="007B5E13" w:rsidRDefault="007B5E13" w14:paraId="118193F4"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Pentru considerentele arătate, pârâtul a solicitat să se constate nulitatea cererii de chemare în judecată.</w:t>
      </w:r>
    </w:p>
    <w:p w:rsidRPr="0063783D" w:rsidR="007B5E13" w:rsidP="007B5E13" w:rsidRDefault="007B5E13" w14:paraId="3315AB1E"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În continuare, cu privire la excepţia inadmisibilităţii cererii,  pârâtul a arătat faptul că, demersul judiciar al reclamantului se întemeiază pe dispoziţiile art. 9 din Legea contenciosului administrativ nr. 554/2004, cu modificările şi completările ulterioare.</w:t>
      </w:r>
    </w:p>
    <w:p w:rsidRPr="0063783D" w:rsidR="007B5E13" w:rsidP="007B5E13" w:rsidRDefault="007B5E13" w14:paraId="61526F92"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lastRenderedPageBreak/>
        <w:t xml:space="preserve">Astfel, în considerarea normei juridice anterior menţionate, pârâtul a solicitat să se observe faptul că, cererea de chemare în judecată a fost înregistrată pe rolul instanţei judecătoreşti după publicarea Deciziei Curţii Constituţionale nr. 650/2022 împrejurare faţă de care, în opinia sa, demersul judiciar al reclamantului a devenit inadmisibil. </w:t>
      </w:r>
    </w:p>
    <w:p w:rsidRPr="0063783D" w:rsidR="007B5E13" w:rsidP="007B5E13" w:rsidRDefault="007B5E13" w14:paraId="328F0D6E"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În acest context, pârâtul a evidenţiat faptul că, la data de 15 decembrie 2022, Curtea Constituţională a României a pronunţat Decizia nr. 650 referitoare la excepţia de neconstituţionalitate a dispoziţiilor art. XXIV pct. 11 [cu referire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pct. 12 [cu referire la art. 154 alin. (1) lit. h) sintagma "de până la suma de 4.000 lei lunar inclusiv"], pct. 13 [cu referire la art. 155 alin. (1) pct. a</w:t>
      </w:r>
      <w:r w:rsidRPr="0063783D">
        <w:rPr>
          <w:rFonts w:ascii="Times New Roman" w:hAnsi="Times New Roman" w:eastAsia="Times New Roman" w:cs="Times New Roman"/>
          <w:kern w:val="0"/>
          <w:sz w:val="20"/>
          <w:szCs w:val="20"/>
          <w:vertAlign w:val="superscript"/>
          <w:lang w:val="ro-RO" w:eastAsia="en-GB"/>
          <w14:ligatures w14:val="none"/>
        </w:rPr>
        <w:t>1</w:t>
      </w:r>
      <w:r w:rsidRPr="0063783D">
        <w:rPr>
          <w:rFonts w:ascii="Times New Roman" w:hAnsi="Times New Roman" w:eastAsia="Times New Roman" w:cs="Times New Roman"/>
          <w:kern w:val="0"/>
          <w:sz w:val="20"/>
          <w:szCs w:val="20"/>
          <w:lang w:val="ro-RO" w:eastAsia="en-GB"/>
          <w14:ligatures w14:val="none"/>
        </w:rPr>
        <w:t>)], pct. 14 [cu referire la sintagma "venituri din pensii" din cuprinsul titlului secţiunii a 3-a din capitolul III al titlului V "Contribuţii sociale obligatorii"], pct. 16 [cu referire la art. 157</w:t>
      </w:r>
      <w:r w:rsidRPr="0063783D">
        <w:rPr>
          <w:rFonts w:ascii="Times New Roman" w:hAnsi="Times New Roman" w:eastAsia="Times New Roman" w:cs="Times New Roman"/>
          <w:kern w:val="0"/>
          <w:sz w:val="20"/>
          <w:szCs w:val="20"/>
          <w:vertAlign w:val="superscript"/>
          <w:lang w:val="ro-RO" w:eastAsia="en-GB"/>
          <w14:ligatures w14:val="none"/>
        </w:rPr>
        <w:t>3</w:t>
      </w:r>
      <w:r w:rsidRPr="0063783D">
        <w:rPr>
          <w:rFonts w:ascii="Times New Roman" w:hAnsi="Times New Roman" w:eastAsia="Times New Roman" w:cs="Times New Roman"/>
          <w:kern w:val="0"/>
          <w:sz w:val="20"/>
          <w:szCs w:val="20"/>
          <w:lang w:val="ro-RO" w:eastAsia="en-GB"/>
          <w14:ligatures w14:val="none"/>
        </w:rPr>
        <w:t>], pct. 17 [cu referire la sintagma "precum şi al veniturilor din pensii" din cuprinsul titlului secţiunii a 4-a din capitolul III al titlului V "Contribuţii sociale obligatorii"], pct. 18 [cu referire la art. 168 alin. (1) în privinţa trimiterii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alin. (5) în privinţa trimiterii la art. 157</w:t>
      </w:r>
      <w:r w:rsidRPr="0063783D">
        <w:rPr>
          <w:rFonts w:ascii="Times New Roman" w:hAnsi="Times New Roman" w:eastAsia="Times New Roman" w:cs="Times New Roman"/>
          <w:kern w:val="0"/>
          <w:sz w:val="20"/>
          <w:szCs w:val="20"/>
          <w:vertAlign w:val="superscript"/>
          <w:lang w:val="ro-RO" w:eastAsia="en-GB"/>
          <w14:ligatures w14:val="none"/>
        </w:rPr>
        <w:t>3</w:t>
      </w:r>
      <w:r w:rsidRPr="0063783D">
        <w:rPr>
          <w:rFonts w:ascii="Times New Roman" w:hAnsi="Times New Roman" w:eastAsia="Times New Roman" w:cs="Times New Roman"/>
          <w:kern w:val="0"/>
          <w:sz w:val="20"/>
          <w:szCs w:val="20"/>
          <w:lang w:val="ro-RO" w:eastAsia="en-GB"/>
          <w14:ligatures w14:val="none"/>
        </w:rPr>
        <w:t xml:space="preserve"> şi alin. (7</w:t>
      </w:r>
      <w:r w:rsidRPr="0063783D">
        <w:rPr>
          <w:rFonts w:ascii="Times New Roman" w:hAnsi="Times New Roman" w:eastAsia="Times New Roman" w:cs="Times New Roman"/>
          <w:kern w:val="0"/>
          <w:sz w:val="20"/>
          <w:szCs w:val="20"/>
          <w:vertAlign w:val="superscript"/>
          <w:lang w:val="ro-RO" w:eastAsia="en-GB"/>
          <w14:ligatures w14:val="none"/>
        </w:rPr>
        <w:t>1</w:t>
      </w:r>
      <w:r w:rsidRPr="0063783D">
        <w:rPr>
          <w:rFonts w:ascii="Times New Roman" w:hAnsi="Times New Roman" w:eastAsia="Times New Roman" w:cs="Times New Roman"/>
          <w:kern w:val="0"/>
          <w:sz w:val="20"/>
          <w:szCs w:val="20"/>
          <w:lang w:val="ro-RO" w:eastAsia="en-GB"/>
          <w14:ligatures w14:val="none"/>
        </w:rPr>
        <w:t>)] şi pct. 19 [cu referire la alin. (1) lit. a) în privinţa trimiterii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şi ale art. XXV alin. (1) lit. c) [cu referire la pct. 12, 13, 16, 18 în privinţa alin. (1) şi (5) ale art. 168 şi pct. 19] din Ordonanţa de urgenţă a Guvernului nr. 130/2021 privind unele măsuri fiscal-bugetare, prorogarea unor termene, precum şi pentru modificarea şi completarea unor acte normative, potrivit căreia: Admite excepţia de neconstituţionalitate ridicată de Vasilica Sandovici în Dosarul nr. 545/59/2022 al Curţii de Apel Timişoara - Secţia contencios administrativ şi fiscal, de Ştefana Angliei şi alţii în Dosarul nr. 118/57/2022 al Curţii de Apel Alba Iulia - Secţia de contencios administrativ şi fiscal, de Doina Anghel şi alţii în Dosarul nr. 2.215/2/2022 al Curţii de Apel Bucureşti - Secţia a IX-a contencios administrativ şi fiscal, de Aurelian Ioan Ardelean în Dosarul nr. 223/43/2022 al Curţii de Apel Târgu Mureş - Secţia a II-a civilă, de contencios administrativ şi fiscal şi de Mihaela Liliana Gurzu şi Corina Iftode în Dosarul nr. 264/44/2022 al Curţii de Apel Galaţi - Secţia contencios administrativ şi fiscal şi constată că dispoziţiile art. XXIV pct. 11 [cu referire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pct. 12 [cu referire la art. 154 alin. (1) lit. h) sintagma „de până la suma de 4.000 lei lunar inclusiv"], pct. 13 [cu referire la art. 155 alin. (1) pct. a1)], pct. 14 [cu referire la sintagma „venituri din pensii" din cuprinsul titlului secţiunii a 3-a din capitolul III al titlului V „ Contribuţii sociale obligatorii"], pct. 16 [cu referire la art. 1573], pct. 17 [cu referire la sintagma „precum şi al veniturilor din pensii" din cuprinsul titlului secţiunii a 4-a din capitolul III al titlului V „ Contribuţii sociale obligatorii"], pct. 18 [cu referire la art. 168 alin. (1) în privinţa trimiterii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alin. (5) în privinţa trimiterii la art. 1573 şi alin. (7])J şi pct. 19 [cu referire la alin. (1) lit. a) în privinţa trimiterii la art. 153 alin. (1) lit. f</w:t>
      </w:r>
      <w:r w:rsidRPr="0063783D">
        <w:rPr>
          <w:rFonts w:ascii="Times New Roman" w:hAnsi="Times New Roman" w:eastAsia="Times New Roman" w:cs="Times New Roman"/>
          <w:kern w:val="0"/>
          <w:sz w:val="20"/>
          <w:szCs w:val="20"/>
          <w:vertAlign w:val="superscript"/>
          <w:lang w:val="ro-RO" w:eastAsia="en-GB"/>
          <w14:ligatures w14:val="none"/>
        </w:rPr>
        <w:t>2</w:t>
      </w:r>
      <w:r w:rsidRPr="0063783D">
        <w:rPr>
          <w:rFonts w:ascii="Times New Roman" w:hAnsi="Times New Roman" w:eastAsia="Times New Roman" w:cs="Times New Roman"/>
          <w:kern w:val="0"/>
          <w:sz w:val="20"/>
          <w:szCs w:val="20"/>
          <w:lang w:val="ro-RO" w:eastAsia="en-GB"/>
          <w14:ligatures w14:val="none"/>
        </w:rPr>
        <w:t>) ] şi ale art. XXV alin. (1) lit. c) [cu referire la pct. 12, 13, 16, 18 în privinţa alin. (1) şi (5) ale art. 168 şi pct. 19] din Ordonanţa de urgenţă a Guvernului nr. 130/2021 privind unele măsuri fiscal-bugetare, prorogarea unor termene, precum şi pentru modificarea şi completarea unor acte normative sunt neconstituţionale (publicată în Monitorul Oficial al României, Partea I, nr. 1262 din data de 28 decembrie 2022).</w:t>
      </w:r>
    </w:p>
    <w:p w:rsidRPr="0063783D" w:rsidR="007B5E13" w:rsidP="007B5E13" w:rsidRDefault="007B5E13" w14:paraId="35030330"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În consecinţă, pârâtul Guvernul României a concluzionat că în opinia sa, sunt incidente prevederile art. 29 alin. 3 din Legea nr. 47/1992, la data înregistrării cererii de chemare în judecată formulate de reclamant fiind publicată în M. Of. Decizia nr. 650/2022 a Curţii Constituţionale.</w:t>
      </w:r>
    </w:p>
    <w:p w:rsidRPr="0063783D" w:rsidR="007B5E13" w:rsidP="007B5E13" w:rsidRDefault="007B5E13" w14:paraId="4F9E1430"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În continuare, pârâtul Guvernul României a invocat excepţia inadmisibilităţii petitelor având ca obiect constatarea vătămării drepturilor şi intereselor legitime ale reclamantului şi  privind obligarea  pârâtului Guvernul României la alocarea fondurilor.</w:t>
      </w:r>
    </w:p>
    <w:p w:rsidRPr="0063783D" w:rsidR="007B5E13" w:rsidP="007B5E13" w:rsidRDefault="007B5E13" w14:paraId="7E7967C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Astfel, pârâtul a evidenţiat că potrivit cererii de chemare în judecată, reclamantul a solicitat instanţei să constate vătămarea drepturilor şi intereselor sale legitime (...).Or, în conformitate cu prevederile legale invocate de acesta - art. 9 din Legea nr. 554/2004, cu modificările şi completările ulterioare, acţiunea prevăzută de acest articol poate avea ca obiect acordarea de despăgubiri pentru prejudiciile cauzate prin ordonanţe ale Guvernului, anularea actelor administrative emise în baza acestora, precum şi, după caz, obligarea unei autorităţi publice la emiterea unui act administrativ sau la realizarea unei anumite operaţiuni administrative. Astfel, constatarea vătămării drepturilor şi intereselor pretinse, nu se circumscrie ipotezei normei juridice pe care se întemeiază demersul său, ceea ce face ca acesta să fie inadmisibil.</w:t>
      </w:r>
    </w:p>
    <w:p w:rsidRPr="0063783D" w:rsidR="007B5E13" w:rsidP="007B5E13" w:rsidRDefault="007B5E13" w14:paraId="128F1E2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Concluzionând asupra celor mai sus expuse, pârâtul a arătat că a dovedit inadmisibilitatea acestui petit, motiv pentru care se impune respingerea acestuia.</w:t>
      </w:r>
    </w:p>
    <w:p w:rsidRPr="0063783D" w:rsidR="007B5E13" w:rsidP="007B5E13" w:rsidRDefault="007B5E13" w14:paraId="178578F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Cu referire la excepţia de inadmisibilitate a petitului privind obligarea pârâtului Guvernul României la alocarea fondurilor pentru restituirea sumelor în litigiu, pârâtul a arătat, în esenţă, că în privinţa bugetului public naţional, se află în prezenţa unor prerogative instituite în sarcina autorităţii Executive, prin norme juridice de rang constituţional, transpuse ulterior la nivelul legislaţiei primare-Legea nr. 500/2002, cu modificările şi completările ulterioare dar şi Ordonanţa de urgenţă a Guvernului nr. 57/2019 privind Codul administrativ, cu modificările şi </w:t>
      </w:r>
      <w:r w:rsidRPr="0063783D">
        <w:rPr>
          <w:rFonts w:ascii="Times New Roman" w:hAnsi="Times New Roman" w:eastAsia="Times New Roman" w:cs="Times New Roman"/>
          <w:kern w:val="0"/>
          <w:sz w:val="24"/>
          <w:szCs w:val="20"/>
          <w:lang w:val="ro-RO" w:eastAsia="en-GB"/>
          <w14:ligatures w14:val="none"/>
        </w:rPr>
        <w:lastRenderedPageBreak/>
        <w:t>completările ulterioare [(art. 25 lit. d)], împrejurare faţă de care acestea nu se îndeplinesc sau exercită la cererea unei persoane pretins interesate.</w:t>
      </w:r>
    </w:p>
    <w:p w:rsidRPr="0063783D" w:rsidR="007B5E13" w:rsidP="007B5E13" w:rsidRDefault="007B5E13" w14:paraId="767D92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considerarea celor anterior expuse, pârâtul a solicitat respingerea petitului doi ca inadmisibil.</w:t>
      </w:r>
    </w:p>
    <w:p w:rsidRPr="0063783D" w:rsidR="007B5E13" w:rsidP="007B5E13" w:rsidRDefault="007B5E13" w14:paraId="4A5D1C3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continuare, în măsura în care se va trece peste aspectele de inadmisibilitate a acţiunii, pentru aceleaşi considerente, pârâtul a solicitat respingerea acţiunii ca neîntemeiată.</w:t>
      </w:r>
    </w:p>
    <w:p w:rsidRPr="0063783D" w:rsidR="007B5E13" w:rsidP="007B5E13" w:rsidRDefault="007B5E13" w14:paraId="711044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drept, pârâtul a invocat prevederile art. 2, 7, 8 şi 9 din Legea nr. 554/2004, art. 29, art. 31 din Legea nr. 47/1992, art. 187 şi următoarele din Legea nr. 287/2009, respectiv Constituţia României şi Decizia nr. 650/2022 a Curţii Constituţionale.</w:t>
      </w:r>
    </w:p>
    <w:p w:rsidRPr="0063783D" w:rsidR="007B5E13" w:rsidP="007B5E13" w:rsidRDefault="007B5E13" w14:paraId="181D9FE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438D260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Prin Încheierea de şedinţă din data de 6 octombrie 2023, s-a respins, ca neîntemeiată, excepţia nulităţii cererii de chemare în judecată, pentru nemotivarea acesteia, invocată de pârâtul Guvernul României; s-a unit cu fondul cauzei excepţia inadmisibilităţii acţiunii invocată de pârâtul Guvernul României; s-a respins, ca inadmisibilă, cererea de sesizare a Curţii Constituţionale a României cu excepţia de neconstituţionalitate.</w:t>
      </w:r>
    </w:p>
    <w:p w:rsidRPr="0063783D" w:rsidR="007B5E13" w:rsidP="007B5E13" w:rsidRDefault="007B5E13" w14:paraId="18F8E01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1EB8B9E1"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Analizând lucrările existente la dosarul cauzei, Curtea reţine următoarele:</w:t>
      </w:r>
    </w:p>
    <w:p w:rsidRPr="0063783D" w:rsidR="007B5E13" w:rsidP="007B5E13" w:rsidRDefault="007B5E13" w14:paraId="2FBFAE1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Asupra excepţiei inadmisibilităţii întregii acţiuni, Curtea reţine că în susţinerea acesteia s-a arătat că demersul procesual al părţii reclamante a devenit inadmisibil în contextul în care Curtea Constituţională s-a pronunţat prin Decizia nr. 650/15.12.2022, cu privire la aceeaşi excepţie de neconstituţionalitate invocată în prezenta cauză.</w:t>
      </w:r>
    </w:p>
    <w:p w:rsidRPr="0063783D" w:rsidR="007B5E13" w:rsidP="007B5E13" w:rsidRDefault="007B5E13" w14:paraId="6785F7B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Cererea de chemare în judecată a fost înregistrată de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de către reclamant, la data de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moment la care Decizia nr. 650/15.12.2022 a Curţii Constituţionale a României era publicată în Monitorul Oficial.</w:t>
      </w:r>
    </w:p>
    <w:p w:rsidRPr="0063783D" w:rsidR="007B5E13" w:rsidP="007B5E13" w:rsidRDefault="007B5E13" w14:paraId="197D78D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La data de 28.12.2022 a avut loc publicarea Deciziei în Monitorul Oficial, moment la care aceasta devine obligatorie. Acest moment al publicării în Monitorul Oficial al Deciziei nr. 650/15.12.2022, pronunţată de Curtea Constituţională a României, va fi avută în vedere cu ocazia cercetării de către instanţă, a cererii de sesizare a Curţii Constituţionale.</w:t>
      </w:r>
    </w:p>
    <w:p w:rsidRPr="0063783D" w:rsidR="007B5E13" w:rsidP="007B5E13" w:rsidRDefault="007B5E13" w14:paraId="7D914A2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sprijinul soluţiei de respingere a excepţiei inadmisibilităţii, Curtea are în vedere faptul că, potrivit dispoziţiilor art. 9 alin. 4 din Legea nr. 554/2004, partea afirmativ vătămată de o ordonanţă a guvernului, care a fost declarată neconstituţională, ca urmare a unei excepţii ridicate într-o altă cauză, poate să formuleze o acţiune direct la instanţă, într-un termen de decădere de 1 an de zile. Prin urmare, demersul procesual al reclamantului nu poate fi apreciat ca fiind inadmisibil, în contextul în care legiuitorul a recunoscut îndreptăţirea persoanelor prejudiciate de o ordonanţă de guvern declarată neconstituţională de a se adresa instanţei pentru a solicita despăgubiri, cum este şi situaţia de faţă, într-un termen de 1 an de zile, calculată de la data publicării Deciziei Curţii Constituţionale în Monitorul Oficial.</w:t>
      </w:r>
    </w:p>
    <w:p w:rsidRPr="0063783D" w:rsidR="007B5E13" w:rsidP="007B5E13" w:rsidRDefault="007B5E13" w14:paraId="49D7DFD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Pe cale de consecinţă, excepţia inadmisibilităţii întregii acţiuni, urmează a fi respinsă.</w:t>
      </w:r>
    </w:p>
    <w:p w:rsidRPr="0063783D" w:rsidR="007B5E13" w:rsidP="007B5E13" w:rsidRDefault="007B5E13" w14:paraId="79B405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Asupra excepției inadmisibilității petitului având ca obiect constatarea vătămării, Curtea reţine că </w:t>
      </w:r>
      <w:r w:rsidRPr="0063783D">
        <w:rPr>
          <w:rFonts w:ascii="Times New Roman" w:hAnsi="Times New Roman" w:eastAsia="Times New Roman" w:cs="Times New Roman"/>
          <w:kern w:val="0"/>
          <w:sz w:val="24"/>
          <w:szCs w:val="20"/>
          <w:lang w:val="ro-RO" w:eastAsia="en-GB"/>
          <w14:ligatures w14:val="none"/>
        </w:rPr>
        <w:t xml:space="preserve">petitul anterior menționat,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solicită ca prin hotărârea ce se va pronunța în contradictoriu cu pârâtul Guvernul României să se constate o stare de fapt.</w:t>
      </w:r>
    </w:p>
    <w:p w:rsidRPr="0063783D" w:rsidR="007B5E13" w:rsidP="007B5E13" w:rsidRDefault="007B5E13" w14:paraId="0A483A3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ceea ce priveşte obiectul acțiunii în contencios administrativ, art. 1 din Legea nr. 554/2004 enunță că orice persoană care se consideră vătămată într-un drept al său ori într-un interes legitim, de către o autoritate publică, printr-un act administrativ sau prin nesoluționarea în termenul legal a unei cereri, se poate adresa instanţei de contencios administrativ competente, pentru anularea actului, recunoașterea dreptului pretins sau a interesului legitim şi repararea pagubei ce i-a fost cauzată.</w:t>
      </w:r>
    </w:p>
    <w:p w:rsidRPr="0063783D" w:rsidR="007B5E13" w:rsidP="007B5E13" w:rsidRDefault="007B5E13" w14:paraId="0FED41D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Potrivit art. 35 alin. 1 teza I Cod procedură civilă, cel care are interes poate să ceară constatarea existenţei sau inexistenței unui drept.</w:t>
      </w:r>
    </w:p>
    <w:p w:rsidRPr="0063783D" w:rsidR="007B5E13" w:rsidP="007B5E13" w:rsidRDefault="007B5E13" w14:paraId="1C03BF5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lastRenderedPageBreak/>
        <w:t>Curtea reţine că nici legea specială a contenciosului administrativ, nici prevederea generală a art. 35 Cod procedură civilă, nu permit soluţionarea unei acțiuni care are ca obiect constatarea unei stări de fapt, ci doar stabilirea existenţei sau inexistenței unui drept, respectiv existenţa unei vătămări printr-un act sau un refuz nejustificat al unei autorităţi publice.</w:t>
      </w:r>
      <w:r w:rsidRPr="0063783D">
        <w:rPr>
          <w:rFonts w:ascii="Times New Roman" w:hAnsi="Times New Roman" w:eastAsia="Times New Roman" w:cs="Times New Roman"/>
          <w:kern w:val="0"/>
          <w:sz w:val="24"/>
          <w:szCs w:val="20"/>
          <w:lang w:val="ro-RO" w:eastAsia="en-GB"/>
          <w14:ligatures w14:val="none"/>
        </w:rPr>
        <w:br/>
      </w:r>
      <w:r w:rsidRPr="0063783D">
        <w:rPr>
          <w:rFonts w:ascii="Times New Roman" w:hAnsi="Times New Roman" w:eastAsia="Times New Roman" w:cs="Times New Roman"/>
          <w:kern w:val="0"/>
          <w:sz w:val="24"/>
          <w:szCs w:val="20"/>
          <w:lang w:val="ro-RO" w:eastAsia="en-GB"/>
          <w14:ligatures w14:val="none"/>
        </w:rPr>
        <w:tab/>
        <w:t xml:space="preserve">Faţă de cele expuse, instanţa va admite excepţia inadmisibilității capătului de cerere având ca obiect constatarea vătămării drepturilor și intereselor legitime ale reclamantului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prin aplicarea cotei de 10% în cazul pensiilor al căror cuantum depășește pragul de 4.000 lei prin dispoziţiile art. XXIV pct. 12-13 din OUG nr. 130/2021, şi, în consecinţă, va respinge ca inadmisibil acest capăt de cerere.</w:t>
      </w:r>
    </w:p>
    <w:p w:rsidRPr="0063783D" w:rsidR="007B5E13" w:rsidP="007B5E13" w:rsidRDefault="007B5E13" w14:paraId="56D0CF4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ceea ce priveşte excepţia de inadmisibilitate a petitului având ca obiect obligarea pârâtului Guvernul României să asigure fonduri pentru restituirea sumelor prevăzute prin indexarea şi actualizarea pensiei, instanţa reţine că nici aceasta nu poate fi subsumată dispoziţiilor art. 9 alin. 5 din Legea nr. 554/2004, cererea neputând fi valorificată ca o cerere vizând realizare a unei operaţiuni administrative.</w:t>
      </w:r>
    </w:p>
    <w:p w:rsidRPr="0063783D" w:rsidR="007B5E13" w:rsidP="007B5E13" w:rsidRDefault="007B5E13" w14:paraId="23AC28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Instanţa reţine că operațiunile administrative sunt forme de activitate care nu produc în sine efecte juridice, ci sunt în legătură cu un act administrativ, fiind fie prealabile emiterii actului administrativ şi pregătindu-l, fie ulterioare, servind la punerea în executare sau la îndeplinirea formalităţilor de publicitate. În cazul refuzului unei astfel de operațiuni, refuz ce împiedică exercitarea sau protejarea dreptului sau interesului legitim, legiuitorul a recunoscut celui vătămat accesul la justiție prin norma generală cuprinsă în art. 8 alin. 1 din Legea nr. 554/2004. </w:t>
      </w:r>
    </w:p>
    <w:p w:rsidRPr="0063783D" w:rsidR="007B5E13" w:rsidP="007B5E13" w:rsidRDefault="007B5E13" w14:paraId="1EAB52B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În mod similar, aşa cum s-a arătat mai sus, prin norma specială analizată în cauză – art. 9 alin. 5 din Legea nr. 554/2004, în cadrul acţiunii întemeiate pe acest text, cel vătămat printr-o ordonanță a Guvernului poate solicita obligarea autorității publice la „realizarea unei anumite operațiuni administrative”. </w:t>
      </w:r>
    </w:p>
    <w:p w:rsidRPr="0063783D" w:rsidR="007B5E13" w:rsidP="007B5E13" w:rsidRDefault="007B5E13" w14:paraId="2D91BE1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Însă, pornind de la natura operaţiunii administrative, se impune justificarea legăturii cu un act administrativ, pentru pregătirea sau executarea căruia această operaţiune să fie necesară, iar refuzul realizării acesteia să vatăme drepturile sau interesele legitime ale reclamantului.</w:t>
      </w:r>
    </w:p>
    <w:p w:rsidRPr="0063783D" w:rsidR="007B5E13" w:rsidP="007B5E13" w:rsidRDefault="007B5E13" w14:paraId="4B35DF8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În cauză, operaţiunea administrativă la realizarea căreia se solicită a fi obligat pârâtul constă în asigurarea fondurilor pentru plata de către un terţ a unor despăgubiri care, astfel cum s-a arătat anterior nu pot face obiectul prezentei cereri, dat fiind cadrul procesual stabilit de reclamant, ci a unei acţiuni eventuale, viitoare. </w:t>
      </w:r>
    </w:p>
    <w:p w:rsidRPr="0063783D" w:rsidR="007B5E13" w:rsidP="007B5E13" w:rsidRDefault="007B5E13" w14:paraId="6CCE1FB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Practic, în prezenta cauză, instanţa nu identifică actul administrativ a cărui emitere sau executare să fie împiedicată de refuzul realizării operațiunii administrative. În raport de finalitatea urmărită de parte prin cererea având ca obiect obligarea pârâtului Guvernul României să aloce fonduri, respectiv cea de a asigura plata efectivă a unor despăgubiri în măsura şi în condiţiile în care o asemenea cerere ar fi promovată şi admisă, reţinem că interesul părţii este să asigure punerea în executare a unei eventuale obligaţii de plată ce se va stabili ulterior. Or, în raport de o asemenea cerere nu se poate aprecia că partea justifică o vătămare concretă în sensul de a invoca un drept sau un interes legitim actual, căruia i s-a adus atingere prin omisiunea realizării de către Guvernul României a operaţiunii de alocare fonduri bugetare.</w:t>
      </w:r>
    </w:p>
    <w:p w:rsidRPr="0063783D" w:rsidR="007B5E13" w:rsidP="007B5E13" w:rsidRDefault="007B5E13" w14:paraId="3AA323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Instanţa reţine suplimentar că raportul juridic în cadrul căruia reclamantul invocă dreptul de indexare/actualizare a pensiei în raport cu pârâta Casa Sectorială de Pensii a Ministerului Afacerilor Interne se subsumează litigiilor în materie de pensii şi asigurări sociale conform Legii 223/2015, nefiind un raport de drept administrativ. Prin urmare operaţiunea administrativă indicată de reclamant nu poate fi pusă în legătură cu un act administrativ, astfel încât să fie atrasă aplicabilitatea art. 9 din Legea nr. 554/2004. </w:t>
      </w:r>
    </w:p>
    <w:p w:rsidRPr="0063783D" w:rsidR="007B5E13" w:rsidP="007B5E13" w:rsidRDefault="007B5E13" w14:paraId="1F92906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În altă ordine de idei, instanţa apreciază relevante considerentele din Decizia nr. 13/2016 a Înaltei Curţi de Casaţie şi Justiţie, decizie pronunţată în recursul în interesul legii din care rezultă că „interesul atragerii în proces şi a ordonatorului principal de credite, pe motiv că acest </w:t>
      </w:r>
      <w:r w:rsidRPr="0063783D">
        <w:rPr>
          <w:rFonts w:ascii="Times New Roman" w:hAnsi="Times New Roman" w:eastAsia="Times New Roman" w:cs="Times New Roman"/>
          <w:kern w:val="0"/>
          <w:sz w:val="24"/>
          <w:szCs w:val="20"/>
          <w:lang w:val="ro-RO" w:eastAsia="en-GB"/>
          <w14:ligatures w14:val="none"/>
        </w:rPr>
        <w:lastRenderedPageBreak/>
        <w:t>demers ar reprezenta o garanţie a executării obligaţiei de plată ce revine instituţiei/autorităţii publice cu care este stabilit raportul de serviciu, nu este de natură să conducă la o altă concluzie, întrucât acest interes nu este unul legitim, atâta vreme cât atribuţiile prevăzute de lege în materia repartizării creditelor bugetare, alocării şi stabilirii destinaţiei acestora nu cuprind o obligaţie de garanţie sau de despăgubire a ordonatorului principal de credite, care să constituie fundamentul pretenţiilor deduse judecăţii.”</w:t>
      </w:r>
    </w:p>
    <w:p w:rsidRPr="0063783D" w:rsidR="007B5E13" w:rsidP="007B5E13" w:rsidRDefault="007B5E13" w14:paraId="54BB3CD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cazul dedus judecăţii, reclamanta nu justifică un interes în formularea unei cereri pentru alocarea unor fonduri necesare despăgubirilor, acordarea şi plata acestora nefiind condiţionată de alocarea de fonduri în acest scop. În acest sens, în măsura în care reclamantul obţine într-un litigiu viitor obligarea pârâtei Casa Sectorială de Pensii a Ministerului Afacerilor Interne la plata sumelor reprezentând indexare/actualizare pensie, în conformitate cu jurisprudenţa constantă a CEDO, într-un asemenea caz nu este necesară parcurgerea unor proceduri în vederea executării efective a obligaţiei. Astfel, în hotărârile din 27 mai 2004 şi 15 ianuarie 2009, pronunţate în cauzele Metaxas împotriva Greciei şi Burdov împotriva Rusiei,  Curtea a reţinut că „nu este oportun să i se solicite unei persoane care a obţinut, în urma unei proceduri judiciare, o creanţă împotriva statului să iniţieze ulterior o executare silită pentru a obţine o reparaţie. În asemenea cazuri, statul, prin autorităţile sale, trebuie să ia toate măsurile necesare executării, iar sistemul bugetar al statului, lipsa de fonduri sau a altor resurse nu îl pot scuti pe acesta de obligaţia sa, în baza Convenţiei, de a garanta fiecărei persoane dreptul la executarea unei hotărâri judecătoreşti definitive într-un interval de timp rezonabil”.</w:t>
      </w:r>
    </w:p>
    <w:p w:rsidRPr="0063783D" w:rsidR="007B5E13" w:rsidP="007B5E13" w:rsidRDefault="007B5E13" w14:paraId="2E19505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În raport de considerentele anterioare, instanţa reţine că cererea reclamantului de obligare a pârâtului Guvernul României să asigure fonduri în vederea acordării unor despăgubiri viitoare nu are corespondent în prevederile art. 9 alin. 5 din Legea nr. 554/2004, în sensul în care reclamantul nu justifică necesitatea obligării autorităţii publice la realizarea acestei operaţiuni administrative, în vederea înlăturării vătămării dreptului sau interesului legitim.</w:t>
      </w:r>
    </w:p>
    <w:p w:rsidRPr="0063783D" w:rsidR="007B5E13" w:rsidP="007B5E13" w:rsidRDefault="007B5E13" w14:paraId="1C2B930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Se constată aşadar un fine de neprimire în procedura impusă de art. 9 din Legea nr. 554/2004, în ceea ce priveşte cererile având ca obiect: constatarea vătămării drepturilor şi intereselor legitime, în sensul actualizării pensiei, prin măsura reglementată de art. VII din OUG nr. 59/2017, obligarea pârâtului Guvernul României să asigure fonduri pentru restituirea sumelor în litigiu.</w:t>
      </w:r>
    </w:p>
    <w:p w:rsidRPr="0063783D" w:rsidR="007B5E13" w:rsidP="007B5E13" w:rsidRDefault="007B5E13" w14:paraId="4EB3B48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5F218219"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p>
    <w:p w:rsidRPr="0063783D" w:rsidR="007B5E13" w:rsidP="007B5E13" w:rsidRDefault="007B5E13" w14:paraId="2388D7DE"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Asupra excepției lipsei de interes privind restituirea sumelor reținute din pensie în temeiul art. IV din OUG nr. 130/2021, invocate din oficiu și asupra fondului cauzei, Curtea reține că prin cererea de chemare în judecată reclamantul a solicitat, în temeiul art. 9 din Legea nr. 554/2004, obligarea pârâtului la despăgubiri constând în sume egale cu cele reținute începând cu luna ianuarie 2022 din pensia reclamantului, rețineri făcute cu titlul de contribuții de asigurări sociale de sănătate, cu o bază lunară de calcul a contribuției de 10% din partea ce depășește suma lunară de 4.000 lei pentru fiecare drept de pensie.</w:t>
      </w:r>
    </w:p>
    <w:p w:rsidRPr="0063783D" w:rsidR="007B5E13" w:rsidP="007B5E13" w:rsidRDefault="007B5E13" w14:paraId="53CE30DF"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Prin Decizia nr. 650/2022, Curtea Constituţională a admis excepţia de neconstituţionalitate şi a constatat „că dispoziţiile art. XXIV pct. 11 [cu referire la art. 153 alin. (1) lit. f^2)], pct. 12 [cu referire la art. 154 alin. (1) lit. h) sintagma "de până la suma de 4.000 lei lunar inclusiv"], pct. 13 [cu referire la art. 155 alin. (1) pct. a^1)], pct. 14 [cu referire la sintagma "venituri din pensii" din cuprinsul titlului secțiunii a 3-a din capitolul III al titlului V "Contribuţii sociale obligatorii"], pct. 16 [cu referire la art. 157^3], pct. 17 [cu referire la sintagma "precum şi al veniturilor din pensii" din cuprinsul titlului secțiunii a 4-a din capitolul III al titlului V "Contribuţii sociale obligatorii"], pct. 18 [cu referire la art. 168 alin. (1) în privinţa trimiterii la art. 153 alin. (1) lit. f^2), alin. (5) în privinţa trimiterii la art. 157^3 şi alin. (7^1)] şi pct. 19 [cu referire la alin. (1) lit. a) în privinţa trimiterii la art. 153 alin. (1) lit. f^2)] şi ale art. XXV alin. (1) lit. c) [cu referire la pct. 12, 13, 16, 18 în privinţa alin. (1) şi (5) ale art. 168 şi pct. 19] din Ordonanţa de urgenţă a Guvernului nr. 130/2021 privind unele măsuri fiscal-bugetare, prorogarea unor termene, precum şi pentru modificarea şi completarea unor acte normative sunt neconstituționale”.</w:t>
      </w:r>
    </w:p>
    <w:p w:rsidRPr="0063783D" w:rsidR="007B5E13" w:rsidP="007B5E13" w:rsidRDefault="007B5E13" w14:paraId="2835B0F5"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Acesta a fost şi motivul pentru care prezenta instanţă a respins, la termenul de judecată din data de 6.10.2023, cererea de sesizare a Curţii Constituţionale formulate în cauză.</w:t>
      </w:r>
    </w:p>
    <w:p w:rsidRPr="0063783D" w:rsidR="007B5E13" w:rsidP="007B5E13" w:rsidRDefault="007B5E13" w14:paraId="2ED26798"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Curtea reţine că, urmare a pronunțării Deciziei nr. 650/2022 de către instanţa de contencios constituţional, a fost adoptată OUG nr. 4/2023 prin care, la art. 1 alin. 1, s-a dispus că „sumele reţinute din veniturile din pensii </w:t>
      </w:r>
      <w:r w:rsidRPr="0063783D">
        <w:rPr>
          <w:rFonts w:ascii="Times New Roman" w:hAnsi="Times New Roman" w:eastAsia="Times New Roman" w:cs="Times New Roman"/>
          <w:kern w:val="0"/>
          <w:sz w:val="20"/>
          <w:szCs w:val="20"/>
          <w:lang w:val="ro-RO" w:eastAsia="en-GB"/>
          <w14:ligatures w14:val="none"/>
        </w:rPr>
        <w:lastRenderedPageBreak/>
        <w:t>realizate de persoanele fizice, cu titlu de contribuţii de asigurări sociale de sănătate de la data de 1 ianuarie 2022 până la data de 27 decembrie 2022 inclusiv, se restituie lunar în perioada 1 martie 2023 - 28 februarie 2024, după recalcularea venitului impozabil corespunzător lunilor pentru care se efectuează restituirea, în conformitate cu prevederile Legii nr. 227/2015 privind Codul fiscal, cu modificările şi completările ulterioare, şi reţinerea diferenţelor de impozit pe venit datorate”.</w:t>
      </w:r>
    </w:p>
    <w:p w:rsidRPr="0063783D" w:rsidR="007B5E13" w:rsidP="007B5E13" w:rsidRDefault="007B5E13" w14:paraId="58DCFBB9"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La art. 2 alin. 1 din aceeaşi ordonanţă se prevede că „restituirea sumelor prevăzute la art. 1 se face, din oficiu, de către Casa Naţională de Pensii Publice, prin casele teritoriale de pensii, precum şi de către casele de pensii sectoriale şi de către entităţile care plătesc venituri din pensii”.</w:t>
      </w:r>
    </w:p>
    <w:p w:rsidRPr="0063783D" w:rsidR="007B5E13" w:rsidP="007B5E13" w:rsidRDefault="007B5E13" w14:paraId="30B1C951"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Curtea observă că reclamantul se încadrează în situaţiile de restituire vizate de actul normativ amintit, perspectivă din care condiția interesului procesual nu se mai verifică.  Potrivit art. 33 Cod procedură civilă „interesul trebuie să fie determinat, legitim, personal, născut şi actual”. </w:t>
      </w:r>
    </w:p>
    <w:p w:rsidRPr="0063783D" w:rsidR="007B5E13" w:rsidP="007B5E13" w:rsidRDefault="007B5E13" w14:paraId="2F84EB7D"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Instanţa apreciază că deşi justificarea condiției interesului judiciar vizează, în principal, momentul sesizării instanţei, această condiţie trebuie să subziste pe tot parcursul judecății, în caz contrar nemaiputându-se vorbi despre caracterul „actual” al acestuia.</w:t>
      </w:r>
    </w:p>
    <w:p w:rsidRPr="0063783D" w:rsidR="007B5E13" w:rsidP="007B5E13" w:rsidRDefault="007B5E13" w14:paraId="194AE3B1"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Legiuitorul a recunoscut îndreptățirea reclamantului la restituirea sumelor  reţinute din veniturile din pensii realizate de aceasta, cu titlu de contribuţii de asigurări sociale de sănătate, sume în limita cărora reclamanta a solicitat obligarea Guvernului României la despăgubiri, în temeiul art. 9 din Legea nr. 554/2004.</w:t>
      </w:r>
    </w:p>
    <w:p w:rsidRPr="0063783D" w:rsidR="007B5E13" w:rsidP="007B5E13" w:rsidRDefault="007B5E13" w14:paraId="690DC980"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În atare situaţie, nu se mai verifică interesul reclamantului în promovarea petitului prin care a solicitat despăgubiri constând în plata unor sume egale cu sumele reţinute începând cu luna ianuarie 2022 din pensia acesteia, rețineri făcute cu titlul de contribuţii de asigurări sociale de sănătate, cu o bază lunară de calcul a contribuției de 10% din partea ce depășește suma lunară de 4.000 lei pentru fiecare drept de pensie. </w:t>
      </w:r>
    </w:p>
    <w:p w:rsidRPr="0063783D" w:rsidR="007B5E13" w:rsidP="007B5E13" w:rsidRDefault="007B5E13" w14:paraId="50F82949" w14:textId="77777777">
      <w:pPr>
        <w:spacing w:after="0" w:line="240" w:lineRule="auto"/>
        <w:ind w:firstLine="708"/>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Ca atare, se impune respingerii petitului privind debitul principal ca </w:t>
      </w:r>
      <w:r w:rsidRPr="0063783D">
        <w:rPr>
          <w:rFonts w:ascii="Times New Roman" w:hAnsi="Times New Roman" w:eastAsia="Times New Roman" w:cs="Times New Roman"/>
          <w:kern w:val="0"/>
          <w:sz w:val="24"/>
          <w:szCs w:val="20"/>
          <w:lang w:val="ro-RO" w:eastAsia="en-GB"/>
          <w14:ligatures w14:val="none"/>
        </w:rPr>
        <w:t>lipsit de interes</w:t>
      </w:r>
      <w:r w:rsidRPr="0063783D">
        <w:rPr>
          <w:rFonts w:ascii="Times New Roman" w:hAnsi="Times New Roman" w:eastAsia="Times New Roman" w:cs="Times New Roman"/>
          <w:kern w:val="0"/>
          <w:sz w:val="20"/>
          <w:szCs w:val="20"/>
          <w:lang w:val="ro-RO" w:eastAsia="en-GB"/>
          <w14:ligatures w14:val="none"/>
        </w:rPr>
        <w:t>.</w:t>
      </w:r>
    </w:p>
    <w:p w:rsidRPr="0063783D" w:rsidR="007B5E13" w:rsidP="007B5E13" w:rsidRDefault="007B5E13" w14:paraId="5B54C40A"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În schimb, vor fi admise solicitările vizând actualizarea cu rata inflației şi acordarea dobânzii legale aferentă sumelor reţinute din pensie. </w:t>
      </w:r>
    </w:p>
    <w:p w:rsidRPr="0063783D" w:rsidR="007B5E13" w:rsidP="007B5E13" w:rsidRDefault="007B5E13" w14:paraId="5DF18A66"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Curtea reţine în acest sens că reclamantul este persoană vătămată în înţelesul art. 9 alin. 1, coroborat cu art. 2 alin. 1 lit. a) din Legea nr. 554/2004, cu privire la dreptul său la pensie (respectiv, cu privire la sumele reţinute începând cu luna ianuarie 2022 din pensia acesteia, reţineri făcute cu titlul de contribuţii de asigurări sociale de sănătate, cu o bază lunară de calcul a contribuţiei de 10% din partea ce depăşeşte suma lunară de 4.000 lei pentru fiecare drept de pensie), vătămare produsă ca urmare a aplicării art. XXIV pct. 11-14, 16-19, respectiv art. XXV din OUG nr. 130/2021, dispoziţii a căror neconstituţionalitate s-a constatat. </w:t>
      </w:r>
    </w:p>
    <w:p w:rsidRPr="0063783D" w:rsidR="007B5E13" w:rsidP="007B5E13" w:rsidRDefault="007B5E13" w14:paraId="165751EF"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Prin OUG nr. 4/2023 legiuitorul nu a dispus şi cu privire la restituirea actualizată a sumelor şi nici cu privire la acordarea de dobânzi la aceste sume.    </w:t>
      </w:r>
    </w:p>
    <w:p w:rsidRPr="0063783D" w:rsidR="007B5E13" w:rsidP="007B5E13" w:rsidRDefault="007B5E13" w14:paraId="2EEF005D"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Reclamantul are însă dreptul la repararea integrală a prejudiciului suferit, ceea ce presupune acoperirea atât a pagubei efective (damnum emergens), cât şi a beneficiului de care a fost lipsită (lucrum cessans).</w:t>
      </w:r>
    </w:p>
    <w:p w:rsidRPr="0063783D" w:rsidR="007B5E13" w:rsidP="007B5E13" w:rsidRDefault="007B5E13" w14:paraId="21EDAEA7"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Sunt aplicabile în acest sens dispoziţiile art. 1531 alin. 1 şi art. 1535 Cod civil, precum şi cele ale OG nr. 13/2011.  </w:t>
      </w:r>
    </w:p>
    <w:p w:rsidRPr="0063783D" w:rsidR="007B5E13" w:rsidP="007B5E13" w:rsidRDefault="007B5E13" w14:paraId="3651FF5B"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 xml:space="preserve">Dispoziţiile art. 1531 alin. 1 Cod civil consacră principiul reparării integrale a prejudiciului, iar potrivit art. 1535 alin. 1, „în cazul în care o sumă de bani nu este plătită la scadență, creditorul are dreptul la daune moratorii, de la scadență până în momentul plății, în cuantumul convenit de părţi sau, în lipsă, în cel prevăzut de lege, fără a trebui să dovedească vreun prejudiciu”. </w:t>
      </w:r>
    </w:p>
    <w:p w:rsidRPr="0063783D" w:rsidR="007B5E13" w:rsidP="007B5E13" w:rsidRDefault="007B5E13" w14:paraId="02BE12DD"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Acoperirea pagubei efective (damnum emergens) se realizează prin restituirea sumelor reţinute, conform OUG nr. 4/2023, actualizate în raport de indicele de inflație, creanța fiind adusă astfel la valoarea ei reală, în aceeaşi expresie economică din momentul stabilirii ei, astfel încât creditorul obligaţiei să nu suporte efectele devalorizării monedei.</w:t>
      </w:r>
    </w:p>
    <w:p w:rsidRPr="0063783D" w:rsidR="007B5E13" w:rsidP="007B5E13" w:rsidRDefault="007B5E13" w14:paraId="50E662BB"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Beneficiul nerealizat (lucrum cessans), pe de altă parte, este acoperit prin acordarea daunelor moratorii, constând în dobânda legală penalizatoare, prevăzută de OG nr. 13/2011.</w:t>
      </w:r>
    </w:p>
    <w:p w:rsidRPr="0063783D" w:rsidR="007B5E13" w:rsidP="007B5E13" w:rsidRDefault="007B5E13" w14:paraId="31666D7D"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Ca urmare, pentru repararea integrală a prejudiciului suferit de reclamant, se impune obligarea pârâtului Guvernul României la plata, către reclamant, de despăgubiri reprezentând actualizarea cu rata inflaţiei aplicată sumelor care se vor restitui reclamantei conform OUG nr. 4/2023, respectiv la plata, către reclamant, de despăgubiri constând în dobânda legală aferentă sumelor reţinute cu titlul de contribuţii de asigurări sociale de sănătate, calculată începând cu data fiecărei reţineri şi până la data restituirii acestora conform OUG nr. 4/2023.</w:t>
      </w:r>
    </w:p>
    <w:p w:rsidRPr="0063783D" w:rsidR="007B5E13" w:rsidP="007B5E13" w:rsidRDefault="007B5E13" w14:paraId="41831ED0" w14:textId="77777777">
      <w:pPr>
        <w:spacing w:after="0" w:line="240" w:lineRule="auto"/>
        <w:ind w:firstLine="709"/>
        <w:jc w:val="both"/>
        <w:rPr>
          <w:rFonts w:ascii="Times New Roman" w:hAnsi="Times New Roman" w:eastAsia="Times New Roman" w:cs="Times New Roman"/>
          <w:kern w:val="0"/>
          <w:sz w:val="20"/>
          <w:szCs w:val="20"/>
          <w:lang w:val="ro-RO" w:eastAsia="en-GB"/>
          <w14:ligatures w14:val="none"/>
        </w:rPr>
      </w:pPr>
      <w:r w:rsidRPr="0063783D">
        <w:rPr>
          <w:rFonts w:ascii="Times New Roman" w:hAnsi="Times New Roman" w:eastAsia="Times New Roman" w:cs="Times New Roman"/>
          <w:kern w:val="0"/>
          <w:sz w:val="20"/>
          <w:szCs w:val="20"/>
          <w:lang w:val="ro-RO" w:eastAsia="en-GB"/>
          <w14:ligatures w14:val="none"/>
        </w:rPr>
        <w:t>Ca atare, acţiunea va fi admisă în parte, în limitele analizate anterior.</w:t>
      </w:r>
    </w:p>
    <w:p w:rsidRPr="0063783D" w:rsidR="007B5E13" w:rsidP="007B5E13" w:rsidRDefault="007B5E13" w14:paraId="5E41F990" w14:textId="77777777">
      <w:pPr>
        <w:spacing w:after="0" w:line="240" w:lineRule="auto"/>
        <w:rPr>
          <w:rFonts w:ascii="Times New Roman" w:hAnsi="Times New Roman" w:eastAsia="Times New Roman" w:cs="Times New Roman"/>
          <w:color w:val="FF0000"/>
          <w:kern w:val="0"/>
          <w:sz w:val="24"/>
          <w:szCs w:val="20"/>
          <w:lang w:val="ro-RO" w:eastAsia="en-GB"/>
          <w14:ligatures w14:val="none"/>
        </w:rPr>
      </w:pPr>
    </w:p>
    <w:p w:rsidRPr="0063783D" w:rsidR="007B5E13" w:rsidP="007B5E13" w:rsidRDefault="007B5E13" w14:paraId="240FE7A6"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PENTRU ACESTE MOTIVE,</w:t>
      </w:r>
    </w:p>
    <w:p w:rsidRPr="0063783D" w:rsidR="007B5E13" w:rsidP="007B5E13" w:rsidRDefault="007B5E13" w14:paraId="1136991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ÎN NUMELE LEGII,</w:t>
      </w:r>
    </w:p>
    <w:p w:rsidRPr="0063783D" w:rsidR="007B5E13" w:rsidP="007B5E13" w:rsidRDefault="007B5E13" w14:paraId="769B82E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63783D">
        <w:rPr>
          <w:rFonts w:ascii="Times New Roman" w:hAnsi="Times New Roman" w:eastAsia="Times New Roman" w:cs="Times New Roman"/>
          <w:b/>
          <w:kern w:val="0"/>
          <w:sz w:val="24"/>
          <w:szCs w:val="20"/>
          <w:lang w:val="ro-RO" w:eastAsia="en-GB"/>
          <w14:ligatures w14:val="none"/>
        </w:rPr>
        <w:t>HOTĂRĂŞTE:</w:t>
      </w:r>
    </w:p>
    <w:p w:rsidRPr="0063783D" w:rsidR="007B5E13" w:rsidP="007B5E13" w:rsidRDefault="007B5E13" w14:paraId="46FAEF87"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63783D" w:rsidR="007B5E13" w:rsidP="007B5E13" w:rsidRDefault="007B5E13" w14:paraId="23C3ECA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Admite excepţia inadmisibilităţii invocate de pârâtul GUVERNUL ROMÂNIEI (cu sediul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CIF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exclusiv în ce priveşte petititele 1 şi 2 din </w:t>
      </w:r>
      <w:r w:rsidRPr="0063783D">
        <w:rPr>
          <w:rFonts w:ascii="Times New Roman" w:hAnsi="Times New Roman" w:eastAsia="Times New Roman" w:cs="Times New Roman"/>
          <w:kern w:val="0"/>
          <w:sz w:val="24"/>
          <w:szCs w:val="20"/>
          <w:lang w:val="ro-RO" w:eastAsia="en-GB"/>
          <w14:ligatures w14:val="none"/>
        </w:rPr>
        <w:lastRenderedPageBreak/>
        <w:t>cererea de chemare în judecată şi în consecinţă:</w:t>
      </w:r>
      <w:r w:rsidRPr="0063783D">
        <w:rPr>
          <w:rFonts w:ascii="Times New Roman" w:hAnsi="Times New Roman" w:eastAsia="Times New Roman" w:cs="Times New Roman"/>
          <w:kern w:val="0"/>
          <w:sz w:val="24"/>
          <w:szCs w:val="20"/>
          <w:lang w:val="ro-RO" w:eastAsia="en-GB"/>
          <w14:ligatures w14:val="none"/>
        </w:rPr>
        <w:br/>
      </w:r>
      <w:r w:rsidRPr="0063783D">
        <w:rPr>
          <w:rFonts w:ascii="Times New Roman" w:hAnsi="Times New Roman" w:eastAsia="Times New Roman" w:cs="Times New Roman"/>
          <w:kern w:val="0"/>
          <w:sz w:val="24"/>
          <w:szCs w:val="20"/>
          <w:lang w:val="ro-RO" w:eastAsia="en-GB"/>
          <w14:ligatures w14:val="none"/>
        </w:rPr>
        <w:tab/>
        <w:t xml:space="preserve">Respinge ca inadmisibile petitele având ca obiect constatarea vătămării drepturilor şi intereselor legitime ale reclamantului prin dispoziţiile art. XXIV pct. 12 şi 13 din OUG nr. 130/2021 precum şi obligarea pârâtului Guvernul României să asigure fonduri pentru restituirea sumelor solicitate, formulate de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în contradictoriu cu pârâtul GUVERNUL ROMÂNIEI.</w:t>
      </w:r>
    </w:p>
    <w:p w:rsidRPr="0063783D" w:rsidR="007B5E13" w:rsidP="007B5E13" w:rsidRDefault="007B5E13" w14:paraId="2E5B927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Admite excepţia lipsei de interes invocată din oficiu şi, în consecinţă:</w:t>
      </w:r>
    </w:p>
    <w:p w:rsidRPr="0063783D" w:rsidR="007B5E13" w:rsidP="007B5E13" w:rsidRDefault="007B5E13" w14:paraId="0A0FF05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Respinge petitul privind obligarea pârâtului GUVERNUL ROMÂNIEI la despăgubiri constând în plata către reclamant a unor sume egale cu sumele reţinute începând cu luna ianuarie 2022 din pensia acestuia, reţineri făcute cu titlul de contribuţii de asigurări sociale de sănătate, cu o bază lunară de calcul a contribuţiei de 10% din partea ce depăşeşte suma lunară de 4.000 lei pentru fiecare drept de pensie, ca lipsit de interes.</w:t>
      </w:r>
    </w:p>
    <w:p w:rsidRPr="0063783D" w:rsidR="007B5E13" w:rsidP="007B5E13" w:rsidRDefault="007B5E13" w14:paraId="20835FF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Admite în parte acţiunea formulată de reclamantul </w:t>
      </w:r>
      <w:r>
        <w:rPr>
          <w:rFonts w:ascii="Times New Roman" w:hAnsi="Times New Roman" w:eastAsia="Times New Roman" w:cs="Times New Roman"/>
          <w:kern w:val="0"/>
          <w:sz w:val="24"/>
          <w:szCs w:val="20"/>
          <w:lang w:val="ro-RO" w:eastAsia="en-GB"/>
          <w14:ligatures w14:val="none"/>
        </w:rPr>
        <w:t>A</w:t>
      </w:r>
      <w:r w:rsidRPr="0063783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în contradictoriu cu pârâtul GUVERNUL ROMÂNIEI (cu sediul în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 CIF nr.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Pr="0063783D" w:rsidR="007B5E13" w:rsidP="007B5E13" w:rsidRDefault="007B5E13" w14:paraId="6B0663D2" w14:textId="77777777">
      <w:pPr>
        <w:widowControl w:val="0"/>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Obligă pârâtul GUVERNUL ROMÂNIEI la plata, către reclamant, de despăgubiri reprezentând actualizarea cu rata inflaţiei aplicată sumelor care se vor restitui reclamantului conform OUG nr. 4/2023.</w:t>
      </w:r>
    </w:p>
    <w:p w:rsidRPr="0063783D" w:rsidR="007B5E13" w:rsidP="007B5E13" w:rsidRDefault="007B5E13" w14:paraId="6F30533E" w14:textId="77777777">
      <w:pPr>
        <w:widowControl w:val="0"/>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Obligă pârâtul GUVERNUL ROMÂNIEI la plata, către reclamant, de despăgubiri constând în dobânda legală aferentă sumelor reţinute cu titlul de contribuţii de asigurări sociale de sănătate, calculată începând cu data fiecărei reţineri şi până la data restituirii acestora conform OUG nr. 4/2023.</w:t>
      </w:r>
    </w:p>
    <w:p w:rsidRPr="0063783D" w:rsidR="007B5E13" w:rsidP="007B5E13" w:rsidRDefault="007B5E13" w14:paraId="2BF6575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Cu drept de recurs în termen de 15 zile de la comunicare, cererea de recurs urmând a fi depusă la Curtea de Apel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Pr="0063783D" w:rsidR="007B5E13" w:rsidP="007B5E13" w:rsidRDefault="007B5E13" w14:paraId="2481EBD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Pronunţată prin punerea soluţiei la dispoziţia părţilor prin intermediul grefei instanţei, astăzi </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w:t>
      </w:r>
    </w:p>
    <w:p w:rsidR="007B5E13" w:rsidP="007B5E13" w:rsidRDefault="007B5E13" w14:paraId="2741704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7B5E13" w:rsidP="007B5E13" w:rsidRDefault="007B5E13" w14:paraId="147CE6C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7B5E13" w:rsidP="007B5E13" w:rsidRDefault="007B5E13" w14:paraId="16AD2BDE" w14:textId="55D64E68">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Dr. </w:t>
      </w:r>
      <w:r>
        <w:rPr>
          <w:rFonts w:ascii="Times New Roman" w:hAnsi="Times New Roman" w:eastAsia="Times New Roman" w:cs="Times New Roman"/>
          <w:kern w:val="0"/>
          <w:sz w:val="24"/>
          <w:szCs w:val="20"/>
          <w:lang w:val="ro-RO" w:eastAsia="en-GB"/>
          <w14:ligatures w14:val="none"/>
        </w:rPr>
        <w:t>A0018</w:t>
      </w:r>
    </w:p>
    <w:p w:rsidR="007B5E13" w:rsidP="007B5E13" w:rsidRDefault="007B5E13" w14:paraId="0C78AE8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7B5E13" w:rsidP="007B5E13" w:rsidRDefault="007B5E13" w14:paraId="0CCB4FF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007B5E13" w:rsidP="007B5E13" w:rsidRDefault="007B5E13" w14:paraId="6EC6E2E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007B5E13" w:rsidP="007B5E13" w:rsidRDefault="007B5E13" w14:paraId="5EFAEE7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5B9C0AF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63783D" w:rsidR="007B5E13" w:rsidP="007B5E13" w:rsidRDefault="007B5E13" w14:paraId="0C5CE871" w14:textId="4417D709">
      <w:pPr>
        <w:spacing w:after="0" w:line="240" w:lineRule="auto"/>
        <w:rPr>
          <w:rFonts w:ascii="Times New Roman" w:hAnsi="Times New Roman" w:eastAsia="Times New Roman" w:cs="Times New Roman"/>
          <w:kern w:val="0"/>
          <w:sz w:val="24"/>
          <w:szCs w:val="20"/>
          <w:lang w:val="ro-RO" w:eastAsia="en-GB"/>
          <w14:ligatures w14:val="none"/>
        </w:rPr>
      </w:pPr>
      <w:r w:rsidRPr="0063783D">
        <w:rPr>
          <w:rFonts w:ascii="Times New Roman" w:hAnsi="Times New Roman" w:eastAsia="Times New Roman" w:cs="Times New Roman"/>
          <w:kern w:val="0"/>
          <w:sz w:val="24"/>
          <w:szCs w:val="20"/>
          <w:lang w:val="ro-RO" w:eastAsia="en-GB"/>
          <w14:ligatures w14:val="none"/>
        </w:rPr>
        <w:t xml:space="preserve">Red. </w:t>
      </w:r>
      <w:r>
        <w:rPr>
          <w:rFonts w:ascii="Times New Roman" w:hAnsi="Times New Roman" w:eastAsia="Times New Roman" w:cs="Times New Roman"/>
          <w:kern w:val="0"/>
          <w:sz w:val="24"/>
          <w:szCs w:val="20"/>
          <w:lang w:val="ro-RO" w:eastAsia="en-GB"/>
          <w14:ligatures w14:val="none"/>
        </w:rPr>
        <w:t>A0018</w:t>
      </w:r>
      <w:r w:rsidRPr="0063783D">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63783D">
        <w:rPr>
          <w:rFonts w:ascii="Times New Roman" w:hAnsi="Times New Roman" w:eastAsia="Times New Roman" w:cs="Times New Roman"/>
          <w:kern w:val="0"/>
          <w:sz w:val="24"/>
          <w:szCs w:val="20"/>
          <w:lang w:val="ro-RO" w:eastAsia="en-GB"/>
          <w14:ligatures w14:val="none"/>
        </w:rPr>
        <w:t xml:space="preserve">/4 ex./Tehnored. </w:t>
      </w:r>
      <w:r>
        <w:rPr>
          <w:rFonts w:ascii="Times New Roman" w:hAnsi="Times New Roman" w:eastAsia="Times New Roman" w:cs="Times New Roman"/>
          <w:kern w:val="0"/>
          <w:sz w:val="24"/>
          <w:szCs w:val="20"/>
          <w:lang w:val="ro-RO" w:eastAsia="en-GB"/>
          <w14:ligatures w14:val="none"/>
        </w:rPr>
        <w:t>................</w:t>
      </w:r>
    </w:p>
    <w:p w:rsidR="007B5E13" w:rsidP="007B5E13" w:rsidRDefault="007B5E13" w14:paraId="634DFA8F" w14:textId="77777777"/>
    <w:p w:rsidR="000C1B57" w:rsidRDefault="000C1B57" w14:paraId="61FA5D24" w14:textId="77777777"/>
    <w:sectPr w:rsidR="000C1B57" w:rsidSect="007B5E13">
      <w:footerReference w:type="default" r:id="rId4"/>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5E13" w:rsidRDefault="007B5E13" w14:paraId="4192330A" w14:textId="77777777">
    <w:pPr>
      <w:pStyle w:val="Subsol"/>
      <w:jc w:val="center"/>
    </w:pPr>
    <w:r>
      <w:fldChar w:fldCharType="begin"/>
    </w:r>
    <w:r>
      <w:instrText xml:space="preserve"> PAGE   \* MERGEFORMAT </w:instrText>
    </w:r>
    <w:r>
      <w:fldChar w:fldCharType="separate"/>
    </w:r>
    <w:r>
      <w:t>#</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211"/>
    <w:rsid w:val="00085EB6"/>
    <w:rsid w:val="000C1B57"/>
    <w:rsid w:val="000D553B"/>
    <w:rsid w:val="00104E31"/>
    <w:rsid w:val="001A5039"/>
    <w:rsid w:val="0041047C"/>
    <w:rsid w:val="00446AF8"/>
    <w:rsid w:val="007B5E13"/>
    <w:rsid w:val="00B65F2B"/>
    <w:rsid w:val="00D07D59"/>
    <w:rsid w:val="00D35211"/>
    <w:rsid w:val="00F40BC4"/>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EA107"/>
  <w15:chartTrackingRefBased/>
  <w15:docId w15:val="{39B78BD3-BAF0-4875-910A-E7EFD866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E13"/>
  </w:style>
  <w:style w:type="paragraph" w:styleId="Heading1">
    <w:name w:val="heading 1"/>
    <w:basedOn w:val="Normal"/>
    <w:next w:val="Normal"/>
    <w:link w:val="Heading1Char"/>
    <w:uiPriority w:val="9"/>
    <w:qFormat/>
    <w:rsid w:val="00D352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52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52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52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52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52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52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52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52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2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52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52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52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52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52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52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52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5211"/>
    <w:rPr>
      <w:rFonts w:eastAsiaTheme="majorEastAsia" w:cstheme="majorBidi"/>
      <w:color w:val="272727" w:themeColor="text1" w:themeTint="D8"/>
    </w:rPr>
  </w:style>
  <w:style w:type="paragraph" w:styleId="Title">
    <w:name w:val="Title"/>
    <w:basedOn w:val="Normal"/>
    <w:next w:val="Normal"/>
    <w:link w:val="TitleChar"/>
    <w:uiPriority w:val="10"/>
    <w:qFormat/>
    <w:rsid w:val="00D35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5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52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52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5211"/>
    <w:pPr>
      <w:spacing w:before="160"/>
      <w:jc w:val="center"/>
    </w:pPr>
    <w:rPr>
      <w:i/>
      <w:iCs/>
      <w:color w:val="404040" w:themeColor="text1" w:themeTint="BF"/>
    </w:rPr>
  </w:style>
  <w:style w:type="character" w:customStyle="1" w:styleId="QuoteChar">
    <w:name w:val="Quote Char"/>
    <w:basedOn w:val="DefaultParagraphFont"/>
    <w:link w:val="Quote"/>
    <w:uiPriority w:val="29"/>
    <w:rsid w:val="00D35211"/>
    <w:rPr>
      <w:i/>
      <w:iCs/>
      <w:color w:val="404040" w:themeColor="text1" w:themeTint="BF"/>
    </w:rPr>
  </w:style>
  <w:style w:type="paragraph" w:styleId="ListParagraph">
    <w:name w:val="List Paragraph"/>
    <w:basedOn w:val="Normal"/>
    <w:uiPriority w:val="34"/>
    <w:qFormat/>
    <w:rsid w:val="00D35211"/>
    <w:pPr>
      <w:ind w:left="720"/>
      <w:contextualSpacing/>
    </w:pPr>
  </w:style>
  <w:style w:type="character" w:styleId="IntenseEmphasis">
    <w:name w:val="Intense Emphasis"/>
    <w:basedOn w:val="DefaultParagraphFont"/>
    <w:uiPriority w:val="21"/>
    <w:qFormat/>
    <w:rsid w:val="00D35211"/>
    <w:rPr>
      <w:i/>
      <w:iCs/>
      <w:color w:val="2F5496" w:themeColor="accent1" w:themeShade="BF"/>
    </w:rPr>
  </w:style>
  <w:style w:type="paragraph" w:styleId="IntenseQuote">
    <w:name w:val="Intense Quote"/>
    <w:basedOn w:val="Normal"/>
    <w:next w:val="Normal"/>
    <w:link w:val="IntenseQuoteChar"/>
    <w:uiPriority w:val="30"/>
    <w:qFormat/>
    <w:rsid w:val="00D352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5211"/>
    <w:rPr>
      <w:i/>
      <w:iCs/>
      <w:color w:val="2F5496" w:themeColor="accent1" w:themeShade="BF"/>
    </w:rPr>
  </w:style>
  <w:style w:type="character" w:styleId="IntenseReference">
    <w:name w:val="Intense Reference"/>
    <w:basedOn w:val="DefaultParagraphFont"/>
    <w:uiPriority w:val="32"/>
    <w:qFormat/>
    <w:rsid w:val="00D35211"/>
    <w:rPr>
      <w:b/>
      <w:bCs/>
      <w:smallCaps/>
      <w:color w:val="2F5496" w:themeColor="accent1" w:themeShade="BF"/>
      <w:spacing w:val="5"/>
    </w:rPr>
  </w:style>
  <w:style w:type="paragraph" w:customStyle="1" w:styleId="Subsol">
    <w:name w:val="Subsol"/>
    <w:basedOn w:val="Normal"/>
    <w:link w:val="SubsolCaracter"/>
    <w:rsid w:val="007B5E13"/>
    <w:pPr>
      <w:tabs>
        <w:tab w:val="center" w:pos="4703"/>
        <w:tab w:val="right" w:pos="9406"/>
      </w:tabs>
      <w:spacing w:after="0" w:line="240" w:lineRule="auto"/>
    </w:pPr>
    <w:rPr>
      <w:rFonts w:ascii="Times New Roman" w:eastAsia="Times New Roman" w:hAnsi="Times New Roman" w:cs="Times New Roman"/>
      <w:kern w:val="0"/>
      <w:sz w:val="24"/>
      <w:szCs w:val="20"/>
      <w:lang w:val="ro-RO" w:eastAsia="en-GB"/>
      <w14:ligatures w14:val="none"/>
    </w:rPr>
  </w:style>
  <w:style w:type="character" w:customStyle="1" w:styleId="SubsolCaracter">
    <w:name w:val="Subsol Caracter"/>
    <w:link w:val="Subsol"/>
    <w:rsid w:val="007B5E13"/>
    <w:rPr>
      <w:rFonts w:ascii="Times New Roman" w:eastAsia="Times New Roman" w:hAnsi="Times New Roman" w:cs="Times New Roman"/>
      <w:kern w:val="0"/>
      <w:sz w:val="24"/>
      <w:szCs w:val="20"/>
      <w:lang w:val="ro-RO"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9</ap:Pages>
  <ap:Words>5665</ap:Words>
  <ap:Characters>32291</ap:Characters>
  <ap:Application>Microsoft Office Word</ap:Application>
  <ap:DocSecurity>0</ap:DocSecurity>
  <ap:Lines>269</ap:Lines>
  <ap:Paragraphs>75</ap:Paragraphs>
  <ap:ScaleCrop>false</ap:ScaleCrop>
  <ap:CharactersWithSpaces>37881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