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20"/>
          <w:szCs w:val="20"/>
        </w:rPr>
      </w:pPr>
      <w:r>
        <w:rPr>
          <w:sz w:val="20"/>
          <w:szCs w:val="20"/>
        </w:rPr>
        <w:t>..</w:t>
      </w:r>
    </w:p>
    <w:p>
      <w:pPr>
        <w:pStyle w:val="Normal"/>
        <w:rPr>
          <w:sz w:val="20"/>
          <w:szCs w:val="20"/>
        </w:rPr>
      </w:pPr>
      <w:r>
        <w:rPr>
          <w:sz w:val="20"/>
          <w:szCs w:val="20"/>
        </w:rPr>
      </w:r>
    </w:p>
    <w:p>
      <w:pPr>
        <w:pStyle w:val="Normal"/>
        <w:jc w:val="center"/>
        <w:rPr>
          <w:b/>
        </w:rPr>
      </w:pPr>
      <w:r>
        <w:rPr>
          <w:b/>
        </w:rPr>
        <w:t>R O M Â N I A</w:t>
      </w:r>
    </w:p>
    <w:p>
      <w:pPr>
        <w:pStyle w:val="Normal"/>
        <w:jc w:val="center"/>
        <w:rPr>
          <w:b/>
        </w:rPr>
      </w:pPr>
      <w:r>
        <w:rPr>
          <w:b/>
        </w:rPr>
        <w:t>CURTEA DE APEL ...</w:t>
      </w:r>
    </w:p>
    <w:p>
      <w:pPr>
        <w:pStyle w:val="Normal"/>
        <w:jc w:val="center"/>
        <w:rPr>
          <w:b/>
        </w:rPr>
      </w:pPr>
      <w:r>
        <w:rPr>
          <w:b/>
        </w:rPr>
        <w:t>SECŢIA ...</w:t>
      </w:r>
    </w:p>
    <w:p>
      <w:pPr>
        <w:pStyle w:val="Normal"/>
        <w:rPr>
          <w:b/>
        </w:rPr>
      </w:pPr>
      <w:r>
        <w:rPr>
          <w:b/>
        </w:rPr>
      </w:r>
    </w:p>
    <w:p>
      <w:pPr>
        <w:pStyle w:val="Normal"/>
        <w:rPr>
          <w:b/>
        </w:rPr>
      </w:pPr>
      <w:r>
        <w:rPr>
          <w:b/>
        </w:rPr>
        <w:t>Dosar nr. D1</w:t>
      </w:r>
    </w:p>
    <w:p>
      <w:pPr>
        <w:pStyle w:val="Normal"/>
        <w:rPr>
          <w:b/>
        </w:rPr>
      </w:pPr>
      <w:r>
        <w:rPr>
          <w:b/>
        </w:rPr>
      </w:r>
    </w:p>
    <w:p>
      <w:pPr>
        <w:pStyle w:val="Normal"/>
        <w:jc w:val="center"/>
        <w:rPr>
          <w:b/>
        </w:rPr>
      </w:pPr>
      <w:r>
        <w:rPr>
          <w:b/>
        </w:rPr>
        <w:t>Încheierea penală nr. ...</w:t>
      </w:r>
    </w:p>
    <w:p>
      <w:pPr>
        <w:pStyle w:val="Normal"/>
        <w:jc w:val="center"/>
        <w:rPr>
          <w:b/>
          <w:bCs/>
        </w:rPr>
      </w:pPr>
      <w:r>
        <w:rPr>
          <w:b/>
          <w:bCs/>
        </w:rPr>
        <w:t>Şedinţa de cameră de consiliu din data ...</w:t>
      </w:r>
    </w:p>
    <w:p>
      <w:pPr>
        <w:pStyle w:val="Normal"/>
        <w:jc w:val="center"/>
        <w:rPr>
          <w:b/>
          <w:bCs/>
        </w:rPr>
      </w:pPr>
      <w:r>
        <w:rPr>
          <w:b/>
          <w:bCs/>
        </w:rPr>
      </w:r>
    </w:p>
    <w:p>
      <w:pPr>
        <w:pStyle w:val="Normal"/>
        <w:jc w:val="center"/>
        <w:rPr>
          <w:b/>
        </w:rPr>
      </w:pPr>
      <w:r>
        <w:rPr>
          <w:b/>
        </w:rPr>
        <w:t>Instanţa constituită din:</w:t>
      </w:r>
    </w:p>
    <w:p>
      <w:pPr>
        <w:pStyle w:val="Normal"/>
        <w:jc w:val="center"/>
        <w:rPr>
          <w:b/>
        </w:rPr>
      </w:pPr>
      <w:r>
        <w:rPr>
          <w:b/>
        </w:rPr>
        <w:t>Preşedinte-Judecător de cameră preliminară – A0013</w:t>
      </w:r>
    </w:p>
    <w:p>
      <w:pPr>
        <w:pStyle w:val="Normal"/>
        <w:jc w:val="center"/>
        <w:rPr>
          <w:b/>
        </w:rPr>
      </w:pPr>
      <w:r>
        <w:rPr>
          <w:b/>
        </w:rPr>
        <w:t>Grefier – ...</w:t>
      </w:r>
    </w:p>
    <w:p>
      <w:pPr>
        <w:pStyle w:val="Normal"/>
        <w:jc w:val="center"/>
        <w:rPr>
          <w:b/>
        </w:rPr>
      </w:pPr>
      <w:r>
        <w:rPr>
          <w:b/>
        </w:rPr>
      </w:r>
    </w:p>
    <w:p>
      <w:pPr>
        <w:pStyle w:val="Normal"/>
        <w:jc w:val="center"/>
        <w:rPr>
          <w:b/>
        </w:rPr>
      </w:pPr>
      <w:r>
        <w:rPr>
          <w:b/>
        </w:rPr>
        <w:t>Ministerul Public – Parchetul de pe lângă Curtea de Apel ... – reprezentat prin procuror ....</w:t>
      </w:r>
    </w:p>
    <w:p>
      <w:pPr>
        <w:pStyle w:val="Normal"/>
        <w:jc w:val="both"/>
        <w:rPr>
          <w:b/>
          <w:i/>
          <w:i/>
        </w:rPr>
      </w:pPr>
      <w:r>
        <w:rPr>
          <w:b/>
          <w:i/>
        </w:rPr>
      </w:r>
    </w:p>
    <w:p>
      <w:pPr>
        <w:pStyle w:val="Normal"/>
        <w:ind w:right="0" w:firstLine="720"/>
        <w:jc w:val="both"/>
        <w:rPr/>
      </w:pPr>
      <w:r>
        <w:rPr/>
        <w:t>Pe rol se află soluționarea cauzei având ca obiect confirmare redeschidere urmărire penală (art. 335 alin. 4 CPP) – soluţie dispusă prin ordonanţa nr. O1 din data de ... în dosarul nr. D2 al Parchetului de pe lângă Curtea de Apel ....</w:t>
      </w:r>
    </w:p>
    <w:p>
      <w:pPr>
        <w:pStyle w:val="Normal"/>
        <w:jc w:val="both"/>
        <w:rPr/>
      </w:pPr>
      <w:r>
        <w:rPr/>
        <w:tab/>
        <w:t>Cauza se soluţionează fără citare.</w:t>
      </w:r>
    </w:p>
    <w:p>
      <w:pPr>
        <w:pStyle w:val="Normal"/>
        <w:jc w:val="both"/>
        <w:rPr/>
      </w:pPr>
      <w:r>
        <w:rPr/>
        <w:tab/>
        <w:t xml:space="preserve">S-a făcut referatul cauzei de către grefierul de şedinţă care învederează că este primul termen de judecată şi că este ataşat dosarul nr. D2 al Parchetului de pe lângă Curtea de Apel ..., precum şi ordonanţa nr. O2 din data de ... a aceluiaşi parchet. </w:t>
      </w:r>
    </w:p>
    <w:p>
      <w:pPr>
        <w:pStyle w:val="Normal"/>
        <w:jc w:val="both"/>
        <w:rPr/>
      </w:pPr>
      <w:r>
        <w:rPr/>
        <w:tab/>
      </w:r>
      <w:r>
        <w:rPr>
          <w:i/>
          <w:iCs/>
        </w:rPr>
        <w:t xml:space="preserve">Întrebat fiind de preşedintele completului, procurorul arată nu are solicitări prealabile. </w:t>
      </w:r>
    </w:p>
    <w:p>
      <w:pPr>
        <w:pStyle w:val="Normal"/>
        <w:jc w:val="both"/>
        <w:rPr>
          <w:i/>
          <w:i/>
          <w:iCs/>
        </w:rPr>
      </w:pPr>
      <w:r>
        <w:rPr>
          <w:i/>
          <w:iCs/>
        </w:rPr>
        <w:tab/>
        <w:t xml:space="preserve">Nefiind cereri prealabile de formulat, judecătorul de cameră preliminară acordă cuvântul asupra cererii formulate de parchet. </w:t>
      </w:r>
    </w:p>
    <w:p>
      <w:pPr>
        <w:pStyle w:val="Normal"/>
        <w:jc w:val="both"/>
        <w:rPr/>
      </w:pPr>
      <w:r>
        <w:rPr/>
        <w:tab/>
      </w:r>
      <w:r>
        <w:rPr>
          <w:b/>
          <w:bCs/>
        </w:rPr>
        <w:t>Procurorul, având cuvântul</w:t>
      </w:r>
      <w:r>
        <w:rPr/>
        <w:t xml:space="preserve">, solicită admiterea sesizării Parchetului de pe lângă Curtea de Apel ..., în sensul confirmării soluţiei dispuse prin ordonanţa procurorului general de redeschidere a urmăririi penale, faţă de argumentele expuse în cuprinsul ordonanţei, care vizează faptul că urmărirea penală nu este completă, nefiind administrate toate mijloacele de probă necesare pentru aflarea adevărului în cauză. </w:t>
      </w:r>
    </w:p>
    <w:p>
      <w:pPr>
        <w:pStyle w:val="Normal"/>
        <w:ind w:right="0" w:firstLine="720"/>
        <w:jc w:val="both"/>
        <w:rPr>
          <w:i/>
          <w:i/>
          <w:iCs/>
        </w:rPr>
      </w:pPr>
      <w:r>
        <w:rPr>
          <w:i/>
          <w:iCs/>
        </w:rPr>
        <w:t>Curtea reţine cauza spre deliberare şi pronunţare, pronunţarea urmând a se face în decursul zilei de astăzi prin punerea soluţiei la dispoziţie prin mijlocirea grefei instanţei.</w:t>
      </w:r>
    </w:p>
    <w:p>
      <w:pPr>
        <w:pStyle w:val="Normal"/>
        <w:jc w:val="both"/>
        <w:rPr/>
      </w:pPr>
      <w:r>
        <w:rPr/>
      </w:r>
    </w:p>
    <w:p>
      <w:pPr>
        <w:pStyle w:val="Normal"/>
        <w:spacing w:before="0" w:after="0"/>
        <w:contextualSpacing/>
        <w:jc w:val="center"/>
        <w:rPr>
          <w:b/>
          <w:bCs/>
        </w:rPr>
      </w:pPr>
      <w:r>
        <w:rPr>
          <w:b/>
          <w:bCs/>
        </w:rPr>
        <w:t>CURTEA DE APEL,</w:t>
      </w:r>
    </w:p>
    <w:p>
      <w:pPr>
        <w:pStyle w:val="Normal"/>
        <w:spacing w:before="0" w:after="0"/>
        <w:contextualSpacing/>
        <w:jc w:val="center"/>
        <w:rPr>
          <w:b/>
          <w:bCs/>
        </w:rPr>
      </w:pPr>
      <w:r>
        <w:rPr>
          <w:b/>
          <w:bCs/>
        </w:rPr>
        <w:t>JUDECĂTORUL DE CAMERĂ PRELIMINARĂ,</w:t>
      </w:r>
    </w:p>
    <w:p>
      <w:pPr>
        <w:pStyle w:val="Normal"/>
        <w:spacing w:before="0" w:after="0"/>
        <w:contextualSpacing/>
        <w:jc w:val="center"/>
        <w:rPr>
          <w:b/>
          <w:bCs/>
        </w:rPr>
      </w:pPr>
      <w:r>
        <w:rPr>
          <w:b/>
          <w:bCs/>
        </w:rPr>
      </w:r>
    </w:p>
    <w:p>
      <w:pPr>
        <w:pStyle w:val="Normal"/>
        <w:ind w:right="0" w:firstLine="708"/>
        <w:jc w:val="both"/>
        <w:rPr>
          <w:b/>
          <w:iCs/>
          <w:color w:val="000000"/>
        </w:rPr>
      </w:pPr>
      <w:r>
        <w:rPr>
          <w:b/>
          <w:iCs/>
          <w:color w:val="000000"/>
        </w:rPr>
        <w:t xml:space="preserve">Examinând actele și lucrările existente la dosarul cauzei, în limitele conferite de normele de procedură penală incidente în materie, judecătorul de cameră preliminară constată întemeiată prezenta cerere de confirmare a redeschiderii urmăririi penale, pentru motivele care vor fi redate în continuare. </w:t>
      </w:r>
    </w:p>
    <w:p>
      <w:pPr>
        <w:pStyle w:val="Normal"/>
        <w:ind w:right="0" w:firstLine="708"/>
        <w:jc w:val="both"/>
        <w:rPr>
          <w:b/>
          <w:i/>
          <w:i/>
          <w:iCs/>
          <w:color w:val="000000"/>
        </w:rPr>
      </w:pPr>
      <w:r>
        <w:rPr>
          <w:b/>
          <w:i/>
          <w:iCs/>
          <w:color w:val="000000"/>
        </w:rPr>
      </w:r>
    </w:p>
    <w:p>
      <w:pPr>
        <w:pStyle w:val="Normal"/>
        <w:ind w:right="0" w:firstLine="708"/>
        <w:jc w:val="both"/>
        <w:rPr/>
      </w:pPr>
      <w:r>
        <w:rPr>
          <w:color w:val="000000"/>
        </w:rPr>
        <w:t xml:space="preserve">Prin ordonanța nr. </w:t>
      </w:r>
      <w:bookmarkStart w:name="_Hlk187665244" w:id="0"/>
      <w:r>
        <w:rPr>
          <w:rStyle w:val="FontStyle61"/>
          <w:color w:val="000000"/>
        </w:rPr>
        <w:t xml:space="preserve">O2/... </w:t>
      </w:r>
      <w:r>
        <w:rPr>
          <w:color w:val="000000"/>
        </w:rPr>
        <w:t xml:space="preserve">din data de </w:t>
      </w:r>
      <w:r>
        <w:rPr>
          <w:rStyle w:val="FontStyle57"/>
          <w:b w:val="false"/>
          <w:bCs w:val="false"/>
          <w:color w:val="000000"/>
        </w:rPr>
        <w:t>...</w:t>
      </w:r>
      <w:r>
        <w:rPr>
          <w:rStyle w:val="FontStyle57"/>
          <w:color w:val="000000"/>
        </w:rPr>
        <w:t xml:space="preserve"> </w:t>
      </w:r>
      <w:bookmarkEnd w:id="0"/>
      <w:r>
        <w:rPr>
          <w:color w:val="000000"/>
        </w:rPr>
        <w:t xml:space="preserve">a procurorului general al Parchetului de pe lângă Curtea de Apel ..., s-a dispus </w:t>
      </w:r>
      <w:r>
        <w:rPr>
          <w:rStyle w:val="FontStyle61"/>
          <w:color w:val="000000"/>
        </w:rPr>
        <w:t xml:space="preserve">admiterea plângerii formulate de petenta A1 împotriva ordonanţei de clasare din data de ... emisă în dosarul nr. D2 al Parchetului de pe lângă Curtea de Apel ..., </w:t>
      </w:r>
      <w:r>
        <w:rPr>
          <w:rStyle w:val="FontStyle59"/>
          <w:b w:val="false"/>
          <w:bCs w:val="false"/>
          <w:i w:val="false"/>
          <w:iCs w:val="false"/>
          <w:color w:val="000000"/>
        </w:rPr>
        <w:t>infirmarea acesteia</w:t>
      </w:r>
      <w:r>
        <w:rPr>
          <w:rStyle w:val="FontStyle61"/>
          <w:color w:val="000000"/>
        </w:rPr>
        <w:t xml:space="preserve"> și r</w:t>
      </w:r>
      <w:r>
        <w:rPr>
          <w:rStyle w:val="FontStyle59"/>
          <w:b w:val="false"/>
          <w:bCs w:val="false"/>
          <w:i w:val="false"/>
          <w:iCs w:val="false"/>
          <w:color w:val="000000"/>
        </w:rPr>
        <w:t>edeschiderea urmăririi penale.</w:t>
      </w:r>
    </w:p>
    <w:p>
      <w:pPr>
        <w:pStyle w:val="Normal"/>
        <w:ind w:right="0" w:firstLine="708"/>
        <w:jc w:val="both"/>
        <w:rPr/>
      </w:pPr>
      <w:r>
        <w:rPr>
          <w:color w:val="000000"/>
        </w:rPr>
        <w:t>Prin aceeași ordonanță, în conformitate cu dispoziţiile art. 335 alin. (4) din Codul de procedură penală, procurorul general adjunct al Parchetului de pe lângă Curtea de Apel ... a dispus înaintarea ordonanței, împreună cu dosarul de urmărire penală, către judecătorul de cameră preliminară de la Curtea de Apel ... pentru confirmarea redeschiderii urmăririi penale.</w:t>
      </w:r>
    </w:p>
    <w:p>
      <w:pPr>
        <w:pStyle w:val="Normal"/>
        <w:ind w:right="0" w:firstLine="708"/>
        <w:jc w:val="both"/>
        <w:rPr>
          <w:color w:val="000000"/>
        </w:rPr>
      </w:pPr>
      <w:r>
        <w:rPr>
          <w:color w:val="000000"/>
        </w:rPr>
        <w:t>Competența de soluționare a Curții de Apel ... a fost atrasă de calitatea intimatului B1, cea de avocat, înscris în Baroul ..., având sediul profesional în circumscripția acestei instanțe.</w:t>
      </w:r>
    </w:p>
    <w:p>
      <w:pPr>
        <w:pStyle w:val="Normal"/>
        <w:ind w:right="0" w:firstLine="720"/>
        <w:jc w:val="both"/>
        <w:rPr/>
      </w:pPr>
      <w:r>
        <w:rPr>
          <w:bCs/>
          <w:iCs/>
        </w:rPr>
        <w:t>În motivarea ordonanței</w:t>
      </w:r>
      <w:r>
        <w:rPr>
          <w:rFonts w:eastAsia="Calibri"/>
          <w:bCs/>
          <w:iCs/>
        </w:rPr>
        <w:t xml:space="preserve"> nr. O2/..din data de ..., procurorul general al Parchetului de pe lângă Curtea de Apel ... a reţinut faptul că </w:t>
      </w:r>
      <w:r>
        <w:rPr>
          <w:rStyle w:val="FontStyle16"/>
          <w:rFonts w:cs="Times New Roman"/>
        </w:rPr>
        <w:t>la data de 03.02.2025 a fost înregistrată la Parchetul de pe lângă Curtea de Apel ..., plângerea formulată de numitul petenta A1 împotriva ordonanței de clasare nr. D2 din data de .... Din examinarea datelor de comunicare a soluţiei (28 ianuarie 2025) şi de expediere prin intermediul serviciilor poştale a plângerii împotriva soluţiei procurorului (31 ianuarie 2025), rezultă că plângerea a fost formulată în termenul legal de 20 de zile, prev. de art. 339 alin. (4) Cod procedură penală.</w:t>
      </w:r>
    </w:p>
    <w:p>
      <w:pPr>
        <w:pStyle w:val="Style61"/>
        <w:widowControl/>
        <w:spacing w:line="274" w:lineRule="exact"/>
        <w:ind w:right="0" w:firstLine="727"/>
        <w:rPr/>
      </w:pPr>
      <w:r>
        <w:rPr>
          <w:rStyle w:val="FontStyle16"/>
          <w:rFonts w:ascii="Times New Roman" w:hAnsi="Times New Roman" w:cs="Times New Roman"/>
        </w:rPr>
        <w:t>Prin plângerea formulată, petenta a reclamat faptul că procurorul nu a identificat persoana care se face vinovată de falsificarea înscrisului intitulat „Convenţie” şi datat 12.08.2021. Petenta a susţinut că înscrisul anterior menţionat a fost perfectat la cabinetul avocatului B1 care l-a redactat şi care, după ce i-a înmânat un exemplar al înscrisului, a păstrat al doilea exemplar al înscrisului, identic cu primul, pe care l-a depus la dosarul civil nr. D3. În aceste condiţii, a apreciat petenta că domnul avocat cunoaşte cu certitudine care este persoana care a falsificat respectivul înscris, anume cine a semnat în locul reprezentantului societăţii H1 S.R.L.</w:t>
      </w:r>
    </w:p>
    <w:p>
      <w:pPr>
        <w:pStyle w:val="Style61"/>
        <w:widowControl/>
        <w:spacing w:line="274" w:lineRule="exact"/>
        <w:ind w:right="0" w:firstLine="749"/>
        <w:rPr/>
      </w:pPr>
      <w:r>
        <w:rPr>
          <w:rStyle w:val="FontStyle16"/>
          <w:rFonts w:ascii="Times New Roman" w:hAnsi="Times New Roman" w:cs="Times New Roman"/>
        </w:rPr>
        <w:t>Prin ordonanţa nr. D2 din data de ..., s-a dispus în temeiul art. 315 alin. (1) lit. b) Cod procedură penală rap. la art. 16 lit. c) Cod procedură penală, clasarea cauzei privind săvârşirea infracţiunilor de fals material în înscrisuri sub semnătură privată, prev. de art. 322 alin. (1) Cod penal, uz de fals, prev. de art. 323 Cod penal şi complicitate la infracţiunile de fals material în înscrisuri sub semnătură privată, prev. de art. 48 Cod penal rap. la art. 322 alin. (1) Cod penal şi uz de fals, prev. de art. 48 Cod penal rap. la art. 323 Cod penal, întrucât nu se poate stabili, pe baza probatoriului administrat, identitatea persoanei care a contrafăcut semnătura numitului B3 pe înscrisul intitulat „Convenţie” şi datat 21.08.2021.</w:t>
      </w:r>
    </w:p>
    <w:p>
      <w:pPr>
        <w:pStyle w:val="Style61"/>
        <w:widowControl/>
        <w:spacing w:before="0" w:after="0" w:line="240" w:lineRule="auto"/>
        <w:ind w:right="0" w:firstLine="749"/>
        <w:contextualSpacing/>
        <w:rPr/>
      </w:pPr>
      <w:r>
        <w:rPr>
          <w:rStyle w:val="FontStyle16"/>
          <w:rFonts w:ascii="Times New Roman" w:hAnsi="Times New Roman" w:cs="Times New Roman"/>
        </w:rPr>
        <w:t>Pentru adoptarea acestei soluții, procurorul de caz a reținut, în esență, faptul că d</w:t>
      </w:r>
      <w:r>
        <w:rPr>
          <w:rStyle w:val="FontStyle18"/>
          <w:rFonts w:ascii="Times New Roman" w:hAnsi="Times New Roman" w:cs="Times New Roman"/>
          <w:i w:val="false"/>
          <w:iCs w:val="false"/>
        </w:rPr>
        <w:t>in raportul de constatare criminalistică nr. ...8 din 24.01.2024 emis de IPJ ...., a rezultat faptul că nu se poate stabili dacă semnătura de la rubrica aferentă societății H1 S.R.L., prin reprezentant B3 de pe documentul intitulat „Convenție” încheiată la data de 12.08.2021, a fost sau nu executată de către unul dintre numiții B2 (...), B1, B3 şi A1.</w:t>
      </w:r>
    </w:p>
    <w:p>
      <w:pPr>
        <w:pStyle w:val="Style61"/>
        <w:widowControl/>
        <w:spacing w:before="34" w:after="0" w:line="240" w:lineRule="auto"/>
        <w:ind w:right="0" w:firstLine="706"/>
        <w:contextualSpacing/>
        <w:rPr/>
      </w:pPr>
      <w:r>
        <w:rPr>
          <w:rStyle w:val="FontStyle16"/>
          <w:rFonts w:ascii="Times New Roman" w:hAnsi="Times New Roman" w:cs="Times New Roman"/>
        </w:rPr>
        <w:t>Analizând plângerea formulată împotriva ordonanței de clasare, prin prisma actelor aflate la dosarul cauzei, procurorul general de la Parchetul de pe lângă Curtea de Apel ... a constatat că aceasta este întemeiată şi că urmărirea penală în cauză nu este completă, întrezărindu-se necesitatea administrării altor probe în vederea lămuririi cauzei sub toate aspectele.</w:t>
      </w:r>
    </w:p>
    <w:p>
      <w:pPr>
        <w:pStyle w:val="Style61"/>
        <w:widowControl/>
        <w:spacing w:before="0" w:after="0" w:line="240" w:lineRule="auto"/>
        <w:ind w:right="0" w:firstLine="706"/>
        <w:contextualSpacing/>
        <w:rPr/>
      </w:pPr>
      <w:r>
        <w:rPr>
          <w:rStyle w:val="FontStyle16"/>
          <w:rFonts w:ascii="Times New Roman" w:hAnsi="Times New Roman" w:cs="Times New Roman"/>
        </w:rPr>
        <w:t>Procurorul general a constatat că din concluziile raportului de constatare nu s-a putut stabili dacă semnătura în litigiu a fost sau nu executată de către una din persoanele anterior menţionate, iar procurorul şi-a întemeiat soluţia de clasare pe aceste concluzii</w:t>
      </w:r>
    </w:p>
    <w:p>
      <w:pPr>
        <w:pStyle w:val="Style61"/>
        <w:widowControl/>
        <w:spacing w:before="0" w:after="0" w:line="240" w:lineRule="auto"/>
        <w:ind w:right="0" w:firstLine="727"/>
        <w:contextualSpacing/>
        <w:rPr/>
      </w:pPr>
      <w:r>
        <w:rPr>
          <w:rStyle w:val="FontStyle16"/>
          <w:rFonts w:ascii="Times New Roman" w:hAnsi="Times New Roman" w:cs="Times New Roman"/>
        </w:rPr>
        <w:t xml:space="preserve">A observat însă că specialistului criminalist nu i-au fost puse la dispoziţie decât nişte procese - verbale conținând semnături date de către susnumiţii în faţa procurorului în vederea efectuării constatării, nu şi alte acte cuprinzând semnături executate de aceste persoane în alte împrejurări, aşa cum ar fi fost necesar. Mai mult decât atât, a arătat că specimenele de semnătură date de numitul B3 sunt total diferite de semnăturile executate de acesta pe declaraţia dată în faţa procurorului, respectiv pe o convenţie încheiată între acesta şi B3 în anul 2021, în aceeaşi perioadă în care a fost falsificată semnătura numitului B3. A reținut că specialistul criminalist a identificat unele asemănări între semnătura în litigiu și semnăturile model de comparație puse la dispoziție de numitul B3, însă nu a putut formula o concluzie exactă, datorită execuției variabile a semnăturii acestuia. </w:t>
      </w:r>
    </w:p>
    <w:p>
      <w:pPr>
        <w:pStyle w:val="Style61"/>
        <w:widowControl/>
        <w:spacing w:before="0" w:after="0" w:line="240" w:lineRule="auto"/>
        <w:ind w:right="0" w:firstLine="727"/>
        <w:contextualSpacing/>
        <w:rPr/>
      </w:pPr>
      <w:r>
        <w:rPr>
          <w:rStyle w:val="FontStyle16"/>
          <w:rFonts w:ascii="Times New Roman" w:hAnsi="Times New Roman" w:cs="Times New Roman"/>
        </w:rPr>
        <w:t>A mai remarcat şi faptul că, prin plângerea ce face obiectul prezentei analize, petenta A1 a arătat că dl. avocat B1 cunoaşte cu certitudine care este persoana care a falsificat respectivul înscris, anume cine a semnat în locul reprezentantului societății H1 S.R.L., şi că organele judiciare trebuie să afle identitatea acestei persoane, deşi cu ocazia audierii de către procuror a susţinut că numitul B3 este persoana care a semnat actul, ea fiind de faţă la momentul semnării actului, astfel că se impune reaudierea acesteia, cu privire la împrejurările în care a fost semnat actul.</w:t>
      </w:r>
    </w:p>
    <w:p>
      <w:pPr>
        <w:pStyle w:val="Bodytext71"/>
        <w:spacing w:before="0" w:after="0" w:line="240" w:lineRule="auto"/>
        <w:ind w:left="20" w:right="40" w:firstLine="720"/>
        <w:contextualSpacing/>
        <w:jc w:val="both"/>
        <w:rPr>
          <w:rStyle w:val="FontStyle16"/>
          <w:rFonts w:ascii="Times New Roman" w:hAnsi="Times New Roman" w:cs="Times New Roman"/>
          <w:b w:val="false"/>
          <w:bCs w:val="false"/>
          <w:sz w:val="24"/>
          <w:szCs w:val="24"/>
          <w:lang w:val="ro-RO"/>
        </w:rPr>
      </w:pPr>
      <w:r>
        <w:rPr/>
      </w:r>
    </w:p>
    <w:p>
      <w:pPr>
        <w:pStyle w:val="Normal"/>
        <w:ind w:right="0" w:firstLine="709"/>
        <w:jc w:val="center"/>
        <w:rPr>
          <w:b/>
        </w:rPr>
      </w:pPr>
      <w:r>
        <w:rPr>
          <w:b/>
        </w:rPr>
        <w:t>*</w:t>
      </w:r>
    </w:p>
    <w:p>
      <w:pPr>
        <w:pStyle w:val="Normal"/>
        <w:ind w:right="0" w:firstLine="720"/>
        <w:jc w:val="both"/>
        <w:rPr>
          <w:b/>
          <w:i/>
          <w:i/>
          <w:color w:val="000000"/>
          <w:shd w:val="clear" w:fill="FFFFFF"/>
        </w:rPr>
      </w:pPr>
      <w:r>
        <w:rPr>
          <w:b/>
          <w:i/>
          <w:color w:val="000000"/>
          <w:shd w:val="clear" w:fill="FFFFFF"/>
        </w:rPr>
        <w:t>Analizând actele si lucrările dosarului, judecătorul de cameră preliminară de la Curtea de Apel constată, în conformitate cu dispozițiile art. 335 alin. (4) din Codul de procedură penală raportat la art. 335 alin. (1) din Codul de procedură penală, că în cauză sunt îndeplinite condițiile prevăzute de lege pentru redeschiderea urmăririi penale.</w:t>
      </w:r>
    </w:p>
    <w:p>
      <w:pPr>
        <w:pStyle w:val="Normal"/>
        <w:ind w:right="0" w:firstLine="720"/>
        <w:jc w:val="both"/>
        <w:rPr>
          <w:bCs/>
          <w:iCs/>
          <w:color w:val="000000"/>
          <w:shd w:val="clear" w:fill="FFFFFF"/>
        </w:rPr>
      </w:pPr>
      <w:r>
        <w:rPr>
          <w:bCs/>
          <w:iCs/>
          <w:color w:val="000000"/>
          <w:shd w:val="clear" w:fill="FFFFFF"/>
        </w:rPr>
        <w:t>În cauza dedusă judecății, judecătorul de cameră preliminară, în procedura confirmării redeschiderii urmăririi penale, constată, în primul rând, legalitatea Ordonanței nr. O2/... din data de ...: soluția de infirmare a fost pronunțată de procurorul general al Parchetului de pe lângă Curtea de Apel ...; a fost respectat termenul de 3 (trei( zile prevăzut de art. 335 alin. (4) din Codul de procedură penală, solicitarea de confirmare a redeschiderii urmăririi penale fiind înaintată Curții de Apel ... la data de ....</w:t>
      </w:r>
    </w:p>
    <w:p>
      <w:pPr>
        <w:pStyle w:val="Normal"/>
        <w:ind w:right="0" w:firstLine="720"/>
        <w:jc w:val="both"/>
        <w:rPr>
          <w:bCs/>
          <w:iCs/>
          <w:color w:val="000000"/>
          <w:shd w:val="clear" w:fill="FFFFFF"/>
        </w:rPr>
      </w:pPr>
      <w:r>
        <w:rPr>
          <w:bCs/>
          <w:iCs/>
          <w:color w:val="000000"/>
          <w:shd w:val="clear" w:fill="FFFFFF"/>
        </w:rPr>
        <w:t>Se constată temeinicia ordonanței nr. O2/... din data de ... a procurorului general al Parchetului de pe lângă Curtea de Apel ..., raportat la caracterul incomplet al cercetărilor care au dus la adoptarea ordonanței de clasare din data de  ... dată în dosarul nr. D2 al Parchetului de pe lângă Curtea de Apel ... în ceea ce privește infracțiunile de „fals în înscrisuri sub semnătură privată”, faptă prev. și ped. de art. 322 alin. (1) Cod penal,  „uz de fals”, faptă prev. și ped. de art. 323 Cod penal, complicitate la fals în înscrisuri sub semnătură privată și uz de fals, faptă prev. de art. 48 Cod penal, cu aplicarea art. 38 Cod penal.</w:t>
      </w:r>
    </w:p>
    <w:p>
      <w:pPr>
        <w:pStyle w:val="Normal"/>
        <w:ind w:right="0" w:firstLine="720"/>
        <w:jc w:val="both"/>
        <w:rPr>
          <w:bCs/>
          <w:iCs/>
          <w:color w:val="000000"/>
          <w:shd w:val="clear" w:fill="FFFFFF"/>
        </w:rPr>
      </w:pPr>
      <w:r>
        <w:rPr>
          <w:bCs/>
          <w:iCs/>
          <w:color w:val="000000"/>
          <w:shd w:val="clear" w:fill="FFFFFF"/>
        </w:rPr>
        <w:t xml:space="preserve"> </w:t>
      </w:r>
      <w:r>
        <w:rPr>
          <w:bCs/>
          <w:iCs/>
          <w:color w:val="000000"/>
          <w:shd w:val="clear" w:fill="FFFFFF"/>
        </w:rPr>
        <w:t>La data de 09.01.2024 la Parchetul de pe lângă Curtea de Apel ..., a fost înregistrată plângerea penală formulată de către societatea H1 S.R.L. prin administrator B3, prin care solicita efectuarea de cercetări față de numiții A1, B1 și B2 referitoare la săvârșirea infracțiunilor de fals material în înscrisuri sub semnătură privată, uz de fals, complicitate la fals material în înscrisuri sub semnătură privată și uz de fals.</w:t>
      </w:r>
    </w:p>
    <w:p>
      <w:pPr>
        <w:pStyle w:val="Normal"/>
        <w:ind w:right="0" w:firstLine="720"/>
        <w:jc w:val="both"/>
        <w:rPr>
          <w:bCs/>
          <w:iCs/>
          <w:color w:val="000000"/>
          <w:shd w:val="clear" w:fill="FFFFFF"/>
        </w:rPr>
      </w:pPr>
      <w:r>
        <w:rPr>
          <w:bCs/>
          <w:iCs/>
          <w:color w:val="000000"/>
          <w:shd w:val="clear" w:fill="FFFFFF"/>
        </w:rPr>
        <w:t xml:space="preserve">Prin Ordonanța din data de  ..., emisă în dosarul nr. D4 emisă de Parchetul de pe lângă Curtea de Apel ... s-a dispus începerea urmăririi penale în cauză cu privire la comiterea infracțiunilor anterior menționate. </w:t>
      </w:r>
    </w:p>
    <w:p>
      <w:pPr>
        <w:pStyle w:val="Normal"/>
        <w:ind w:right="0" w:firstLine="720"/>
        <w:jc w:val="both"/>
        <w:rPr>
          <w:bCs/>
          <w:iCs/>
          <w:color w:val="000000"/>
          <w:shd w:val="clear" w:fill="FFFFFF"/>
        </w:rPr>
      </w:pPr>
      <w:r>
        <w:rPr>
          <w:bCs/>
          <w:iCs/>
          <w:color w:val="000000"/>
          <w:shd w:val="clear" w:fill="FFFFFF"/>
        </w:rPr>
        <w:t>Prin ordonanța de delegare nr. D2 din data de  ... a Parchetului de pe lângă Curtea de Apel ... (f. 10), a fost delegată lucrătorilor de poliție judiciară din cadrul IPJ ... – Secția 5 Poliție Mun. .., efectuarea următoarelor acte de urmărire penală: audierea în calitate de persoană vătămată a numitului B3 și orice alte acte de natură a stabili adevărul în cauză.</w:t>
      </w:r>
    </w:p>
    <w:p>
      <w:pPr>
        <w:pStyle w:val="Normal"/>
        <w:ind w:right="0" w:firstLine="720"/>
        <w:jc w:val="both"/>
        <w:rPr>
          <w:bCs/>
          <w:iCs/>
          <w:color w:val="000000"/>
          <w:shd w:val="clear" w:fill="FFFFFF"/>
        </w:rPr>
      </w:pPr>
      <w:r>
        <w:rPr>
          <w:bCs/>
          <w:iCs/>
          <w:color w:val="000000"/>
          <w:shd w:val="clear" w:fill="FFFFFF"/>
        </w:rPr>
        <w:t xml:space="preserve">A fost înaintat, în copie, dosarul nr. D3 aflat pe rolul Tribunalului ..., în care reclamant era societatea H1 S.R.L., precum și dosarul D5, aflat pe rolul Tribunalului .... </w:t>
      </w:r>
    </w:p>
    <w:p>
      <w:pPr>
        <w:pStyle w:val="Normal"/>
        <w:ind w:right="0" w:firstLine="720"/>
        <w:jc w:val="both"/>
        <w:rPr>
          <w:bCs/>
          <w:iCs/>
          <w:color w:val="000000"/>
          <w:shd w:val="clear" w:fill="FFFFFF"/>
        </w:rPr>
      </w:pPr>
      <w:r>
        <w:rPr>
          <w:bCs/>
          <w:iCs/>
          <w:color w:val="000000"/>
          <w:shd w:val="clear" w:fill="FFFFFF"/>
        </w:rPr>
        <w:t>Au fost audiați: B3 (f. 14), B2 (fostă ...) ... (f. 69), B1 (f. 70-71), B3 (f. 72), A1 (f. 73).</w:t>
      </w:r>
    </w:p>
    <w:p>
      <w:pPr>
        <w:pStyle w:val="Normal"/>
        <w:ind w:right="0" w:firstLine="720"/>
        <w:jc w:val="both"/>
        <w:rPr>
          <w:bCs/>
          <w:iCs/>
          <w:color w:val="000000"/>
          <w:shd w:val="clear" w:fill="FFFFFF"/>
        </w:rPr>
      </w:pPr>
      <w:r>
        <w:rPr>
          <w:bCs/>
          <w:iCs/>
          <w:color w:val="000000"/>
          <w:shd w:val="clear" w:fill="FFFFFF"/>
        </w:rPr>
        <w:t xml:space="preserve">Prin ordonanța de reunire din data de ... a Parchetului de pe lângă Curtea de Apel ... (fila 123) s-a dispus reunirea sub numărul de dosar  D2  a dosarului cu numărul D6 (deschis în baza sesizării Tribunalului ... din data de 23.04.2024, prin care s-a adus la cunoștință posibila comitere a infracțiunilor de fals material în înscrisuri sub semnătură privată, uz de fals, complicitate la fals material în înscrisuri sub semnătură privată și uz de fals, fapte presupus a fi comise de către numiții A1, B1, B2 și B3). </w:t>
      </w:r>
    </w:p>
    <w:p>
      <w:pPr>
        <w:pStyle w:val="Normal"/>
        <w:ind w:right="0" w:firstLine="720"/>
        <w:jc w:val="both"/>
        <w:rPr/>
      </w:pPr>
      <w:r>
        <w:rPr>
          <w:bCs/>
          <w:iCs/>
          <w:color w:val="000000"/>
          <w:shd w:val="clear" w:fill="FFFFFF"/>
        </w:rPr>
        <w:t xml:space="preserve">Prin Ordonanța din data de ... emisă de Parchetul de pe lângă Curtea de Apel ... s-a dispus, efectuarea în cauză a unei constatări grafoscopice, de către specialiști din cadrul Serviciului Criminalistic al I.P.J. ..., cu scopul de a răspunde dacă, referitor la Convenția încheiată la data de 21.08.2021 (pusă la dispoziție în original), semnătura existentă în dreptul numelui B3 a fost executată de către unul dintre numiții A1, B1, B2 și B3. Au fost înaintate și următoarele înscrisuri: procesul-verbal din data de 01.04.2024 cu specimenele de semnătură executate de numita A1, procesul-verbal din data de 21.02.2024 cu specimenele de semnătură executate de numita B2 ..., procesul-verbal din data de 21.02.2024 cu specimenele de semnătură executate de numitul B1 și procesul-verbal din data de 21.02.2024 cu specimenele de semnătură executate de către numitul B3. </w:t>
      </w:r>
    </w:p>
    <w:p>
      <w:pPr>
        <w:pStyle w:val="Normal"/>
        <w:ind w:right="0" w:firstLine="720"/>
        <w:jc w:val="both"/>
        <w:rPr/>
      </w:pPr>
      <w:r>
        <w:rPr>
          <w:bCs/>
          <w:iCs/>
          <w:color w:val="000000"/>
          <w:shd w:val="clear" w:fill="FFFFFF"/>
        </w:rPr>
        <w:t>La data de 24.10.2024 a fost întocmit Raportul de constatare criminalistică nr. ...8 de către specialistul criminalist din cadrul Inspectoratului de Poliție al Județului ... – Serviciul Criminalistică, care a concluzionat că nu se poate stabili dacă semnătura în litigiu de la rubrica „</w:t>
      </w:r>
      <w:r>
        <w:rPr>
          <w:bCs/>
          <w:i/>
          <w:color w:val="000000"/>
          <w:shd w:val="clear" w:fill="FFFFFF"/>
        </w:rPr>
        <w:t xml:space="preserve">S.C. H1 S.R.L. prin reprezentant B3” </w:t>
      </w:r>
      <w:r>
        <w:rPr>
          <w:bCs/>
          <w:iCs/>
          <w:color w:val="000000"/>
          <w:shd w:val="clear" w:fill="FFFFFF"/>
        </w:rPr>
        <w:t>de pe documentul intitulat „</w:t>
      </w:r>
      <w:r>
        <w:rPr>
          <w:bCs/>
          <w:i/>
          <w:color w:val="000000"/>
          <w:shd w:val="clear" w:fill="FFFFFF"/>
        </w:rPr>
        <w:t>Convenție încheiată astăzi, 21.08.2021, între</w:t>
      </w:r>
      <w:r>
        <w:rPr>
          <w:bCs/>
          <w:iCs/>
          <w:color w:val="000000"/>
          <w:shd w:val="clear" w:fill="FFFFFF"/>
        </w:rPr>
        <w:t xml:space="preserve">:” a fost sau nu executată de către unul dintre numiții: A1, B1, B2 (...) ... sau B3. </w:t>
      </w:r>
    </w:p>
    <w:p>
      <w:pPr>
        <w:pStyle w:val="Normal"/>
        <w:ind w:right="0" w:firstLine="720"/>
        <w:jc w:val="both"/>
        <w:rPr>
          <w:bCs/>
          <w:iCs/>
          <w:color w:val="000000"/>
          <w:shd w:val="clear" w:fill="FFFFFF"/>
        </w:rPr>
      </w:pPr>
      <w:r>
        <w:rPr>
          <w:bCs/>
          <w:iCs/>
          <w:color w:val="000000"/>
          <w:shd w:val="clear" w:fill="FFFFFF"/>
        </w:rPr>
        <w:t xml:space="preserve">Prin Ordonanța din data de  ... emisă de Parchetul de pe lângă Curtea de Apel ..., s-a dispus, în temeiul art. 315 alin. (1) lit. b) raportat la art. 314 alin. (1) lit. a) raportat la art. 16 alin. (1) lit. c) din Codul de procedură penală, clasarea cauzei privind săvârșirea infracțiunilor de fals în înscrisuri sub semnătură privată, uz de fals, complicitate la fals în înscrisuri sub semnătură privată și uz de fals, fapte presupus a fi comise de către numiții A1, B1, B2 și B3. </w:t>
      </w:r>
    </w:p>
    <w:p>
      <w:pPr>
        <w:pStyle w:val="Normal"/>
        <w:ind w:right="0" w:firstLine="720"/>
        <w:jc w:val="both"/>
        <w:rPr/>
      </w:pPr>
      <w:r>
        <w:rPr>
          <w:b/>
          <w:iCs/>
          <w:color w:val="000000"/>
          <w:shd w:val="clear" w:fill="FFFFFF"/>
        </w:rPr>
        <w:t>Judecătorul de cameră preliminară</w:t>
      </w:r>
      <w:r>
        <w:rPr>
          <w:bCs/>
          <w:iCs/>
          <w:color w:val="000000"/>
          <w:shd w:val="clear" w:fill="FFFFFF"/>
        </w:rPr>
        <w:t xml:space="preserve"> apreciază că, raportat la conținutul sesizării, se impuneau a fi efectuate cercetări suplimentare pentru lămurirea tuturor aspectelor de fapt care au fost reclamate, rezultând din cuprinsul ordonanței de clasare că nu au fost administrate toate mijloacele de probă prevăzute de lege pentru aflarea adevărului în cauză și identificarea persoanei care se face vinovată de contrafacerea semnăturii de pe înscrisul de pe înscrisul intitulat „Convenție”, semnat la data de 12.08.2021 la Cabinetul de avocat B1.</w:t>
      </w:r>
    </w:p>
    <w:p>
      <w:pPr>
        <w:pStyle w:val="Normal"/>
        <w:ind w:right="0" w:firstLine="720"/>
        <w:jc w:val="both"/>
        <w:rPr/>
      </w:pPr>
      <w:r>
        <w:rPr>
          <w:bCs/>
          <w:iCs/>
          <w:color w:val="000000"/>
          <w:shd w:val="clear" w:fill="FFFFFF"/>
        </w:rPr>
        <w:t xml:space="preserve">Pentru realizarea obiectului urmăririi penale, organelor de cercetare penală le incumbă obligația ca, după sesizare, să caute și să strângă </w:t>
      </w:r>
      <w:r>
        <w:rPr>
          <w:color w:val="000000"/>
          <w:shd w:val="clear" w:fill="FFFFFF"/>
        </w:rPr>
        <w:t>datele ori informaţiile cu privire la existenţa infracţiunilor şi identificarea persoanelor care au săvârşit infracţiuni, să ia măsuri pentru limitarea acestora, să strângă şi să administreze probele, cu respectarea principilor legalităţii şi loialității. De asemenea, dispoziţiile Codului de procedură penală prevăd că organele judiciare au obligaţia de a asigura, pe bază de probe, aflarea adevărului cu privire la faptele şi împrejurările cauzei, precum şi cu privire la persoana suspectului sau inculpatului. Procurorului de caz îi revine sarcina de a aprecia elementele de fapt rezultate din mijloacele de probă solicitate a fi administrate sau care ar trebui administrate, numai astfel putându-se asigura petentului dreptul de a beneficia de o anchetă efectivă.</w:t>
      </w:r>
    </w:p>
    <w:p>
      <w:pPr>
        <w:pStyle w:val="Normal"/>
        <w:ind w:right="0" w:firstLine="720"/>
        <w:jc w:val="both"/>
        <w:rPr>
          <w:bCs/>
          <w:iCs/>
          <w:color w:val="000000"/>
          <w:shd w:val="clear" w:fill="FFFFFF"/>
        </w:rPr>
      </w:pPr>
      <w:r>
        <w:rPr>
          <w:bCs/>
          <w:iCs/>
          <w:color w:val="000000"/>
          <w:shd w:val="clear" w:fill="FFFFFF"/>
        </w:rPr>
        <w:t xml:space="preserve">Judecătorul de cameră preliminară apreciază că procurorul general al Parchetului de pe lângă Curtea de Apel ... a identificat, în mod corect, o serie de lacune din cuprinsul probatoriului administrat în cauză, observând că, deși în dosarul civil cu nr. D3 al Tribunalului ..., din expertiza criminalistică efectuată în cauză, a rezultat că înscrisul intitulat „Convenție” semnat la data de 21.08.2021 la Cabinetul de avocat B1 nu a fost semnat de către B3, în calitate de reprezentant legal al societății H1 S.R.L. și că semnătura atribuită acestuia reprezintă o contrafacere a grafismului propriu al acestuia, realizată prin imitație, nu au fost administrate și alte probe pentru a identifica persoana care se face vinovată de această contrafacere. </w:t>
      </w:r>
    </w:p>
    <w:p>
      <w:pPr>
        <w:pStyle w:val="Normal"/>
        <w:ind w:right="0" w:firstLine="720"/>
        <w:jc w:val="both"/>
        <w:rPr>
          <w:bCs/>
          <w:iCs/>
          <w:color w:val="000000"/>
          <w:shd w:val="clear" w:fill="FFFFFF"/>
        </w:rPr>
      </w:pPr>
      <w:r>
        <w:rPr>
          <w:bCs/>
          <w:iCs/>
          <w:color w:val="000000"/>
          <w:shd w:val="clear" w:fill="FFFFFF"/>
        </w:rPr>
        <w:t>Astfel, procurorul general al Parchetului de pe lângă Curtea de Apel ... a constatat că în dosarul penal nr. D2 al Parchetului de pe lângă Curtea de Apel ... s-a dispus efectuarea unei constatări criminalistice grafoscopice pentru a se stabili identitatea persoanei care a executat semnătura respectivă, bazându-se pe declarațiile martorilor audiați în cauză care au declarat că la semnarea actului intitulat „Convenție” au fost prezenți numiții A1, B1, B2 și B3.</w:t>
      </w:r>
    </w:p>
    <w:p>
      <w:pPr>
        <w:pStyle w:val="Normal"/>
        <w:ind w:right="0" w:firstLine="720"/>
        <w:jc w:val="both"/>
        <w:rPr>
          <w:bCs/>
          <w:iCs/>
          <w:color w:val="000000"/>
          <w:shd w:val="clear" w:fill="FFFFFF"/>
        </w:rPr>
      </w:pPr>
      <w:r>
        <w:rPr>
          <w:bCs/>
          <w:iCs/>
          <w:color w:val="000000"/>
          <w:shd w:val="clear" w:fill="FFFFFF"/>
        </w:rPr>
        <w:t>Judecătorul de cameră preliminară constată că, raportat la conținutul plângerii formulate, specialistului criminalist i-au fost puse la dispoziție doar niște procese verbale conținând semnături date de către persoanele menționate mai sus, date în fața procurorului în vederea efectuării constatării, dar nu și alte acte executate de aceste persoane în alte împrejurări, așa cum ar fi fost necesar.</w:t>
      </w:r>
    </w:p>
    <w:p>
      <w:pPr>
        <w:pStyle w:val="Normal"/>
        <w:ind w:right="0" w:firstLine="720"/>
        <w:jc w:val="both"/>
        <w:rPr>
          <w:bCs/>
          <w:iCs/>
          <w:color w:val="000000"/>
          <w:shd w:val="clear" w:fill="FFFFFF"/>
        </w:rPr>
      </w:pPr>
      <w:r>
        <w:rPr>
          <w:bCs/>
          <w:iCs/>
          <w:color w:val="000000"/>
          <w:shd w:val="clear" w:fill="FFFFFF"/>
        </w:rPr>
        <w:t>Mai mult de atât, specimenele de semnătură date de numitul B3 sunt total diferite de semnăturile executate de acesta pe declarația dată în fața procurorului, respectiv pe o convenție încheiată între acesta și B3 în anul 2021 (fila 21), în aceeași perioadă în care a fost falsificată semnătura numitului B3. Deși specialistul criminalist identifică anumite asemănări între cele două semnături (fila 143), le apreciază a fi insuficiente pentru enunțarea unei concluzii în acest sens.</w:t>
      </w:r>
    </w:p>
    <w:p>
      <w:pPr>
        <w:pStyle w:val="Normal"/>
        <w:ind w:right="0" w:firstLine="720"/>
        <w:jc w:val="both"/>
        <w:rPr>
          <w:bCs/>
          <w:iCs/>
          <w:color w:val="000000"/>
          <w:shd w:val="clear" w:fill="FFFFFF"/>
        </w:rPr>
      </w:pPr>
      <w:r>
        <w:rPr>
          <w:bCs/>
          <w:iCs/>
          <w:color w:val="000000"/>
          <w:shd w:val="clear" w:fill="FFFFFF"/>
        </w:rPr>
        <w:t xml:space="preserve">Având în vedere că semnăturile date ca specimen de către numitul B3 sunt diferite față de semnăturile date de acesta cu ocazia audierii ca martor în cauză sau cu ocazia semnării unui act în aceeași perioadă, judecătorul de cameră preliminară apreciază că este necesar să se administreze mijlocul de probă al expertizei criminalistice cu privire la posibilitatea ca semnătura contrafăcută să fi fost executată de numitul B3. </w:t>
      </w:r>
    </w:p>
    <w:p>
      <w:pPr>
        <w:pStyle w:val="Normal"/>
        <w:ind w:right="0" w:firstLine="720"/>
        <w:jc w:val="both"/>
        <w:rPr/>
      </w:pPr>
      <w:r>
        <w:rPr/>
        <w:t>Având în vedere că administrarea probatoriului reprezintă o activitate esențială pentru realizarea scopului procesului penal, iar în lipsa acesteia nu se poate stabili, cu certitudine, dacă o faptă există, este prevăzută de legea penală sau a fost comisă cu vinovăția prevăzută de lege ori dacă este incident vreun caz din cele prevăzute la art. 16 alin. (1) din Codul de procedură penală, judecătorul de cameră preliminară reține că se impune redeschiderea urmăririi penale, redeschidere care nu este excesivă prin raportare la durata urmăririi penale.</w:t>
      </w:r>
    </w:p>
    <w:p>
      <w:pPr>
        <w:pStyle w:val="Normal"/>
        <w:ind w:right="0" w:firstLine="720"/>
        <w:jc w:val="both"/>
        <w:rPr>
          <w:color w:val="000000"/>
          <w:shd w:val="clear" w:fill="FFFFFF"/>
        </w:rPr>
      </w:pPr>
      <w:r>
        <w:rPr>
          <w:color w:val="000000"/>
          <w:shd w:val="clear" w:fill="FFFFFF"/>
        </w:rPr>
        <w:t>Întrucât analiza procurorului ierarhic superior este corectă, iar din expunerea motivelor invocate pentru infirmarea soluției de clasare rezultă că acestea sunt formulate pe fondul unui raționament judicios motivat, care concordă cu jurisprudența Curții Europene a Drepturilor Omului, având în vedere că de la momentul clasării cauzei și până în prezent nu a trecut un timp îndelungat, iar faptele investigate implică o conduită presupus ilicită, adoptată într-o procedură judiciară care putea determina restrângerea exercițiului drepturilor unei persoane, prezentând o gravitate ce nu poate justifica lipsa oportunității continuării cercetărilor în cauză, judecătorul de cameră preliminară concluzionează că ordonanța prin care s-a dispus redeschiderea urmăririi penale este temeinică, nefiind consecința exercitării unei puteri discreționare.</w:t>
      </w:r>
    </w:p>
    <w:p>
      <w:pPr>
        <w:pStyle w:val="Style51"/>
        <w:widowControl/>
        <w:spacing w:before="19" w:after="0" w:line="259" w:lineRule="exact"/>
        <w:ind w:right="0" w:firstLine="713"/>
        <w:jc w:val="both"/>
        <w:rPr/>
      </w:pPr>
      <w:r>
        <w:rPr>
          <w:color w:val="000000"/>
        </w:rPr>
        <w:t xml:space="preserve">Pentru toate aceste considerente, reținând carențele anchetei efectuate în dosarul de urmărire penală nr. D2 al Parchetului de pe lângă Curtea de Apel ... și necesitatea administrării tuturor mijloacelor de probă prevăzute de lege pentru aflarea adevărului în cauză și identificare persoanei care se face vinovată de contrafacerea semnăturii de pe înscrisul intitulat „Convenție”, semnat la data de 21.08.2021 la Cabinetul de avocat B1, în temeiul dispozițiilor art. 335 alin. (4) din Codul de procedură penală, judecătorul de cameră preliminară va constata legalitatea și temeinicia Ordonanței nr. </w:t>
      </w:r>
      <w:r>
        <w:rPr>
          <w:rStyle w:val="FontStyle12"/>
          <w:color w:val="000000"/>
          <w:sz w:val="24"/>
          <w:szCs w:val="24"/>
        </w:rPr>
        <w:t>O2/... din data de ... a procurorului general  al Parchetului de pe lângă Curtea de Apel ...,</w:t>
      </w:r>
      <w:r>
        <w:rPr>
          <w:color w:val="000000"/>
        </w:rPr>
        <w:t xml:space="preserve"> prin care a fost infirmată Ordonanța de clasare </w:t>
      </w:r>
      <w:r>
        <w:rPr>
          <w:rStyle w:val="FontStyle12"/>
          <w:color w:val="000000"/>
          <w:sz w:val="24"/>
          <w:szCs w:val="24"/>
        </w:rPr>
        <w:t xml:space="preserve">din data de  ..., dispusă în dosarul </w:t>
      </w:r>
      <w:r>
        <w:rPr>
          <w:rStyle w:val="FontStyle12"/>
          <w:sz w:val="24"/>
          <w:szCs w:val="24"/>
        </w:rPr>
        <w:t>nr. D2 al Parchetului de pe lângă Curtea de Apel ...</w:t>
      </w:r>
      <w:r>
        <w:rPr>
          <w:rStyle w:val="FontStyle57"/>
        </w:rPr>
        <w:t xml:space="preserve"> </w:t>
      </w:r>
      <w:r>
        <w:rPr>
          <w:rStyle w:val="FontStyle12"/>
          <w:sz w:val="24"/>
          <w:szCs w:val="24"/>
        </w:rPr>
        <w:t>cu privire la soluția de clasare în ceea ce privește infracțiunea de fals în înscrisuri sub semnătură privată prevăzută de art. 322 alin. (1) din Codul penal, infracțiunea de uz de fals prevăzută de art. 323 din Codul penal, complicitate la infracțiunea de fals în înscrisuri sub semnătură privată prevăzută de art. 48 alin. (1) din Codul penal raportat la art. 322 alin. (1) din Codul penal și complicitate la infracțiunea de uz de fals prevăzută de a art. 48 alin. (1) din Codul penal raportat art. 323 din Codul penal.</w:t>
      </w:r>
    </w:p>
    <w:p>
      <w:pPr>
        <w:pStyle w:val="Style51"/>
        <w:widowControl/>
        <w:spacing w:before="19" w:after="0" w:line="259" w:lineRule="exact"/>
        <w:ind w:right="0" w:firstLine="713"/>
        <w:jc w:val="both"/>
        <w:rPr/>
      </w:pPr>
      <w:r>
        <w:rPr>
          <w:rStyle w:val="FontStyle12"/>
          <w:sz w:val="24"/>
          <w:szCs w:val="24"/>
        </w:rPr>
        <w:t>Judecătorul de cameră preliminară va confirma redeschiderea urmăririi penale în ceea ce privește infracțiunea de fals în înscrisuri sub semnătură privată prevăzută de art. 322 alin. (1) din Codul penal, infracțiunea de uz de fals prevăzută de art. 323 din Codul penal, complicitate la infracțiunea de fals în înscrisuri sub semnătură privată prevăzută de art. 48 alin. (1) din Codul penal raportat la art. 322 alin. (1) din Codul penal și complicitate la infracţiunea de uz de fals prevăzută de art. 48 alin. (1) din Codul penal raportat la art. 323 din Codul penal în dosarul nr. D2 al Parchetului de pe lângă Curtea de Apel ....</w:t>
      </w:r>
    </w:p>
    <w:p>
      <w:pPr>
        <w:pStyle w:val="Normal"/>
        <w:ind w:right="0" w:firstLine="720"/>
        <w:jc w:val="both"/>
        <w:rPr>
          <w:color w:val="000000"/>
        </w:rPr>
      </w:pPr>
      <w:r>
        <w:rPr>
          <w:color w:val="000000"/>
        </w:rPr>
        <w:t>Se va face aplicarea dispozițiilor art. 275 alin. (3) din Codul de procedură penală, privind cheltuielile judiciare ocazionate de soluționarea prezentei cauze, acestea urmând să rămână în sarcina statului.</w:t>
      </w:r>
    </w:p>
    <w:p>
      <w:pPr>
        <w:pStyle w:val="Normal"/>
        <w:ind w:right="0" w:firstLine="720"/>
        <w:jc w:val="both"/>
        <w:rPr>
          <w:color w:val="000000"/>
        </w:rPr>
      </w:pPr>
      <w:r>
        <w:rPr>
          <w:color w:val="000000"/>
        </w:rPr>
      </w:r>
    </w:p>
    <w:p>
      <w:pPr>
        <w:pStyle w:val="Normal"/>
        <w:ind w:right="0" w:firstLine="720"/>
        <w:jc w:val="both"/>
        <w:rPr>
          <w:b/>
          <w:i/>
          <w:i/>
          <w:color w:val="000000"/>
          <w:shd w:val="clear" w:fill="FFFFFF"/>
        </w:rPr>
      </w:pPr>
      <w:r>
        <w:rPr>
          <w:b/>
          <w:i/>
          <w:color w:val="000000"/>
          <w:shd w:val="clear" w:fill="FFFFFF"/>
        </w:rPr>
      </w:r>
    </w:p>
    <w:p>
      <w:pPr>
        <w:pStyle w:val="Normal"/>
        <w:ind w:right="0" w:firstLine="709"/>
        <w:jc w:val="center"/>
        <w:rPr>
          <w:b/>
        </w:rPr>
      </w:pPr>
      <w:r>
        <w:rPr>
          <w:b/>
        </w:rPr>
        <w:t>PENTRU ACESTE MOTIVE,</w:t>
      </w:r>
    </w:p>
    <w:p>
      <w:pPr>
        <w:pStyle w:val="Normal"/>
        <w:ind w:right="0" w:firstLine="709"/>
        <w:jc w:val="center"/>
        <w:rPr>
          <w:b/>
        </w:rPr>
      </w:pPr>
      <w:r>
        <w:rPr>
          <w:b/>
        </w:rPr>
        <w:t>ÎN NUMELE LEGII</w:t>
      </w:r>
    </w:p>
    <w:p>
      <w:pPr>
        <w:pStyle w:val="Normal"/>
        <w:ind w:right="0" w:firstLine="709"/>
        <w:jc w:val="center"/>
        <w:rPr>
          <w:b/>
        </w:rPr>
      </w:pPr>
      <w:r>
        <w:rPr>
          <w:b/>
        </w:rPr>
        <w:t>DISPUNE:</w:t>
      </w:r>
    </w:p>
    <w:p>
      <w:pPr>
        <w:pStyle w:val="Normal"/>
        <w:ind w:right="0" w:firstLine="709"/>
        <w:jc w:val="center"/>
        <w:rPr>
          <w:b/>
        </w:rPr>
      </w:pPr>
      <w:r>
        <w:rPr>
          <w:b/>
        </w:rPr>
      </w:r>
    </w:p>
    <w:p>
      <w:pPr>
        <w:pStyle w:val="Style51"/>
        <w:widowControl/>
        <w:spacing w:before="19" w:after="0" w:line="259" w:lineRule="exact"/>
        <w:ind w:right="0" w:firstLine="713"/>
        <w:jc w:val="both"/>
        <w:rPr/>
      </w:pPr>
      <w:r>
        <w:rPr>
          <w:rStyle w:val="FontStyle12"/>
          <w:sz w:val="24"/>
          <w:szCs w:val="24"/>
        </w:rPr>
        <w:t xml:space="preserve">Admite sesizarea </w:t>
      </w:r>
      <w:r>
        <w:rPr>
          <w:rStyle w:val="FontStyle11"/>
          <w:sz w:val="24"/>
          <w:szCs w:val="24"/>
        </w:rPr>
        <w:t xml:space="preserve">Parchetului de pe lângă Curtea de Apel ... </w:t>
      </w:r>
      <w:r>
        <w:rPr>
          <w:rStyle w:val="FontStyle12"/>
          <w:sz w:val="24"/>
          <w:szCs w:val="24"/>
        </w:rPr>
        <w:t>şi, în consecinţă:</w:t>
      </w:r>
    </w:p>
    <w:p>
      <w:pPr>
        <w:pStyle w:val="Style51"/>
        <w:widowControl/>
        <w:spacing w:before="19" w:after="0" w:line="259" w:lineRule="exact"/>
        <w:ind w:right="0" w:firstLine="713"/>
        <w:jc w:val="both"/>
        <w:rPr/>
      </w:pPr>
      <w:r>
        <w:rPr>
          <w:rStyle w:val="FontStyle11"/>
          <w:sz w:val="24"/>
          <w:szCs w:val="24"/>
        </w:rPr>
        <w:t xml:space="preserve">În temeiul art. 335 alin. </w:t>
      </w:r>
      <w:r>
        <w:rPr>
          <w:rStyle w:val="FontStyle12"/>
          <w:b/>
          <w:sz w:val="24"/>
          <w:szCs w:val="24"/>
        </w:rPr>
        <w:t>(4)</w:t>
      </w:r>
      <w:r>
        <w:rPr>
          <w:rStyle w:val="FontStyle12"/>
          <w:sz w:val="24"/>
          <w:szCs w:val="24"/>
        </w:rPr>
        <w:t xml:space="preserve"> </w:t>
      </w:r>
      <w:r>
        <w:rPr>
          <w:rStyle w:val="FontStyle11"/>
          <w:sz w:val="24"/>
          <w:szCs w:val="24"/>
        </w:rPr>
        <w:t xml:space="preserve">din Codul de procedură penală, </w:t>
      </w:r>
      <w:r>
        <w:rPr>
          <w:rStyle w:val="FontStyle12"/>
          <w:sz w:val="24"/>
          <w:szCs w:val="24"/>
        </w:rPr>
        <w:t>constată legalitatea şi temeinicia soluției de infirmare cuprinsă în Ordonanţa nr. O2/... din ... a procurorului general al Parchetului de pe lângă Curtea de Apel ..., prin care s-a infirmat Ordonanţa din data de  ..., dispusă în dosarul nr. D2 al Parchetului de pe lângă Curtea de Apel ..., cu privire la soluția de clasare în ceea ce privește infracțiunea de fals în înscrisuri sub semnătură privată prevăzută de art. 322 alin. (1) din Codul penal, infracțiunea de uz de fals prevăzută de art. 323 din Codul penal, complicitate la infracțiunea de fals în înscrisuri sub semnătură privată prevăzută de art. 48 alin. (1) din Codul penal raportat la art. 322 alin. (1) din Codul penal și complicitate la infracțiunea de uz de fals prevăzută de a art. 48 alin. (1) din Codul penal raportat art. 323 din Codul penal.</w:t>
      </w:r>
    </w:p>
    <w:p>
      <w:pPr>
        <w:pStyle w:val="Style51"/>
        <w:widowControl/>
        <w:spacing w:before="19" w:after="0" w:line="259" w:lineRule="exact"/>
        <w:ind w:right="0" w:firstLine="713"/>
        <w:jc w:val="both"/>
        <w:rPr/>
      </w:pPr>
      <w:r>
        <w:rPr>
          <w:rStyle w:val="FontStyle12"/>
          <w:sz w:val="24"/>
          <w:szCs w:val="24"/>
        </w:rPr>
        <w:t>Confirmă redeschiderea urmării penale în ceea ce privește infracțiunea de fals în înscrisuri sub semnătură privată prevăzută de art. 322 alin. (1) din Codul penal, infracțiunea de uz de fals prevăzută de art. 323 din Codul penal, complicitate la infracțiunea de fals în înscrisuri sub semnătură privată prevăzută de art. 48 alin. (1) din Codul penal raportat la art. 322 alin. (1) din Codul penal și complicitate la infracțiunea de uz de fals prevăzută de a art. 48 alin. (1) din Codul penal raportat art. 323 din Codul penal în dosarul nr. D2 al Parchetului de pe lângă Curtea de Apel ....</w:t>
      </w:r>
    </w:p>
    <w:p>
      <w:pPr>
        <w:pStyle w:val="Style41"/>
        <w:widowControl/>
        <w:spacing w:line="259" w:lineRule="exact"/>
        <w:ind w:right="0" w:firstLine="706"/>
        <w:rPr/>
      </w:pPr>
      <w:r>
        <w:rPr>
          <w:rStyle w:val="FontStyle11"/>
          <w:sz w:val="24"/>
          <w:szCs w:val="24"/>
        </w:rPr>
        <w:t xml:space="preserve">În baza art. 275 alin. (3) din Codul de procedură penală, </w:t>
      </w:r>
      <w:r>
        <w:rPr>
          <w:rStyle w:val="FontStyle12"/>
          <w:sz w:val="24"/>
          <w:szCs w:val="24"/>
        </w:rPr>
        <w:t>cheltuielile judiciare avansate de stat rămân în sarcina acestuia.</w:t>
      </w:r>
    </w:p>
    <w:p>
      <w:pPr>
        <w:pStyle w:val="Style51"/>
        <w:widowControl/>
        <w:spacing w:line="259" w:lineRule="exact"/>
        <w:ind w:left="706" w:right="0"/>
        <w:jc w:val="both"/>
        <w:rPr/>
      </w:pPr>
      <w:r>
        <w:rPr>
          <w:rStyle w:val="FontStyle11"/>
          <w:sz w:val="24"/>
          <w:szCs w:val="24"/>
        </w:rPr>
        <w:t>Definitivă.</w:t>
      </w:r>
    </w:p>
    <w:p>
      <w:pPr>
        <w:pStyle w:val="Style41"/>
        <w:widowControl/>
        <w:spacing w:line="259" w:lineRule="exact"/>
        <w:ind w:right="0" w:firstLine="706"/>
        <w:rPr/>
      </w:pPr>
      <w:r>
        <w:rPr>
          <w:rStyle w:val="FontStyle12"/>
          <w:sz w:val="24"/>
          <w:szCs w:val="24"/>
        </w:rPr>
        <w:t>Pronunţată prin punerea soluţiei la dispoziţia procurorului prin mijlocirea grefei instanţei, astăzi, ....</w:t>
      </w:r>
    </w:p>
    <w:p>
      <w:pPr>
        <w:pStyle w:val="Normal"/>
        <w:jc w:val="both"/>
        <w:rPr>
          <w:b/>
          <w:lang w:eastAsia="en-US"/>
        </w:rPr>
      </w:pPr>
      <w:r>
        <w:rPr>
          <w:b/>
          <w:lang w:eastAsia="en-US"/>
        </w:rPr>
        <w:t xml:space="preserve">                                              </w:t>
      </w:r>
    </w:p>
    <w:p>
      <w:pPr>
        <w:pStyle w:val="Style31"/>
        <w:widowControl/>
        <w:spacing w:before="72" w:after="0"/>
        <w:ind w:right="2606"/>
        <w:jc w:val="left"/>
        <w:rPr>
          <w:b/>
          <w:lang w:eastAsia="en-US"/>
        </w:rPr>
      </w:pPr>
      <w:r>
        <w:rPr>
          <w:b/>
          <w:lang w:eastAsia="en-US"/>
        </w:rPr>
      </w:r>
    </w:p>
    <w:tbl>
      <w:tblPr>
        <w:tblW w:w="9061" w:type="dxa"/>
        <w:jc w:val="left"/>
        <w:tblInd w:w="-108" w:type="dxa"/>
        <w:tblLayout w:type="fixed"/>
        <w:tblCellMar>
          <w:top w:w="0" w:type="dxa"/>
          <w:left w:w="108" w:type="dxa"/>
          <w:bottom w:w="0" w:type="dxa"/>
          <w:right w:w="108" w:type="dxa"/>
        </w:tblCellMar>
      </w:tblPr>
      <w:tblGrid>
        <w:gridCol w:w="4530"/>
        <w:gridCol w:w="4531"/>
      </w:tblGrid>
      <w:tr>
        <w:trPr/>
        <w:tc>
          <w:tcPr>
            <w:tcW w:w="4530" w:type="dxa"/>
            <w:tcBorders/>
          </w:tcPr>
          <w:p>
            <w:pPr>
              <w:pStyle w:val="Normal"/>
              <w:jc w:val="center"/>
              <w:rPr>
                <w:rFonts w:eastAsia="Calibri"/>
                <w:b/>
                <w:bCs/>
                <w:szCs w:val="22"/>
              </w:rPr>
            </w:pPr>
            <w:r>
              <w:rPr>
                <w:rFonts w:eastAsia="Calibri"/>
                <w:b/>
                <w:bCs/>
                <w:szCs w:val="22"/>
              </w:rPr>
              <w:t xml:space="preserve">Preşedinte, </w:t>
            </w:r>
          </w:p>
          <w:p>
            <w:pPr>
              <w:pStyle w:val="Normal"/>
              <w:jc w:val="center"/>
              <w:rPr>
                <w:rFonts w:eastAsia="Calibri"/>
                <w:b/>
                <w:bCs/>
                <w:szCs w:val="22"/>
              </w:rPr>
            </w:pPr>
            <w:r>
              <w:rPr>
                <w:rFonts w:eastAsia="Calibri"/>
                <w:b/>
                <w:bCs/>
                <w:szCs w:val="22"/>
              </w:rPr>
              <w:t>Judecător de cameră preliminară,</w:t>
            </w:r>
          </w:p>
          <w:p>
            <w:pPr>
              <w:pStyle w:val="Normal"/>
              <w:jc w:val="center"/>
              <w:rPr>
                <w:rFonts w:eastAsia="Calibri"/>
                <w:b/>
                <w:bCs/>
                <w:szCs w:val="22"/>
              </w:rPr>
            </w:pPr>
            <w:r>
              <w:rPr>
                <w:rFonts w:eastAsia="Calibri"/>
                <w:b/>
                <w:bCs/>
                <w:szCs w:val="22"/>
              </w:rPr>
              <w:t>A0013</w:t>
            </w:r>
          </w:p>
        </w:tc>
        <w:tc>
          <w:tcPr>
            <w:tcW w:w="4531" w:type="dxa"/>
            <w:tcBorders/>
          </w:tcPr>
          <w:p>
            <w:pPr>
              <w:pStyle w:val="Normal"/>
              <w:snapToGrid w:val="false"/>
              <w:jc w:val="both"/>
              <w:rPr>
                <w:rFonts w:eastAsia="Calibri"/>
                <w:b/>
                <w:bCs/>
                <w:szCs w:val="22"/>
              </w:rPr>
            </w:pPr>
            <w:r>
              <w:rPr>
                <w:rFonts w:eastAsia="Calibri"/>
                <w:b/>
                <w:bCs/>
                <w:szCs w:val="22"/>
              </w:rPr>
            </w:r>
          </w:p>
          <w:p>
            <w:pPr>
              <w:pStyle w:val="Normal"/>
              <w:jc w:val="center"/>
              <w:rPr>
                <w:rFonts w:eastAsia="Calibri"/>
                <w:b/>
                <w:bCs/>
                <w:szCs w:val="22"/>
              </w:rPr>
            </w:pPr>
            <w:r>
              <w:rPr>
                <w:rFonts w:eastAsia="Calibri"/>
                <w:b/>
                <w:bCs/>
                <w:szCs w:val="22"/>
              </w:rPr>
              <w:t xml:space="preserve">Grefier, </w:t>
            </w:r>
          </w:p>
          <w:p>
            <w:pPr>
              <w:pStyle w:val="Normal"/>
              <w:jc w:val="center"/>
              <w:rPr>
                <w:rFonts w:eastAsia="Calibri"/>
                <w:b/>
                <w:bCs/>
                <w:szCs w:val="22"/>
              </w:rPr>
            </w:pPr>
            <w:r>
              <w:rPr>
                <w:rFonts w:eastAsia="Calibri"/>
                <w:b/>
                <w:bCs/>
                <w:szCs w:val="22"/>
              </w:rPr>
              <w:t>...</w:t>
            </w:r>
          </w:p>
        </w:tc>
      </w:tr>
    </w:tbl>
    <w:p>
      <w:pPr>
        <w:pStyle w:val="Normal"/>
        <w:ind w:right="0" w:firstLine="706"/>
        <w:jc w:val="both"/>
        <w:rPr>
          <w:b/>
          <w:bCs/>
        </w:rPr>
      </w:pPr>
      <w:r>
        <w:rPr>
          <w:b/>
          <w:bCs/>
        </w:rPr>
      </w:r>
    </w:p>
    <w:p>
      <w:pPr>
        <w:pStyle w:val="Normal"/>
        <w:ind w:right="0" w:firstLine="706"/>
        <w:jc w:val="both"/>
        <w:rPr>
          <w:b/>
          <w:bCs/>
        </w:rPr>
      </w:pPr>
      <w:r>
        <w:rPr>
          <w:b/>
          <w:bCs/>
        </w:rPr>
      </w:r>
    </w:p>
    <w:p>
      <w:pPr>
        <w:pStyle w:val="Normal"/>
        <w:ind w:right="0" w:firstLine="706"/>
        <w:jc w:val="both"/>
        <w:rPr>
          <w:b/>
          <w:bCs/>
        </w:rPr>
      </w:pPr>
      <w:r>
        <w:rPr>
          <w:b/>
          <w:bCs/>
        </w:rPr>
      </w:r>
    </w:p>
    <w:p>
      <w:pPr>
        <w:pStyle w:val="Normal"/>
        <w:ind w:right="0" w:firstLine="706"/>
        <w:jc w:val="both"/>
        <w:rPr>
          <w:b/>
          <w:bCs/>
        </w:rPr>
      </w:pPr>
      <w:r>
        <w:rPr>
          <w:b/>
          <w:bCs/>
        </w:rPr>
      </w:r>
    </w:p>
    <w:p>
      <w:pPr>
        <w:pStyle w:val="Normal"/>
        <w:jc w:val="both"/>
        <w:rPr>
          <w:sz w:val="16"/>
          <w:szCs w:val="16"/>
        </w:rPr>
      </w:pPr>
      <w:r>
        <w:rPr>
          <w:sz w:val="16"/>
          <w:szCs w:val="16"/>
        </w:rPr>
        <w:t>Red./Tehnored. A0013</w:t>
      </w:r>
    </w:p>
    <w:p>
      <w:pPr>
        <w:pStyle w:val="Normal"/>
        <w:jc w:val="both"/>
        <w:rPr>
          <w:sz w:val="16"/>
          <w:szCs w:val="16"/>
        </w:rPr>
      </w:pPr>
      <w:r>
        <w:rPr>
          <w:sz w:val="16"/>
          <w:szCs w:val="16"/>
        </w:rPr>
        <w:t>2 ex./...</w:t>
      </w:r>
    </w:p>
    <w:p>
      <w:pPr>
        <w:pStyle w:val="Normal"/>
        <w:jc w:val="center"/>
        <w:rPr>
          <w:sz w:val="16"/>
          <w:szCs w:val="16"/>
        </w:rPr>
      </w:pPr>
      <w:r>
        <w:rPr>
          <w:sz w:val="16"/>
          <w:szCs w:val="16"/>
        </w:rPr>
      </w:r>
    </w:p>
    <w:p>
      <w:pPr>
        <w:pStyle w:val="Normal"/>
        <w:rPr/>
      </w:pPr>
      <w:r>
        <w:rPr/>
      </w:r>
    </w:p>
    <w:p>
      <w:pPr>
        <w:pStyle w:val="Normal"/>
        <w:rPr/>
      </w:pPr>
      <w:r>
        <w:rPr/>
      </w:r>
    </w:p>
    <w:sectPr>
      <w:footerReference w:type="default" r:id="rId2"/>
      <w:type w:val="nextPage"/>
      <w:pgSz w:w="11906" w:h="16838"/>
      <w:pgMar w:top="1418" w:right="1418" w:bottom="1418" w:left="1418" w:header="0" w:footer="709"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6</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pStyle w:val="Heading2"/>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8"/>
  <w:autoHyphenation w:val="true"/>
  <w:compat>
    <w:doNotBreakWrappedTables/>
    <w:compatSetting w:name="compatibilityMode" w:uri="http://schemas.microsoft.com/office/word" w:val="12"/>
  </w:compat>
  <w:docVars>
    <w:docVar w:name="SigAgile" w:val="https://caias.just.ro/ecris_cdms/document_upload.aspx?id_document=4500000001408671&amp;id_departament=26&amp;id_sesiune=800440&amp;id_user=279&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paragraph" w:styleId="Heading2">
    <w:name w:val="Heading 2"/>
    <w:basedOn w:val="Normal"/>
    <w:next w:val="Normal"/>
    <w:qFormat/>
    <w:pPr>
      <w:keepNext w:val="true"/>
      <w:numPr>
        <w:ilvl w:val="1"/>
        <w:numId w:val="1"/>
      </w:numPr>
      <w:jc w:val="center"/>
      <w:outlineLvl w:val="1"/>
    </w:pPr>
    <w:rPr>
      <w:rFonts w:ascii="Garamond" w:hAnsi="Garamond" w:cs="Garamond"/>
      <w:b/>
      <w:bCs/>
    </w:rPr>
  </w:style>
  <w:style w:type="paragraph" w:styleId="Heading3">
    <w:name w:val="Heading 3"/>
    <w:basedOn w:val="Normal"/>
    <w:next w:val="Normal"/>
    <w:qFormat/>
    <w:pPr>
      <w:keepNext w:val="true"/>
      <w:numPr>
        <w:ilvl w:val="2"/>
        <w:numId w:val="1"/>
      </w:numPr>
      <w:jc w:val="center"/>
      <w:outlineLvl w:val="2"/>
    </w:pPr>
    <w:rPr>
      <w:rFonts w:ascii="Garamond" w:hAnsi="Garamond" w:cs="Garamond"/>
      <w:sz w:val="36"/>
    </w:rPr>
  </w:style>
  <w:style w:type="character" w:styleId="Fontdeparagrafimplicit">
    <w:name w:val="Font de paragraf implicit"/>
    <w:qFormat/>
    <w:rPr/>
  </w:style>
  <w:style w:type="character" w:styleId="Bodytext7">
    <w:name w:val="Body text (7)_"/>
    <w:qFormat/>
    <w:rPr>
      <w:rFonts w:ascii="Arial" w:hAnsi="Arial" w:eastAsia="Arial" w:cs="Arial"/>
      <w:b/>
      <w:bCs/>
      <w:sz w:val="21"/>
      <w:szCs w:val="21"/>
      <w:shd w:fill="FFFFFF" w:val="clear"/>
    </w:rPr>
  </w:style>
  <w:style w:type="character" w:styleId="FontStyle61">
    <w:name w:val="Font Style61"/>
    <w:qFormat/>
    <w:rPr>
      <w:rFonts w:ascii="Times New Roman" w:hAnsi="Times New Roman" w:cs="Times New Roman"/>
      <w:sz w:val="24"/>
      <w:szCs w:val="24"/>
    </w:rPr>
  </w:style>
  <w:style w:type="character" w:styleId="FontStyle57">
    <w:name w:val="Font Style57"/>
    <w:qFormat/>
    <w:rPr>
      <w:rFonts w:ascii="Times New Roman" w:hAnsi="Times New Roman" w:cs="Times New Roman"/>
      <w:b/>
      <w:bCs/>
      <w:sz w:val="24"/>
      <w:szCs w:val="24"/>
    </w:rPr>
  </w:style>
  <w:style w:type="character" w:styleId="FontStyle59">
    <w:name w:val="Font Style59"/>
    <w:qFormat/>
    <w:rPr>
      <w:rFonts w:ascii="Times New Roman" w:hAnsi="Times New Roman" w:cs="Times New Roman"/>
      <w:b/>
      <w:bCs/>
      <w:i/>
      <w:iCs/>
      <w:sz w:val="24"/>
      <w:szCs w:val="24"/>
    </w:rPr>
  </w:style>
  <w:style w:type="character" w:styleId="FontStyle11">
    <w:name w:val="Font Style11"/>
    <w:qFormat/>
    <w:rPr>
      <w:rFonts w:ascii="Times New Roman" w:hAnsi="Times New Roman" w:cs="Times New Roman"/>
      <w:b/>
      <w:bCs/>
      <w:sz w:val="22"/>
      <w:szCs w:val="22"/>
    </w:rPr>
  </w:style>
  <w:style w:type="character" w:styleId="FontStyle12">
    <w:name w:val="Font Style12"/>
    <w:qFormat/>
    <w:rPr>
      <w:rFonts w:ascii="Times New Roman" w:hAnsi="Times New Roman" w:cs="Times New Roman"/>
      <w:sz w:val="22"/>
      <w:szCs w:val="22"/>
    </w:rPr>
  </w:style>
  <w:style w:type="character" w:styleId="SubsolCaracter">
    <w:name w:val="Subsol Caracter"/>
    <w:qFormat/>
    <w:rPr>
      <w:sz w:val="24"/>
      <w:szCs w:val="24"/>
      <w:lang w:val="ro-RO"/>
    </w:rPr>
  </w:style>
  <w:style w:type="character" w:styleId="FontStyle16">
    <w:name w:val="Font Style16"/>
    <w:qFormat/>
    <w:rPr>
      <w:rFonts w:ascii="Arial" w:hAnsi="Arial" w:cs="Arial"/>
      <w:sz w:val="24"/>
      <w:szCs w:val="24"/>
    </w:rPr>
  </w:style>
  <w:style w:type="character" w:styleId="FontStyle18">
    <w:name w:val="Font Style18"/>
    <w:qFormat/>
    <w:rPr>
      <w:rFonts w:ascii="Arial" w:hAnsi="Arial" w:cs="Arial"/>
      <w:i/>
      <w:iCs/>
      <w:sz w:val="24"/>
      <w:szCs w:val="24"/>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Bodytext71">
    <w:name w:val="Body text (7)"/>
    <w:basedOn w:val="Normal"/>
    <w:qFormat/>
    <w:pPr>
      <w:widowControl w:val="false"/>
      <w:shd w:fill="FFFFFF" w:val="clear"/>
      <w:spacing w:lineRule="atLeast" w:line="0" w:before="60" w:after="840"/>
      <w:ind w:hanging="120" w:left="0" w:right="0"/>
      <w:jc w:val="center"/>
    </w:pPr>
    <w:rPr>
      <w:rFonts w:ascii="Arial" w:hAnsi="Arial" w:eastAsia="Arial" w:cs="Arial"/>
      <w:b/>
      <w:bCs/>
      <w:sz w:val="21"/>
      <w:szCs w:val="21"/>
      <w:lang w:val="en-US"/>
    </w:rPr>
  </w:style>
  <w:style w:type="paragraph" w:styleId="Style31">
    <w:name w:val="Style3"/>
    <w:basedOn w:val="Normal"/>
    <w:qFormat/>
    <w:pPr>
      <w:widowControl w:val="false"/>
      <w:autoSpaceDE w:val="false"/>
      <w:spacing w:lineRule="exact" w:line="266"/>
      <w:jc w:val="center"/>
    </w:pPr>
    <w:rPr/>
  </w:style>
  <w:style w:type="paragraph" w:styleId="Style41">
    <w:name w:val="Style4"/>
    <w:basedOn w:val="Normal"/>
    <w:qFormat/>
    <w:pPr>
      <w:widowControl w:val="false"/>
      <w:autoSpaceDE w:val="false"/>
      <w:spacing w:lineRule="exact" w:line="264"/>
      <w:ind w:firstLine="713" w:left="0" w:right="0"/>
      <w:jc w:val="both"/>
    </w:pPr>
    <w:rPr/>
  </w:style>
  <w:style w:type="paragraph" w:styleId="Style51">
    <w:name w:val="Style5"/>
    <w:basedOn w:val="Normal"/>
    <w:qFormat/>
    <w:pPr>
      <w:widowControl w:val="false"/>
      <w:autoSpaceDE w:val="false"/>
    </w:pPr>
    <w:rPr/>
  </w:style>
  <w:style w:type="paragraph" w:styleId="HeaderandFooter">
    <w:name w:val="Header and Footer"/>
    <w:basedOn w:val="Normal"/>
    <w:qFormat/>
    <w:pPr>
      <w:suppressLineNumbers/>
      <w:tabs>
        <w:tab w:val="clear" w:pos="708"/>
        <w:tab w:val="center" w:pos="4819" w:leader="none"/>
        <w:tab w:val="right" w:pos="9638" w:leader="none"/>
      </w:tabs>
    </w:pPr>
    <w:rPr/>
  </w:style>
  <w:style w:type="paragraph" w:styleId="Footer">
    <w:name w:val="Footer"/>
    <w:basedOn w:val="Normal"/>
    <w:pPr>
      <w:tabs>
        <w:tab w:val="clear" w:pos="708"/>
        <w:tab w:val="center" w:pos="4703" w:leader="none"/>
        <w:tab w:val="right" w:pos="9406" w:leader="none"/>
      </w:tabs>
    </w:pPr>
    <w:rPr/>
  </w:style>
  <w:style w:type="paragraph" w:styleId="Style61">
    <w:name w:val="Style6"/>
    <w:basedOn w:val="Normal"/>
    <w:qFormat/>
    <w:pPr>
      <w:widowControl w:val="false"/>
      <w:autoSpaceDE w:val="false"/>
      <w:spacing w:lineRule="exact" w:line="288"/>
      <w:ind w:firstLine="734" w:left="0" w:right="0"/>
      <w:jc w:val="both"/>
    </w:pPr>
    <w:rPr>
      <w:rFonts w:ascii="Arial" w:hAnsi="Arial" w:eastAsia="Times New Roman" w:cs="Arial"/>
    </w:rPr>
  </w:style>
  <w:style w:type="paragraph" w:styleId="Style12">
    <w:name w:val="Style12"/>
    <w:basedOn w:val="Normal"/>
    <w:qFormat/>
    <w:pPr>
      <w:widowControl w:val="false"/>
      <w:autoSpaceDE w:val="false"/>
      <w:spacing w:lineRule="exact" w:line="275"/>
      <w:ind w:firstLine="706" w:left="0" w:right="0"/>
      <w:jc w:val="both"/>
    </w:pPr>
    <w:rPr>
      <w:rFonts w:ascii="Arial" w:hAnsi="Arial" w:eastAsia="Times New Roman" w:cs="Arial"/>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47</ap:TotalTime>
  <ap:Application>LibreOffice/24.2.7.2$Linux_X86_64 LibreOffice_project/420$Build-2</ap:Application>
  <ap:AppVersion>15.0000</ap:AppVersion>
  <ap:Pages>6</ap:Pages>
  <ap:Words>3479</ap:Words>
  <ap:Characters>18607</ap:Characters>
  <ap:CharactersWithSpaces>22097</ap:CharactersWithSpaces>
  <ap:Paragraphs>75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lastPrinted>2025-04-17T10:31:00.0000000Z</lastPrinted>
  <revision/>
  <dc:subject/>
  <dc:title/>
  <category/>
  <contentStatus/>
  <dc:identifier/>
  <version/>
</coreProperties>
</file>