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5.5.0 -->
  <w:body>
    <w:p w:rsidR="000A79DE" w:rsidP="000A79DE">
      <w:pPr>
        <w:rPr>
          <w:b/>
        </w:rPr>
      </w:pPr>
      <w:r>
        <w:rPr>
          <w:b/>
        </w:rPr>
        <w:t xml:space="preserve"> HOTĂRÂREA NR. 19</w:t>
      </w:r>
      <w:r>
        <w:rPr>
          <w:b/>
        </w:rPr>
        <w:t xml:space="preserve">                                                        CANDIDAT  A0009</w:t>
      </w:r>
    </w:p>
    <w:p w:rsidR="008F341D">
      <w:pPr>
        <w:rPr>
          <w:rStyle w:val="Fontdeparagrafimplicit"/>
          <w:rFonts w:ascii="Garamond" w:hAnsi="Garamond"/>
        </w:rPr>
      </w:pPr>
      <w:r>
        <w:rPr>
          <w:rStyle w:val="Fontdeparagrafimplicit"/>
          <w:rFonts w:ascii="Garamond" w:hAnsi="Garamond"/>
        </w:rPr>
        <w:t>Cod ECLI    ECLI:RO:</w:t>
      </w:r>
      <w:r w:rsidR="001011DA">
        <w:rPr>
          <w:rStyle w:val="Fontdeparagrafimplicit"/>
          <w:rFonts w:ascii="Garamond" w:hAnsi="Garamond"/>
        </w:rPr>
        <w:t>..............</w:t>
      </w:r>
    </w:p>
    <w:p w:rsidR="008F341D">
      <w:pPr>
        <w:rPr>
          <w:rStyle w:val="Fontdeparagrafimplicit"/>
          <w:b/>
        </w:rPr>
      </w:pPr>
      <w:r>
        <w:rPr>
          <w:rStyle w:val="Fontdeparagrafimplicit"/>
          <w:b/>
        </w:rPr>
        <w:t>DOSAR NR.</w:t>
      </w:r>
      <w:r w:rsidR="001011DA">
        <w:rPr>
          <w:rStyle w:val="Fontdeparagrafimplicit"/>
          <w:b/>
        </w:rPr>
        <w:t>...........</w:t>
      </w:r>
    </w:p>
    <w:p w:rsidR="008F341D">
      <w:pPr>
        <w:rPr>
          <w:rStyle w:val="Fontdeparagrafimplicit"/>
        </w:rPr>
      </w:pPr>
    </w:p>
    <w:p w:rsidR="008F341D">
      <w:pPr>
        <w:jc w:val="center"/>
      </w:pPr>
      <w:r>
        <w:t>ROMÂNIA</w:t>
      </w:r>
    </w:p>
    <w:p w:rsidR="008F341D">
      <w:pPr>
        <w:tabs>
          <w:tab w:val="left" w:pos="4230"/>
        </w:tabs>
        <w:jc w:val="center"/>
      </w:pPr>
      <w:r>
        <w:t xml:space="preserve">CURTEA DE APEL </w:t>
      </w:r>
      <w:r w:rsidR="001011DA">
        <w:t>.............</w:t>
      </w:r>
    </w:p>
    <w:p w:rsidR="008F341D">
      <w:pPr>
        <w:tabs>
          <w:tab w:val="left" w:pos="4230"/>
        </w:tabs>
        <w:jc w:val="center"/>
      </w:pPr>
      <w:r>
        <w:t xml:space="preserve">SECŢIA </w:t>
      </w:r>
      <w:r w:rsidR="001011DA">
        <w:t>............</w:t>
      </w:r>
      <w:r>
        <w:t>CONTENCIOS ADMINISTRATIV ŞI FISCAL</w:t>
      </w:r>
    </w:p>
    <w:p w:rsidR="008F341D">
      <w:pPr>
        <w:tabs>
          <w:tab w:val="left" w:pos="4230"/>
        </w:tabs>
        <w:jc w:val="center"/>
        <w:rPr>
          <w:rStyle w:val="Fontdeparagrafimplicit"/>
          <w:b/>
        </w:rPr>
      </w:pPr>
      <w:r>
        <w:rPr>
          <w:rStyle w:val="Fontdeparagrafimplicit"/>
          <w:b/>
        </w:rPr>
        <w:t xml:space="preserve">DECIZIA CIVILĂ </w:t>
      </w:r>
      <w:r w:rsidR="001011DA">
        <w:rPr>
          <w:rStyle w:val="Fontdeparagrafimplicit"/>
          <w:b/>
        </w:rPr>
        <w:t>NR..............</w:t>
      </w:r>
    </w:p>
    <w:p w:rsidR="008F341D">
      <w:pPr>
        <w:tabs>
          <w:tab w:val="left" w:pos="4230"/>
        </w:tabs>
        <w:jc w:val="center"/>
      </w:pPr>
      <w:r>
        <w:t xml:space="preserve">ŞEDINŢA PUBLICĂ DIN DATA DE </w:t>
      </w:r>
      <w:r w:rsidR="001011DA">
        <w:t>...........</w:t>
      </w:r>
    </w:p>
    <w:p w:rsidR="008F341D">
      <w:pPr>
        <w:tabs>
          <w:tab w:val="left" w:pos="4230"/>
        </w:tabs>
        <w:jc w:val="center"/>
      </w:pPr>
      <w:r>
        <w:t>CURTEA CONSTITUITĂ DIN:</w:t>
      </w:r>
    </w:p>
    <w:p w:rsidR="008F341D">
      <w:pPr>
        <w:tabs>
          <w:tab w:val="left" w:pos="2700"/>
          <w:tab w:val="left" w:pos="4230"/>
        </w:tabs>
        <w:jc w:val="center"/>
        <w:rPr>
          <w:rStyle w:val="Fontdeparagrafimplicit"/>
          <w:b/>
        </w:rPr>
      </w:pPr>
      <w:r>
        <w:rPr>
          <w:rStyle w:val="Fontdeparagrafimplicit"/>
          <w:b/>
        </w:rPr>
        <w:t xml:space="preserve">PREŞEDINTE: </w:t>
      </w:r>
      <w:r w:rsidR="001011DA">
        <w:rPr>
          <w:rStyle w:val="Fontdeparagrafimplicit"/>
          <w:b/>
        </w:rPr>
        <w:t>..............</w:t>
      </w:r>
    </w:p>
    <w:p w:rsidR="008F341D">
      <w:pPr>
        <w:tabs>
          <w:tab w:val="left" w:pos="2700"/>
          <w:tab w:val="left" w:pos="4230"/>
        </w:tabs>
        <w:jc w:val="center"/>
        <w:rPr>
          <w:rStyle w:val="Fontdeparagrafimplicit"/>
          <w:b/>
        </w:rPr>
      </w:pPr>
      <w:r>
        <w:rPr>
          <w:rStyle w:val="Fontdeparagrafimplicit"/>
          <w:b/>
        </w:rPr>
        <w:t xml:space="preserve">JUDECĂTOR: </w:t>
      </w:r>
      <w:r w:rsidR="001011DA">
        <w:rPr>
          <w:rStyle w:val="Fontdeparagrafimplicit"/>
          <w:b/>
        </w:rPr>
        <w:t>CANDIDAT A0009</w:t>
      </w:r>
    </w:p>
    <w:p w:rsidR="008F341D">
      <w:pPr>
        <w:tabs>
          <w:tab w:val="left" w:pos="900"/>
        </w:tabs>
        <w:jc w:val="center"/>
        <w:rPr>
          <w:rStyle w:val="Fontdeparagrafimplicit"/>
          <w:b/>
        </w:rPr>
      </w:pPr>
      <w:r>
        <w:rPr>
          <w:rStyle w:val="Fontdeparagrafimplicit"/>
          <w:b/>
        </w:rPr>
        <w:t xml:space="preserve">JUDECĂTOR: </w:t>
      </w:r>
      <w:r w:rsidR="001011DA">
        <w:rPr>
          <w:rStyle w:val="Fontdeparagrafimplicit"/>
          <w:b/>
        </w:rPr>
        <w:t>..............</w:t>
      </w:r>
    </w:p>
    <w:p w:rsidR="008F341D">
      <w:pPr>
        <w:tabs>
          <w:tab w:val="left" w:pos="900"/>
        </w:tabs>
        <w:jc w:val="center"/>
        <w:rPr>
          <w:rStyle w:val="Fontdeparagrafimplicit"/>
          <w:b/>
        </w:rPr>
      </w:pPr>
      <w:r>
        <w:rPr>
          <w:rStyle w:val="Fontdeparagrafimplicit"/>
          <w:b/>
        </w:rPr>
        <w:t xml:space="preserve">GREFIER: </w:t>
      </w:r>
      <w:r w:rsidR="001011DA">
        <w:rPr>
          <w:rStyle w:val="Fontdeparagrafimplicit"/>
          <w:b/>
        </w:rPr>
        <w:t>..............</w:t>
      </w:r>
    </w:p>
    <w:p w:rsidR="008F341D">
      <w:pPr>
        <w:tabs>
          <w:tab w:val="left" w:pos="1590"/>
        </w:tabs>
        <w:rPr>
          <w:rStyle w:val="Fontdeparagrafimplicit"/>
          <w:b/>
        </w:rPr>
      </w:pPr>
    </w:p>
    <w:p w:rsidR="008F341D">
      <w:pPr>
        <w:ind w:firstLine="709"/>
        <w:jc w:val="both"/>
      </w:pPr>
      <w:r>
        <w:t xml:space="preserve">Pe rol se află soluţionarea recursului declarat de recurentul-pârât Primarul </w:t>
      </w:r>
      <w:r w:rsidR="001011DA">
        <w:t xml:space="preserve">......... B </w:t>
      </w:r>
      <w:r>
        <w:t>împotriva sentinţei civile nr.</w:t>
      </w:r>
      <w:r w:rsidR="001011DA">
        <w:t xml:space="preserve">......... </w:t>
      </w:r>
      <w:r>
        <w:t xml:space="preserve">, pronunţată de </w:t>
      </w:r>
      <w:r w:rsidR="001011DA">
        <w:t>Tribunalul .........</w:t>
      </w:r>
      <w:r>
        <w:t xml:space="preserve">– </w:t>
      </w:r>
      <w:r w:rsidR="001011DA">
        <w:t>Secţia .........</w:t>
      </w:r>
      <w:r>
        <w:t>Contencios Administrativ şi Fiscal în dosarul nr.</w:t>
      </w:r>
      <w:r w:rsidR="001011DA">
        <w:t>...........</w:t>
      </w:r>
      <w:r>
        <w:t xml:space="preserve">, în contradictoriu cu intimata-reclamantă </w:t>
      </w:r>
      <w:r w:rsidR="001011DA">
        <w:t xml:space="preserve">AB </w:t>
      </w:r>
      <w:r>
        <w:t>S.R.L..</w:t>
      </w:r>
    </w:p>
    <w:p w:rsidR="008F341D">
      <w:pPr>
        <w:ind w:firstLine="709"/>
        <w:jc w:val="both"/>
      </w:pPr>
      <w:r>
        <w:t xml:space="preserve">La apelul nominal făcut în şedinţă publică, au răspuns recurentul-pârât prin avocat </w:t>
      </w:r>
      <w:r w:rsidR="00831163">
        <w:t xml:space="preserve">EF </w:t>
      </w:r>
      <w:r>
        <w:t xml:space="preserve">şi intimata-reclamantă prin avocat </w:t>
      </w:r>
      <w:r w:rsidR="001011DA">
        <w:t>BC</w:t>
      </w:r>
      <w:r>
        <w:t>.</w:t>
      </w:r>
    </w:p>
    <w:p w:rsidR="008F341D">
      <w:pPr>
        <w:ind w:firstLine="708"/>
        <w:jc w:val="both"/>
      </w:pPr>
      <w:r>
        <w:t>Procedura de citare este legal îndeplinită.</w:t>
      </w:r>
    </w:p>
    <w:p w:rsidR="008F341D">
      <w:pPr>
        <w:ind w:firstLine="708"/>
        <w:jc w:val="both"/>
      </w:pPr>
      <w:r>
        <w:t>S-a expus referatul cauzei de către grefierul de şedinţă, după care:</w:t>
      </w:r>
    </w:p>
    <w:p w:rsidR="008F341D">
      <w:pPr>
        <w:ind w:firstLine="708"/>
        <w:jc w:val="both"/>
      </w:pPr>
      <w:r>
        <w:t>Curtea constată că nu sunt cereri prealabile şi că nu s-au depus înscrisuri noi în recurs, astfel că acordă cuvântul asupra recursului.</w:t>
      </w:r>
    </w:p>
    <w:p w:rsidR="008F341D">
      <w:pPr>
        <w:ind w:firstLine="708"/>
        <w:jc w:val="both"/>
      </w:pPr>
      <w:r>
        <w:t xml:space="preserve">Recurentul-pârât Primarul </w:t>
      </w:r>
      <w:r w:rsidR="001011DA">
        <w:t>.......... B</w:t>
      </w:r>
      <w:r>
        <w:t>, prin apărător, solicită admiterea recursului, casarea hotărârii primei instanţe şi, pe cale de consecinţă, respingerea cererii de chemare în judecată.</w:t>
      </w:r>
    </w:p>
    <w:p w:rsidR="008F341D">
      <w:pPr>
        <w:ind w:firstLine="708"/>
        <w:jc w:val="both"/>
      </w:pPr>
      <w:r>
        <w:t>Nelegalitatea hotărârii  primei instanţe a fost invocată prin raportare la faptul că nu au fost avute în vedere dispoziţiile art. 11 alin. (10) din O.U.G. nr. 195/2002 care vizează circulaţia pe drumurile publice, temei legal în baza căruia proprietarul unui vehicul are obligaţia de a înscrie în certificatul de înmatriculare al vehiculului orice modificare cu privire la autoturism sau cu privire la proprietarul acestuia. Intimata-reclamantă se află în culpă cu  privire la neîndeplinirea acestei obligaţii legale. Cu  cheltuieli de judecată pe cale separată.</w:t>
      </w:r>
    </w:p>
    <w:p w:rsidR="008F341D">
      <w:pPr>
        <w:ind w:firstLine="708"/>
        <w:jc w:val="both"/>
      </w:pPr>
      <w:r>
        <w:t xml:space="preserve">Intimata-reclamantă </w:t>
      </w:r>
      <w:r w:rsidR="001011DA">
        <w:t xml:space="preserve">AB </w:t>
      </w:r>
      <w:r>
        <w:t xml:space="preserve">S.R.L., prin apărător, solicită respingerea recursului pentru considerentele expuse în întâmpinare, respectiv faptul că niciodată nu i-a fost trimisă vreo comunicare la adresa sediului social, singura comunicare  a fost dispoziţia prin care bunul a fost trecut în patrimoniul </w:t>
      </w:r>
      <w:r w:rsidR="001011DA">
        <w:t>privat al municipiului B</w:t>
      </w:r>
      <w:r>
        <w:t>. Cu cheltuieli de judecată pe cale separată.</w:t>
      </w:r>
    </w:p>
    <w:p w:rsidR="008F341D">
      <w:pPr>
        <w:tabs>
          <w:tab w:val="left" w:pos="0"/>
        </w:tabs>
        <w:jc w:val="both"/>
      </w:pPr>
      <w:r>
        <w:tab/>
        <w:t>Curtea declară dezbaterile închise şi reţine cauza spre soluţionare.</w:t>
      </w:r>
    </w:p>
    <w:p w:rsidR="008F341D">
      <w:pPr>
        <w:tabs>
          <w:tab w:val="left" w:pos="915"/>
        </w:tabs>
        <w:jc w:val="both"/>
      </w:pPr>
    </w:p>
    <w:p w:rsidR="008F341D">
      <w:pPr>
        <w:tabs>
          <w:tab w:val="left" w:pos="915"/>
        </w:tabs>
        <w:jc w:val="center"/>
        <w:rPr>
          <w:rStyle w:val="Fontdeparagrafimplicit"/>
          <w:b/>
        </w:rPr>
      </w:pPr>
      <w:r>
        <w:rPr>
          <w:rStyle w:val="Fontdeparagrafimplicit"/>
          <w:b/>
        </w:rPr>
        <w:t>CURTEA,</w:t>
      </w:r>
    </w:p>
    <w:p w:rsidR="008F341D">
      <w:pPr>
        <w:ind w:firstLine="720"/>
        <w:jc w:val="both"/>
        <w:rPr>
          <w:rStyle w:val="Fontdeparagrafimplicit"/>
        </w:rPr>
      </w:pPr>
    </w:p>
    <w:p w:rsidR="008F341D">
      <w:pPr>
        <w:numPr>
          <w:ilvl w:val="0"/>
          <w:numId w:val="1"/>
        </w:numPr>
        <w:spacing w:after="200" w:line="276" w:lineRule="auto"/>
        <w:ind w:left="0" w:firstLine="720"/>
        <w:contextualSpacing/>
        <w:jc w:val="both"/>
        <w:rPr>
          <w:rStyle w:val="Fontdeparagrafimplicit"/>
          <w:b/>
        </w:rPr>
      </w:pPr>
      <w:r>
        <w:rPr>
          <w:rStyle w:val="Fontdeparagrafimplicit"/>
          <w:b/>
        </w:rPr>
        <w:t>Obiectul acţiunii.</w:t>
      </w:r>
    </w:p>
    <w:p w:rsidR="008F341D">
      <w:pPr>
        <w:ind w:firstLine="720"/>
        <w:jc w:val="both"/>
        <w:rPr>
          <w:rStyle w:val="Fontdeparagrafimplicit"/>
        </w:rPr>
      </w:pPr>
    </w:p>
    <w:p w:rsidR="008F341D">
      <w:pPr>
        <w:ind w:firstLine="720"/>
        <w:jc w:val="both"/>
      </w:pPr>
      <w:r>
        <w:t xml:space="preserve">Prin cererea de chemare în judecată înregistrată pe rolul </w:t>
      </w:r>
      <w:r w:rsidR="001011DA">
        <w:t>Tribunalul .........</w:t>
      </w:r>
      <w:r>
        <w:t xml:space="preserve">, reclamanta </w:t>
      </w:r>
      <w:r w:rsidR="001011DA">
        <w:t xml:space="preserve">AB </w:t>
      </w:r>
      <w:r>
        <w:t xml:space="preserve">S.R.L., în contradictoriu cu pârâtul Primarul </w:t>
      </w:r>
      <w:r w:rsidR="001011DA">
        <w:t>.......... B</w:t>
      </w:r>
      <w:r>
        <w:t xml:space="preserve">, a solicitat anularea Dispoziţiei nr. </w:t>
      </w:r>
      <w:r w:rsidR="001011DA">
        <w:t>.........</w:t>
      </w:r>
      <w:r>
        <w:t xml:space="preserve"> din 16 martie 2020, prin care s-a dispus trecerea în domeniul </w:t>
      </w:r>
      <w:r w:rsidR="001011DA">
        <w:t>privat al Municipiului B</w:t>
      </w:r>
      <w:r>
        <w:t xml:space="preserve">, liber de orice sarcini, a vehiculului marca </w:t>
      </w:r>
      <w:r w:rsidR="001011DA">
        <w:t>.........</w:t>
      </w:r>
      <w:r>
        <w:t xml:space="preserve">, cu nr. de înmatriculare </w:t>
      </w:r>
      <w:r w:rsidR="001011DA">
        <w:t>.........</w:t>
      </w:r>
      <w:r>
        <w:t>, precum şi restituirea acestuia.</w:t>
      </w:r>
    </w:p>
    <w:p w:rsidR="008F341D">
      <w:pPr>
        <w:ind w:firstLine="720"/>
        <w:jc w:val="both"/>
      </w:pPr>
    </w:p>
    <w:p w:rsidR="008F341D">
      <w:pPr>
        <w:ind w:firstLine="720"/>
        <w:jc w:val="both"/>
        <w:rPr>
          <w:rStyle w:val="Fontdeparagrafimplicit"/>
          <w:b/>
        </w:rPr>
      </w:pPr>
      <w:r>
        <w:rPr>
          <w:rStyle w:val="Fontdeparagrafimplicit"/>
          <w:b/>
        </w:rPr>
        <w:t>2. Sentinţa supusă recursului.</w:t>
      </w:r>
    </w:p>
    <w:p w:rsidR="008F341D">
      <w:pPr>
        <w:ind w:firstLine="720"/>
        <w:jc w:val="both"/>
        <w:rPr>
          <w:rStyle w:val="Fontdeparagrafimplicit"/>
        </w:rPr>
      </w:pPr>
    </w:p>
    <w:p w:rsidR="008F341D">
      <w:pPr>
        <w:ind w:firstLine="720"/>
        <w:jc w:val="both"/>
      </w:pPr>
      <w:r>
        <w:t xml:space="preserve">Prin sentinţa civilă nr. </w:t>
      </w:r>
      <w:r w:rsidR="001011DA">
        <w:t xml:space="preserve">......... </w:t>
      </w:r>
      <w:r>
        <w:t xml:space="preserve">, </w:t>
      </w:r>
      <w:r w:rsidR="001011DA">
        <w:t>Tribunalul .........</w:t>
      </w:r>
      <w:r>
        <w:t xml:space="preserve">a luat act de renunţarea reclamantei la capătul de cerere având ca obiect restituirea vehiculului şi a admis cererea de anulare Dispoziţiei nr. </w:t>
      </w:r>
      <w:r w:rsidR="001011DA">
        <w:t>.........</w:t>
      </w:r>
      <w:r>
        <w:t>/16.03.2020.</w:t>
      </w:r>
    </w:p>
    <w:p w:rsidR="008F341D">
      <w:pPr>
        <w:ind w:firstLine="720"/>
        <w:jc w:val="both"/>
      </w:pPr>
      <w:r>
        <w:t xml:space="preserve">Pentru a pronunţa această soluţie, prima instanţă a reţinut, în esenţă, că în procedura de emitere a Dispoziţiei nr. </w:t>
      </w:r>
      <w:r w:rsidR="001011DA">
        <w:t>.........</w:t>
      </w:r>
      <w:r>
        <w:t>/16.03.2020 nu s-au respectat prevederile art. 9 din Legea 421/2002, proprietarului autoturismului nefiindu-i comunicată somaţia de a ridica autovehiculul de pe domeniul statului la adresa actuală a sediului, ci la o adresă la care nu mai avea sediul de aproximativ 3 ani.</w:t>
      </w:r>
    </w:p>
    <w:p w:rsidR="008F341D">
      <w:pPr>
        <w:ind w:firstLine="720"/>
        <w:jc w:val="both"/>
      </w:pPr>
      <w:r>
        <w:tab/>
      </w:r>
    </w:p>
    <w:p w:rsidR="008F341D">
      <w:pPr>
        <w:numPr>
          <w:ilvl w:val="0"/>
          <w:numId w:val="1"/>
        </w:numPr>
        <w:spacing w:after="200" w:line="276" w:lineRule="auto"/>
        <w:ind w:left="0" w:firstLine="720"/>
        <w:contextualSpacing/>
        <w:jc w:val="both"/>
        <w:rPr>
          <w:rStyle w:val="Fontdeparagrafimplicit"/>
          <w:b/>
        </w:rPr>
      </w:pPr>
      <w:r>
        <w:rPr>
          <w:rStyle w:val="Fontdeparagrafimplicit"/>
          <w:b/>
        </w:rPr>
        <w:t>Cererea de recurs.</w:t>
      </w:r>
    </w:p>
    <w:p w:rsidR="008F341D">
      <w:pPr>
        <w:ind w:firstLine="720"/>
        <w:jc w:val="both"/>
        <w:rPr>
          <w:rStyle w:val="Fontdeparagrafimplicit"/>
        </w:rPr>
      </w:pPr>
    </w:p>
    <w:p w:rsidR="008F341D">
      <w:pPr>
        <w:ind w:firstLine="720"/>
        <w:jc w:val="both"/>
      </w:pPr>
      <w:r>
        <w:t xml:space="preserve">Împotriva acestei sentinţe, a declarat recurs Primarul </w:t>
      </w:r>
      <w:r w:rsidR="001011DA">
        <w:t>.........</w:t>
      </w:r>
      <w:r>
        <w:t>, solicitând admiterea căii de atac, casarea sentinţei şi, în urma rejudecării, respingerea acţiunii, ca nefondată.</w:t>
      </w:r>
    </w:p>
    <w:p w:rsidR="008F341D">
      <w:pPr>
        <w:ind w:firstLine="720"/>
        <w:jc w:val="both"/>
      </w:pPr>
      <w:r>
        <w:t>În motivarea recursului, recurentul a arătat că prima instanţă a ignorat dispoziţiile art. 11 alin. 10 din O.U.G. nr. 195/2002, care impun proprietarului unui vehicul să solicite autorităţilor competente înscrierea în certificatul de înmatriculare sau de înregistrare a oricărei modificări a datelor de identificare a vehiculului sau, după, caz ale proprietarului în termen de 30 de zile de la data la care a intervenit modificarea.</w:t>
      </w:r>
    </w:p>
    <w:p w:rsidR="008F341D">
      <w:pPr>
        <w:ind w:firstLine="720"/>
        <w:jc w:val="both"/>
      </w:pPr>
      <w:r>
        <w:t>Dacă proprietarul vehiculului şi-ar fi îndeplinit obligaţiile prevăzute de lege în sarcina sa, respectiv dacă ar solicitat autorităţilor competente înscrierea în certificatul de înmatriculare a noului sediu, comunicarea s-ar fi făcut la adresa corectă.</w:t>
      </w:r>
    </w:p>
    <w:p w:rsidR="008F341D">
      <w:pPr>
        <w:ind w:firstLine="720"/>
        <w:jc w:val="both"/>
      </w:pPr>
      <w:r>
        <w:t>În drept, au fost invocate dispoziţiile art. 488 alin. 1 pct. 8  C.pr.civ.</w:t>
      </w:r>
    </w:p>
    <w:p w:rsidR="008F341D">
      <w:pPr>
        <w:ind w:firstLine="720"/>
        <w:jc w:val="both"/>
        <w:rPr>
          <w:rStyle w:val="Fontdeparagrafimplicit"/>
          <w:b/>
        </w:rPr>
      </w:pPr>
    </w:p>
    <w:p w:rsidR="008F341D">
      <w:pPr>
        <w:numPr>
          <w:ilvl w:val="0"/>
          <w:numId w:val="1"/>
        </w:numPr>
        <w:spacing w:after="200" w:line="276" w:lineRule="auto"/>
        <w:ind w:left="0" w:firstLine="720"/>
        <w:contextualSpacing/>
        <w:jc w:val="both"/>
        <w:rPr>
          <w:rStyle w:val="Fontdeparagrafimplicit"/>
          <w:b/>
        </w:rPr>
      </w:pPr>
      <w:r>
        <w:rPr>
          <w:rStyle w:val="Fontdeparagrafimplicit"/>
          <w:b/>
        </w:rPr>
        <w:t>Poziţia procesuală a părţii adverse.</w:t>
      </w:r>
    </w:p>
    <w:p w:rsidR="008F341D">
      <w:pPr>
        <w:ind w:firstLine="720"/>
        <w:jc w:val="both"/>
        <w:rPr>
          <w:rStyle w:val="Fontdeparagrafimplicit"/>
        </w:rPr>
      </w:pPr>
    </w:p>
    <w:p w:rsidR="008F341D">
      <w:pPr>
        <w:ind w:firstLine="720"/>
        <w:jc w:val="both"/>
      </w:pPr>
      <w:r>
        <w:t xml:space="preserve">AB </w:t>
      </w:r>
      <w:r w:rsidR="000A79DE">
        <w:t>S.R.L. a depus întâmpinare (filele 25 şi următoarele), prin care a solicitat respingerea recursului ca nefondat, în motivarea poziţiei sale procesuale, arătând, în esenţă, că în mod corect a reţinut instanţa de fond că recurentul nu a urmat procedura prevăzută Legea nr. 421/2002, somaţia prin care i se punea în vedere să ridice vehiculul nefiindu-i comunicată vreodată.</w:t>
      </w:r>
    </w:p>
    <w:p w:rsidR="008F341D">
      <w:pPr>
        <w:ind w:firstLine="720"/>
        <w:jc w:val="both"/>
      </w:pPr>
      <w:r>
        <w:t>În drept, au fost invocate dispoziţiile art. 205 C.pr.civ.</w:t>
      </w:r>
    </w:p>
    <w:p w:rsidR="008F341D">
      <w:pPr>
        <w:ind w:firstLine="720"/>
        <w:jc w:val="both"/>
      </w:pPr>
    </w:p>
    <w:p w:rsidR="008F341D">
      <w:pPr>
        <w:numPr>
          <w:ilvl w:val="0"/>
          <w:numId w:val="1"/>
        </w:numPr>
        <w:spacing w:after="200" w:line="276" w:lineRule="auto"/>
        <w:ind w:left="0" w:firstLine="720"/>
        <w:contextualSpacing/>
        <w:jc w:val="both"/>
        <w:rPr>
          <w:rStyle w:val="Fontdeparagrafimplicit"/>
          <w:b/>
        </w:rPr>
      </w:pPr>
      <w:r>
        <w:rPr>
          <w:rStyle w:val="Fontdeparagrafimplicit"/>
          <w:b/>
        </w:rPr>
        <w:t>Dezlegarea recursului.</w:t>
      </w:r>
    </w:p>
    <w:p w:rsidR="008F341D">
      <w:pPr>
        <w:ind w:firstLine="720"/>
        <w:jc w:val="both"/>
        <w:rPr>
          <w:rStyle w:val="Fontdeparagrafimplicit"/>
          <w:b/>
        </w:rPr>
      </w:pPr>
    </w:p>
    <w:p w:rsidR="008F341D">
      <w:pPr>
        <w:numPr>
          <w:ilvl w:val="1"/>
          <w:numId w:val="1"/>
        </w:numPr>
        <w:spacing w:after="200" w:line="276" w:lineRule="auto"/>
        <w:ind w:left="0" w:firstLine="720"/>
        <w:contextualSpacing/>
        <w:jc w:val="both"/>
        <w:rPr>
          <w:rStyle w:val="Fontdeparagrafimplicit"/>
          <w:b/>
        </w:rPr>
      </w:pPr>
      <w:r>
        <w:rPr>
          <w:rStyle w:val="Fontdeparagrafimplicit"/>
          <w:b/>
        </w:rPr>
        <w:t xml:space="preserve"> Situaţia de fapt relevantă.</w:t>
      </w:r>
    </w:p>
    <w:p w:rsidR="008F341D">
      <w:pPr>
        <w:ind w:firstLine="720"/>
        <w:jc w:val="both"/>
        <w:rPr>
          <w:rStyle w:val="Fontdeparagrafimplicit"/>
        </w:rPr>
      </w:pPr>
    </w:p>
    <w:p w:rsidR="008F341D">
      <w:pPr>
        <w:ind w:firstLine="720"/>
        <w:jc w:val="both"/>
      </w:pPr>
      <w:r>
        <w:t>Sintetizând şi reformulând, pentru facilitarea demersului judiciar, situaţia de fapt relevantă pentru dezlegarea recursului, astfel cum a fost reţinută de instanţa de fond (în al cărei atribut intră în mod exclusiv fixarea elementelor de fapt ale cauzei, de vreme ce recursul este o cale de atac nedevolutivă, neputând privi decât aspecte de nelegalitate), Curtea notează următoarele:</w:t>
      </w:r>
    </w:p>
    <w:p w:rsidR="008F341D">
      <w:pPr>
        <w:ind w:firstLine="720"/>
        <w:jc w:val="both"/>
      </w:pPr>
      <w:r>
        <w:t xml:space="preserve">În urma controlului efectuat, poliţiştii locali au constatat că vehiculul cu nr. de înmatriculare </w:t>
      </w:r>
      <w:r w:rsidR="001011DA">
        <w:t>.........</w:t>
      </w:r>
      <w:r>
        <w:t>, a fost staţionat pe domeniul publi</w:t>
      </w:r>
      <w:r w:rsidR="001011DA">
        <w:t>c, fiind emisă somaţia seria ....... nr. ........</w:t>
      </w:r>
      <w:r>
        <w:t xml:space="preserve">, prin care proprietarul </w:t>
      </w:r>
      <w:r w:rsidR="001011DA">
        <w:t xml:space="preserve">CD </w:t>
      </w:r>
      <w:r>
        <w:t xml:space="preserve">era somata să ridice vehiculul de pe domeniul public. </w:t>
      </w:r>
    </w:p>
    <w:p w:rsidR="008F341D">
      <w:pPr>
        <w:ind w:firstLine="720"/>
        <w:jc w:val="both"/>
      </w:pPr>
      <w:r>
        <w:t xml:space="preserve">Doamna </w:t>
      </w:r>
      <w:r w:rsidR="001011DA">
        <w:t xml:space="preserve">CD </w:t>
      </w:r>
      <w:r>
        <w:t xml:space="preserve">a comunicat structurii de poliţie locale dovada înstrăinării vehiculului către </w:t>
      </w:r>
      <w:r w:rsidR="001011DA">
        <w:t xml:space="preserve">AB </w:t>
      </w:r>
      <w:r>
        <w:t>S.R.L., astfel că autorităţile administrative  au expediat cu scrisoare recomandată somaţia către intimata-reclamantă cumpărătoare la adresa din Bulevardul</w:t>
      </w:r>
      <w:r w:rsidR="00831163">
        <w:t>...........</w:t>
      </w:r>
      <w:r>
        <w:t>, menţionată în contractul de vânzare cumpărare al autoturismului (fila 65, dosar fond).</w:t>
      </w:r>
    </w:p>
    <w:p w:rsidR="008F341D">
      <w:pPr>
        <w:ind w:firstLine="720"/>
        <w:jc w:val="both"/>
      </w:pPr>
      <w:r>
        <w:t xml:space="preserve">Întrucât transmiterea acestei somaţii nu a fost urmată de nici un demers din partea </w:t>
      </w:r>
      <w:r w:rsidR="001011DA">
        <w:t xml:space="preserve">AB </w:t>
      </w:r>
      <w:r>
        <w:t xml:space="preserve">S.R.L., a fost emisă Dispoziţia nr. </w:t>
      </w:r>
      <w:r w:rsidR="001011DA">
        <w:t>.........</w:t>
      </w:r>
      <w:r>
        <w:t xml:space="preserve">/16.03.2020 (fila 53, dosar fond) prin care s-a dispus trecerea în domeniul privat al </w:t>
      </w:r>
      <w:r w:rsidR="001011DA">
        <w:t>Municipiului B</w:t>
      </w:r>
      <w:r>
        <w:t xml:space="preserve">, liber de orice sarcini, a vehiculului marca </w:t>
      </w:r>
      <w:r w:rsidR="001011DA">
        <w:t>.........</w:t>
      </w:r>
      <w:r>
        <w:t xml:space="preserve">, cu nr. de înmatriculare </w:t>
      </w:r>
      <w:r w:rsidR="001011DA">
        <w:t>...........</w:t>
      </w:r>
      <w:r>
        <w:t>.</w:t>
      </w:r>
    </w:p>
    <w:p w:rsidR="008F341D">
      <w:pPr>
        <w:ind w:firstLine="720"/>
        <w:jc w:val="both"/>
      </w:pPr>
    </w:p>
    <w:p w:rsidR="008F341D">
      <w:pPr>
        <w:numPr>
          <w:ilvl w:val="1"/>
          <w:numId w:val="1"/>
        </w:numPr>
        <w:spacing w:after="200" w:line="276" w:lineRule="auto"/>
        <w:ind w:left="0" w:firstLine="720"/>
        <w:contextualSpacing/>
        <w:jc w:val="both"/>
        <w:rPr>
          <w:rStyle w:val="Fontdeparagrafimplicit"/>
          <w:b/>
        </w:rPr>
      </w:pPr>
      <w:r>
        <w:rPr>
          <w:rStyle w:val="Fontdeparagrafimplicit"/>
          <w:b/>
        </w:rPr>
        <w:t>Examinarea susţinerilor părţilor.</w:t>
      </w:r>
    </w:p>
    <w:p w:rsidR="008F341D">
      <w:pPr>
        <w:jc w:val="both"/>
        <w:rPr>
          <w:rStyle w:val="Fontdeparagrafimplicit"/>
        </w:rPr>
      </w:pPr>
    </w:p>
    <w:p w:rsidR="008F341D">
      <w:pPr>
        <w:ind w:firstLine="720"/>
        <w:contextualSpacing/>
        <w:jc w:val="both"/>
      </w:pPr>
      <w:r>
        <w:t xml:space="preserve">Potrivit art. 488 alin. (1) C. pr. civ., „(1) </w:t>
      </w:r>
      <w:r>
        <w:rPr>
          <w:rStyle w:val="Fontdeparagrafimplicit"/>
          <w:i/>
        </w:rPr>
        <w:t>Casarea unor hotărâri se poate cere numai pentru următoarele motive de nelegalitate</w:t>
      </w:r>
      <w:r>
        <w:t xml:space="preserve">: (…) </w:t>
      </w:r>
      <w:r>
        <w:rPr>
          <w:rStyle w:val="Fontdeparagrafimplicit"/>
          <w:i/>
        </w:rPr>
        <w:t>8. când hotărârea a fost dată cu încălcarea sau aplicarea greșită a normelor de drept material</w:t>
      </w:r>
      <w:r>
        <w:t xml:space="preserve">.”; totodată, art. 483 alin. (3) și (4) C. pr.civ. prevede că „(3) </w:t>
      </w:r>
      <w:r>
        <w:rPr>
          <w:rStyle w:val="Fontdeparagrafimplicit"/>
          <w:i/>
        </w:rPr>
        <w:t>Recursul urmărește să supună Înaltei Curți de Casație și Justiție examinarea, în condițiile legii, a conformității hotărârii atacate cu regulile de drept aplicabile</w:t>
      </w:r>
      <w:r>
        <w:t xml:space="preserve">. (4) </w:t>
      </w:r>
      <w:r>
        <w:rPr>
          <w:rStyle w:val="Fontdeparagrafimplicit"/>
          <w:i/>
        </w:rPr>
        <w:t>În cazurile anume prevăzute de lege, recursul se soluționează de către instanța ierarhic superioară celei care a pronunțat hotărârea atacată. Dispozițiile alin. (3) se aplică în mod corespunzător</w:t>
      </w:r>
      <w:r>
        <w:t xml:space="preserve">”. </w:t>
      </w:r>
    </w:p>
    <w:p w:rsidR="008F341D">
      <w:pPr>
        <w:ind w:firstLine="720"/>
        <w:jc w:val="both"/>
      </w:pPr>
      <w:r>
        <w:t>Din interpretarea dispozițiilor citate, Curtea reține că recursul reprezintă acea cale extraordinară de atac prin care hotărârea atacată este supusă controlului judiciar prin prisma conformității sale cu regulile de drept aplicabile, ceea ce implică recunoașterea posibilității părții interesate de a o critica doar pentru motive de nelegalitate.</w:t>
      </w:r>
    </w:p>
    <w:p w:rsidR="008F341D">
      <w:pPr>
        <w:ind w:firstLine="720"/>
        <w:jc w:val="both"/>
      </w:pPr>
      <w:r>
        <w:t>Curtea constată că aspectul care se impune a fi lămurit este acela dacă, în circumstanţele din speţă, comunicarea somaţiei prin care proprietarului vehiculului i s-a pus în vedere să-l ridice de pe domeniul public a fost făcută în acord cu prevederile legale incidente raportului de drept administrativ în discuţie, opiniile părţilor fiind divergente în această privinţă.</w:t>
      </w:r>
    </w:p>
    <w:p w:rsidR="008F341D">
      <w:pPr>
        <w:ind w:firstLine="720"/>
        <w:jc w:val="both"/>
      </w:pPr>
      <w:r>
        <w:t xml:space="preserve">Astfel, examinând Dispoziţia nr. </w:t>
      </w:r>
      <w:r w:rsidR="001011DA">
        <w:t>.........</w:t>
      </w:r>
      <w:r>
        <w:t>/16.03.2020, Curtea constată că aceasta a fost emisă în cadrul procedurii reglementate de dispoziţiile Legii nr. 421/2002 privind regimul juridic al vehiculelor fără stăpân sau abandonate pe terenuri aparţinând pe domeniul public sau privat al statului ori al unităţilor administrativ-teritorial.</w:t>
      </w:r>
    </w:p>
    <w:p w:rsidR="008F341D">
      <w:pPr>
        <w:ind w:firstLine="720"/>
        <w:jc w:val="both"/>
      </w:pPr>
      <w:r>
        <w:t xml:space="preserve">Actul normativ menţionat nu cuprinde prevederi speciale cu privire la maniera de comunicare  actelor care se întocmesc în procedura de declarare a unui vehicul ca abandonat şi de trecere a acestuia în proprietatea privată a </w:t>
      </w:r>
      <w:r w:rsidR="001011DA">
        <w:t>Municipiului B</w:t>
      </w:r>
      <w:r>
        <w:t>, astfel că, în acord cu dispoziţiile, art. 2 din C.pr.civ., conform cărora, „</w:t>
      </w:r>
      <w:r>
        <w:rPr>
          <w:rStyle w:val="Fontdeparagrafimplicit"/>
          <w:i/>
        </w:rPr>
        <w:t>Dispoziţiile prezentului cod constituie procedura de drept comun în materie civilă</w:t>
      </w:r>
      <w:r>
        <w:t>.”, raportat la prevederile art. 156 alin. 1 pct. 3 C.pr.civ., comunicarea trebuia realizată la sediul principal al destinatarului.</w:t>
      </w:r>
    </w:p>
    <w:p w:rsidR="008F341D">
      <w:pPr>
        <w:ind w:firstLine="720"/>
        <w:jc w:val="both"/>
      </w:pPr>
      <w:r>
        <w:t xml:space="preserve">Or, aşa cum a reţinut în mod corect judecătorul fondului, somaţia nu i-a fost comunicată </w:t>
      </w:r>
      <w:r w:rsidR="001011DA">
        <w:t xml:space="preserve">AB </w:t>
      </w:r>
      <w:r>
        <w:t>S.R.L. la sediul social al acesteia, astfel cum este el indicat în relaţiile de la O.N.R.C., situaţia în care în mod just în cuprinsul sentinţei s-a ajuns la concluzia că procedura de comunicare a fost viciată.</w:t>
      </w:r>
    </w:p>
    <w:p w:rsidR="008F341D">
      <w:pPr>
        <w:ind w:firstLine="720"/>
        <w:jc w:val="both"/>
      </w:pPr>
      <w:r>
        <w:t xml:space="preserve">Pornind de la această premisă şi reţinând că, din economia prevederilor art. 6 - art. 11 din Legea nr. 421/2002, rezultă că încunoştinţarea proprietarului, urmată de lipsa vreunei manifestări de voinţă din partea acestuia, reprezintă condiţii sine qua non pentru a se putea concluziona că acesta s-a desesizat de bun şi că, astfel, bunul a dobândit statutul de bun abandonat, Curtea apreciază că în mod corect judecătorul fondului a concluzionat că condiţiile prevăzute de lege pentru trecerea bunului în proprietatea privată a unităţii administrativ-teritoriale nu sunt îndeplinite, impunându-se anularea Dispoziţiei nr. </w:t>
      </w:r>
      <w:r w:rsidR="001011DA">
        <w:t>.........</w:t>
      </w:r>
      <w:r>
        <w:t>/16.03.2020.</w:t>
      </w:r>
    </w:p>
    <w:p w:rsidR="008F341D">
      <w:pPr>
        <w:ind w:firstLine="720"/>
        <w:jc w:val="both"/>
      </w:pPr>
      <w:r>
        <w:t>Curtea va înlătura susţinerile recurentei, în sensul că omisiunea sa de a comunica somaţia la adresa corectă se grefează pe o culpă a proprietarului vehiculului care nu şi-a îndeplinit obligaţia prevăzută de art. 11 alin. 10 din O.U.G. nr. 195/2002, apreciind textul legal pe care recurenta îşi fundamentează critica nu este incident în speţă.</w:t>
      </w:r>
    </w:p>
    <w:p w:rsidR="008F341D">
      <w:pPr>
        <w:ind w:firstLine="720"/>
        <w:jc w:val="both"/>
      </w:pPr>
      <w:r>
        <w:t>Concret, Curtea observă că, potrivit dispoziţiilor art. 1 alin. 2 di O.U.G. nr. 195/2002, „Dispoziţiile prevăzute în prezenta ordonanţă de urgenţă au ca scop asigurarea desfăşurării fluente şi în siguranţă a circulaţiei pe drumurile publice, precum şi ocrotirea vieţii, integrităţii corporale şi a sănătăţii persoanelor participante la trafic (…).”.</w:t>
      </w:r>
    </w:p>
    <w:p w:rsidR="008F341D">
      <w:pPr>
        <w:ind w:firstLine="720"/>
        <w:jc w:val="both"/>
      </w:pPr>
      <w:r>
        <w:t xml:space="preserve">Aşadar, mănunchiul de relaţii sociale reglementate de O.U.G. nr .194/2002 este clar precizat de prevederile citat în precedent, neputând fi extrapolat la alte situaţii, astfel că neîndeplinirea de către intimata-reclamantă a obligaţiei de a </w:t>
      </w:r>
      <w:r>
        <w:rPr>
          <w:rStyle w:val="Fontdeparagrafimplicit"/>
          <w:i/>
        </w:rPr>
        <w:t xml:space="preserve">solicita „autorităţii competente înscrierea în certificatul de înmatriculare sau de înregistrare a oricărei modificări a datelor </w:t>
      </w:r>
      <w:r>
        <w:rPr>
          <w:rStyle w:val="Fontdeparagrafimplicit"/>
          <w:i/>
        </w:rPr>
        <w:t xml:space="preserve">de identificare a vehiculului respectiv sau, după caz, ale proprietarului (…)”, </w:t>
      </w:r>
      <w:r>
        <w:t>nu poate avea vreo semnificaţia în planul procedurii reglementate de Legea nr. 421/2002, ci poate determina doar aplicarea sancţiunilor prevăzute de O.U.G. nr. 195/2002.</w:t>
      </w:r>
    </w:p>
    <w:p w:rsidR="008F341D">
      <w:pPr>
        <w:ind w:firstLine="720"/>
        <w:jc w:val="both"/>
      </w:pPr>
      <w:r>
        <w:t>Pentru considerentele expuse, Curtea, în baza art. 496 C.pr.civ., va respinge recursul, ca nefondat.</w:t>
      </w:r>
    </w:p>
    <w:p w:rsidR="008F341D">
      <w:pPr>
        <w:tabs>
          <w:tab w:val="left" w:pos="915"/>
        </w:tabs>
        <w:jc w:val="center"/>
        <w:rPr>
          <w:rStyle w:val="Fontdeparagrafimplicit"/>
          <w:b/>
        </w:rPr>
      </w:pPr>
    </w:p>
    <w:p w:rsidR="008F341D">
      <w:pPr>
        <w:tabs>
          <w:tab w:val="left" w:pos="915"/>
        </w:tabs>
        <w:jc w:val="center"/>
        <w:rPr>
          <w:rStyle w:val="Fontdeparagrafimplicit"/>
          <w:b/>
        </w:rPr>
      </w:pPr>
      <w:r>
        <w:rPr>
          <w:rStyle w:val="Fontdeparagrafimplicit"/>
          <w:b/>
        </w:rPr>
        <w:t>PENTRU ACESTE MOTIVE,</w:t>
      </w:r>
    </w:p>
    <w:p w:rsidR="008F341D">
      <w:pPr>
        <w:tabs>
          <w:tab w:val="left" w:pos="915"/>
        </w:tabs>
        <w:jc w:val="center"/>
        <w:rPr>
          <w:rStyle w:val="Fontdeparagrafimplicit"/>
          <w:b/>
        </w:rPr>
      </w:pPr>
      <w:r>
        <w:rPr>
          <w:rStyle w:val="Fontdeparagrafimplicit"/>
          <w:b/>
        </w:rPr>
        <w:t>ÎN NUMELE LEGII,</w:t>
      </w:r>
    </w:p>
    <w:p w:rsidR="008F341D">
      <w:pPr>
        <w:tabs>
          <w:tab w:val="left" w:pos="915"/>
        </w:tabs>
        <w:jc w:val="center"/>
        <w:rPr>
          <w:rStyle w:val="Fontdeparagrafimplicit"/>
          <w:b/>
        </w:rPr>
      </w:pPr>
      <w:r>
        <w:rPr>
          <w:rStyle w:val="Fontdeparagrafimplicit"/>
          <w:b/>
        </w:rPr>
        <w:t>DECIDE:</w:t>
      </w:r>
    </w:p>
    <w:p w:rsidR="008F341D">
      <w:pPr>
        <w:tabs>
          <w:tab w:val="left" w:pos="915"/>
        </w:tabs>
        <w:jc w:val="both"/>
        <w:rPr>
          <w:rStyle w:val="Fontdeparagrafimplicit"/>
        </w:rPr>
      </w:pPr>
    </w:p>
    <w:p w:rsidR="008F341D">
      <w:pPr>
        <w:tabs>
          <w:tab w:val="left" w:pos="0"/>
        </w:tabs>
        <w:jc w:val="both"/>
      </w:pPr>
      <w:r>
        <w:tab/>
        <w:t xml:space="preserve">Respinge recursul declarat de recurentul pârât Primarul </w:t>
      </w:r>
      <w:r w:rsidR="001011DA">
        <w:t>.......... B</w:t>
      </w:r>
      <w:r>
        <w:t xml:space="preserve">, cu sediul în </w:t>
      </w:r>
      <w:r w:rsidR="001011DA">
        <w:t>...........</w:t>
      </w:r>
      <w:r>
        <w:t xml:space="preserve">, </w:t>
      </w:r>
      <w:r w:rsidR="001011DA">
        <w:t>.........</w:t>
      </w:r>
      <w:r>
        <w:t>, Bd.</w:t>
      </w:r>
      <w:r w:rsidR="00540844">
        <w:t>........... nr..........</w:t>
      </w:r>
      <w:r>
        <w:t xml:space="preserve"> împotriva sentinţei civile nr.</w:t>
      </w:r>
      <w:r w:rsidR="001011DA">
        <w:t xml:space="preserve">......... </w:t>
      </w:r>
      <w:r>
        <w:t xml:space="preserve"> pronunţată de </w:t>
      </w:r>
      <w:r w:rsidR="001011DA">
        <w:t>Tribunalul .........</w:t>
      </w:r>
      <w:r>
        <w:t xml:space="preserve">– </w:t>
      </w:r>
      <w:r w:rsidR="001011DA">
        <w:t>Secţia .........</w:t>
      </w:r>
      <w:r>
        <w:t>Contencios Administrativ şi Fiscal  în dosarul nr.</w:t>
      </w:r>
      <w:r w:rsidR="001011DA">
        <w:t>...........</w:t>
      </w:r>
      <w:r>
        <w:t xml:space="preserve">, în contradictoriu cu intimata reclamantă </w:t>
      </w:r>
      <w:r w:rsidR="001011DA">
        <w:t>AB</w:t>
      </w:r>
      <w:r w:rsidR="00540844">
        <w:t xml:space="preserve"> </w:t>
      </w:r>
      <w:r>
        <w:t xml:space="preserve">S.R.L. cu sediul procesual ales în </w:t>
      </w:r>
      <w:r w:rsidR="001011DA">
        <w:t>...........</w:t>
      </w:r>
      <w:r>
        <w:t xml:space="preserve">, </w:t>
      </w:r>
      <w:r w:rsidR="00540844">
        <w:t>..........</w:t>
      </w:r>
      <w:r>
        <w:t>, Bd.</w:t>
      </w:r>
      <w:r w:rsidR="00540844">
        <w:t>......... nr........., bl........, sc........, et......., ap........</w:t>
      </w:r>
      <w:r>
        <w:t>, ca nefondat.</w:t>
      </w:r>
    </w:p>
    <w:p w:rsidR="008F341D">
      <w:pPr>
        <w:tabs>
          <w:tab w:val="left" w:pos="0"/>
        </w:tabs>
        <w:jc w:val="both"/>
      </w:pPr>
      <w:r>
        <w:tab/>
        <w:t>Definitivă.</w:t>
      </w:r>
    </w:p>
    <w:p w:rsidR="008F341D">
      <w:pPr>
        <w:tabs>
          <w:tab w:val="left" w:pos="0"/>
        </w:tabs>
        <w:jc w:val="both"/>
      </w:pPr>
      <w:r>
        <w:tab/>
        <w:t xml:space="preserve">Pronunţată prin punerea soluţiei la dispoziţia părţilor de către grefa instanţei azi, </w:t>
      </w:r>
      <w:r w:rsidR="001011DA">
        <w:t>...........</w:t>
      </w:r>
      <w:r>
        <w:t>.</w:t>
      </w:r>
    </w:p>
    <w:p w:rsidR="008F341D">
      <w:pPr>
        <w:tabs>
          <w:tab w:val="left" w:pos="0"/>
        </w:tabs>
        <w:jc w:val="both"/>
      </w:pPr>
      <w:r>
        <w:tab/>
      </w:r>
    </w:p>
    <w:p w:rsidR="008F341D">
      <w:pPr>
        <w:ind w:left="-180" w:firstLine="888"/>
        <w:jc w:val="both"/>
        <w:rPr>
          <w:rStyle w:val="Fontdeparagrafimplicit"/>
          <w:b/>
          <w:i/>
        </w:rPr>
      </w:pPr>
    </w:p>
    <w:p w:rsidR="008F341D">
      <w:pPr>
        <w:ind w:left="-180"/>
        <w:jc w:val="both"/>
        <w:rPr>
          <w:rStyle w:val="Fontdeparagrafimplicit"/>
          <w:b/>
          <w:sz w:val="22"/>
        </w:rPr>
      </w:pPr>
      <w:r>
        <w:rPr>
          <w:rStyle w:val="Fontdeparagrafimplicit"/>
          <w:b/>
        </w:rPr>
        <w:t>PREŞEDINTE,JUDECĂTOR,</w:t>
      </w:r>
      <w:r>
        <w:rPr>
          <w:rStyle w:val="Fontdeparagrafimplicit"/>
          <w:b/>
        </w:rPr>
        <w:tab/>
        <w:t xml:space="preserve"> JUDECĂTOR,                                                         </w:t>
      </w:r>
      <w:r w:rsidR="001011DA">
        <w:rPr>
          <w:rStyle w:val="Fontdeparagrafimplicit"/>
          <w:b/>
        </w:rPr>
        <w:t>..............</w:t>
      </w:r>
      <w:r>
        <w:rPr>
          <w:rStyle w:val="Fontdeparagrafimplicit"/>
          <w:b/>
        </w:rPr>
        <w:t xml:space="preserve">     </w:t>
      </w:r>
      <w:r w:rsidR="00540844">
        <w:rPr>
          <w:rStyle w:val="Fontdeparagrafimplicit"/>
          <w:b/>
        </w:rPr>
        <w:t xml:space="preserve">       </w:t>
      </w:r>
      <w:r w:rsidR="001011DA">
        <w:rPr>
          <w:rStyle w:val="Fontdeparagrafimplicit"/>
          <w:b/>
        </w:rPr>
        <w:t>CANDIDAT A0009</w:t>
      </w:r>
      <w:r>
        <w:rPr>
          <w:rStyle w:val="Fontdeparagrafimplicit"/>
          <w:b/>
        </w:rPr>
        <w:tab/>
        <w:t xml:space="preserve">  </w:t>
      </w:r>
      <w:r w:rsidR="00540844">
        <w:rPr>
          <w:rStyle w:val="Fontdeparagrafimplicit"/>
          <w:b/>
        </w:rPr>
        <w:t xml:space="preserve">   </w:t>
      </w:r>
      <w:r>
        <w:rPr>
          <w:rStyle w:val="Fontdeparagrafimplicit"/>
          <w:b/>
        </w:rPr>
        <w:t xml:space="preserve">  </w:t>
      </w:r>
      <w:r w:rsidR="001011DA">
        <w:rPr>
          <w:rStyle w:val="Fontdeparagrafimplicit"/>
          <w:b/>
        </w:rPr>
        <w:t>..............</w:t>
      </w:r>
    </w:p>
    <w:p w:rsidR="008F341D">
      <w:pPr>
        <w:tabs>
          <w:tab w:val="left" w:pos="2700"/>
          <w:tab w:val="left" w:pos="4230"/>
          <w:tab w:val="left" w:pos="7185"/>
        </w:tabs>
        <w:rPr>
          <w:rStyle w:val="Fontdeparagrafimplicit"/>
          <w:b/>
        </w:rPr>
      </w:pPr>
    </w:p>
    <w:p w:rsidR="008F341D">
      <w:pPr>
        <w:rPr>
          <w:rStyle w:val="Fontdeparagrafimplicit"/>
          <w:b/>
          <w:sz w:val="22"/>
        </w:rPr>
      </w:pPr>
    </w:p>
    <w:p w:rsidR="008F341D">
      <w:pPr>
        <w:rPr>
          <w:rStyle w:val="Fontdeparagrafimplicit"/>
          <w:b/>
          <w:sz w:val="22"/>
        </w:rPr>
      </w:pPr>
    </w:p>
    <w:p w:rsidR="008F341D">
      <w:pPr>
        <w:rPr>
          <w:rStyle w:val="Fontdeparagrafimplicit"/>
          <w:b/>
          <w:sz w:val="22"/>
        </w:rPr>
      </w:pPr>
    </w:p>
    <w:p w:rsidR="00540844">
      <w:pPr>
        <w:tabs>
          <w:tab w:val="left" w:pos="7725"/>
        </w:tabs>
        <w:rPr>
          <w:rStyle w:val="Fontdeparagrafimplicit"/>
          <w:b/>
          <w:sz w:val="22"/>
        </w:rPr>
      </w:pPr>
      <w:r>
        <w:rPr>
          <w:rStyle w:val="Fontdeparagrafimplicit"/>
          <w:b/>
          <w:sz w:val="22"/>
        </w:rPr>
        <w:t>GREFIER,</w:t>
      </w:r>
    </w:p>
    <w:p w:rsidR="008F341D">
      <w:pPr>
        <w:tabs>
          <w:tab w:val="left" w:pos="7725"/>
        </w:tabs>
        <w:rPr>
          <w:rStyle w:val="Fontdeparagrafimplicit"/>
          <w:b/>
          <w:sz w:val="22"/>
        </w:rPr>
      </w:pPr>
      <w:r>
        <w:rPr>
          <w:rStyle w:val="Fontdeparagrafimplicit"/>
          <w:b/>
          <w:sz w:val="22"/>
        </w:rPr>
        <w:t xml:space="preserve">  </w:t>
      </w:r>
      <w:r w:rsidR="000A79DE">
        <w:rPr>
          <w:rStyle w:val="Fontdeparagrafimplicit"/>
          <w:b/>
          <w:sz w:val="22"/>
        </w:rPr>
        <w:t xml:space="preserve"> </w:t>
      </w:r>
      <w:r w:rsidR="001011DA">
        <w:rPr>
          <w:rStyle w:val="Fontdeparagrafimplicit"/>
          <w:b/>
          <w:sz w:val="22"/>
        </w:rPr>
        <w:t>..............</w:t>
      </w:r>
    </w:p>
    <w:p w:rsidR="008F341D">
      <w:pPr>
        <w:tabs>
          <w:tab w:val="left" w:pos="1590"/>
        </w:tabs>
        <w:rPr>
          <w:rStyle w:val="Fontdeparagrafimplicit"/>
          <w:b/>
          <w:sz w:val="22"/>
        </w:rPr>
      </w:pPr>
    </w:p>
    <w:p w:rsidR="008F341D">
      <w:pPr>
        <w:tabs>
          <w:tab w:val="left" w:pos="1590"/>
        </w:tabs>
        <w:rPr>
          <w:rStyle w:val="Fontdeparagrafimplicit"/>
        </w:rPr>
      </w:pPr>
    </w:p>
    <w:p w:rsidR="008F341D">
      <w:pPr>
        <w:tabs>
          <w:tab w:val="left" w:pos="1590"/>
        </w:tabs>
        <w:rPr>
          <w:rStyle w:val="Fontdeparagrafimplicit"/>
          <w:sz w:val="16"/>
        </w:rPr>
      </w:pPr>
    </w:p>
    <w:p w:rsidR="008F341D">
      <w:pPr>
        <w:tabs>
          <w:tab w:val="left" w:pos="1590"/>
        </w:tabs>
        <w:rPr>
          <w:rStyle w:val="Fontdeparagrafimplicit"/>
          <w:sz w:val="16"/>
        </w:rPr>
      </w:pPr>
      <w:r>
        <w:rPr>
          <w:rStyle w:val="Fontdeparagrafimplicit"/>
          <w:sz w:val="16"/>
        </w:rPr>
        <w:t>Tribunalul .........</w:t>
      </w:r>
      <w:r w:rsidR="00540844">
        <w:rPr>
          <w:rStyle w:val="Fontdeparagrafimplicit"/>
          <w:sz w:val="16"/>
        </w:rPr>
        <w:t>- Secţia .......</w:t>
      </w:r>
    </w:p>
    <w:p w:rsidR="008F341D">
      <w:pPr>
        <w:tabs>
          <w:tab w:val="left" w:pos="1590"/>
        </w:tabs>
        <w:rPr>
          <w:rStyle w:val="Fontdeparagrafimplicit"/>
          <w:sz w:val="16"/>
        </w:rPr>
      </w:pPr>
      <w:r>
        <w:rPr>
          <w:rStyle w:val="Fontdeparagrafimplicit"/>
          <w:sz w:val="16"/>
        </w:rPr>
        <w:t>Contencios Administrativ şi Fiscal</w:t>
      </w:r>
    </w:p>
    <w:p w:rsidR="008F341D">
      <w:pPr>
        <w:tabs>
          <w:tab w:val="left" w:pos="1590"/>
        </w:tabs>
        <w:rPr>
          <w:rStyle w:val="Fontdeparagrafimplicit"/>
          <w:sz w:val="16"/>
        </w:rPr>
      </w:pPr>
      <w:r>
        <w:rPr>
          <w:rStyle w:val="Fontdeparagrafimplicit"/>
          <w:sz w:val="16"/>
        </w:rPr>
        <w:t>Jud.fond.........</w:t>
      </w:r>
    </w:p>
    <w:p w:rsidR="008F341D">
      <w:pPr>
        <w:tabs>
          <w:tab w:val="left" w:pos="6120"/>
        </w:tabs>
        <w:rPr>
          <w:rStyle w:val="Fontdeparagrafimplicit"/>
          <w:sz w:val="16"/>
        </w:rPr>
      </w:pPr>
    </w:p>
    <w:p w:rsidR="008F341D">
      <w:pPr>
        <w:tabs>
          <w:tab w:val="left" w:pos="6120"/>
        </w:tabs>
        <w:rPr>
          <w:rStyle w:val="Fontdeparagrafimplicit"/>
          <w:sz w:val="16"/>
        </w:rPr>
      </w:pPr>
      <w:r>
        <w:rPr>
          <w:rStyle w:val="Fontdeparagrafimplicit"/>
          <w:sz w:val="16"/>
        </w:rPr>
        <w:t>Red.tehn.jud.CANDIDAT A0009</w:t>
      </w:r>
      <w:r w:rsidR="000A79DE">
        <w:rPr>
          <w:rStyle w:val="Fontdeparagrafimplicit"/>
          <w:sz w:val="16"/>
        </w:rPr>
        <w:t>/4 ex./</w:t>
      </w:r>
    </w:p>
    <w:p w:rsidR="008F341D">
      <w:pPr>
        <w:rPr>
          <w:rStyle w:val="Fontdeparagrafimplicit"/>
          <w:sz w:val="16"/>
        </w:rPr>
      </w:pPr>
    </w:p>
    <w:p w:rsidR="008F341D">
      <w:pPr>
        <w:rPr>
          <w:rStyle w:val="Fontdeparagrafimplicit"/>
          <w:rFonts w:ascii="Garamond" w:hAnsi="Garamond"/>
          <w:sz w:val="16"/>
        </w:rPr>
      </w:pPr>
    </w:p>
    <w:sectPr w:rsidSect="008F341D">
      <w:footerReference w:type="default" r:id="rId4"/>
      <w:pgSz w:w="11906" w:h="16838"/>
      <w:pgMar w:top="851" w:right="851" w:bottom="851" w:left="1985"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341D">
    <w:pPr>
      <w:pStyle w:val="Subsol"/>
      <w:jc w:val="center"/>
      <w:rPr>
        <w:rStyle w:val="Fontdeparagrafimplicit"/>
      </w:rPr>
    </w:pPr>
    <w:r>
      <w:t xml:space="preserve">Pagină </w:t>
    </w:r>
    <w:r w:rsidRPr="004B5990" w:rsidR="004B5990">
      <w:fldChar w:fldCharType="begin"/>
    </w:r>
    <w:r>
      <w:rPr>
        <w:rStyle w:val="Fontdeparagrafimplicit"/>
        <w:b/>
      </w:rPr>
      <w:instrText>PAGE</w:instrText>
    </w:r>
    <w:r w:rsidR="004B5990">
      <w:rPr>
        <w:rStyle w:val="Fontdeparagrafimplicit"/>
      </w:rPr>
      <w:fldChar w:fldCharType="separate"/>
    </w:r>
    <w:r w:rsidR="00831163">
      <w:rPr>
        <w:rStyle w:val="Fontdeparagrafimplicit"/>
        <w:b/>
        <w:noProof/>
      </w:rPr>
      <w:t>1</w:t>
    </w:r>
    <w:r w:rsidR="004B5990">
      <w:rPr>
        <w:rStyle w:val="Fontdeparagrafimplicit"/>
      </w:rPr>
      <w:fldChar w:fldCharType="end"/>
    </w:r>
    <w:r>
      <w:t xml:space="preserve"> din </w:t>
    </w:r>
    <w:r w:rsidRPr="004B5990" w:rsidR="004B5990">
      <w:fldChar w:fldCharType="begin"/>
    </w:r>
    <w:r>
      <w:rPr>
        <w:rStyle w:val="Fontdeparagrafimplicit"/>
        <w:b/>
      </w:rPr>
      <w:instrText>NUMPAGES</w:instrText>
    </w:r>
    <w:r w:rsidR="004B5990">
      <w:rPr>
        <w:rStyle w:val="Fontdeparagrafimplicit"/>
      </w:rPr>
      <w:fldChar w:fldCharType="separate"/>
    </w:r>
    <w:r w:rsidR="00831163">
      <w:rPr>
        <w:rStyle w:val="Fontdeparagrafimplicit"/>
        <w:b/>
        <w:noProof/>
      </w:rPr>
      <w:t>4</w:t>
    </w:r>
    <w:r w:rsidR="004B5990">
      <w:rPr>
        <w:rStyle w:val="Fontdeparagrafimplicit"/>
      </w:rPr>
      <w:fldChar w:fldCharType="end"/>
    </w:r>
  </w:p>
  <w:p w:rsidR="008F341D">
    <w:pPr>
      <w:pStyle w:val="Subsol"/>
      <w:rPr>
        <w:rStyle w:val="Fontdeparagrafimplicit"/>
      </w:rPr>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744CAF"/>
    <w:multiLevelType w:val="multilevel"/>
    <w:tmpl w:val="4A4A879C"/>
    <w:lvl w:ilvl="0">
      <w:start w:val="1"/>
      <w:numFmt w:val="decimal"/>
      <w:lvlText w:val="%1."/>
      <w:lvlJc w:val="left"/>
      <w:pPr>
        <w:ind w:left="1069" w:hanging="360"/>
      </w:pPr>
    </w:lvl>
    <w:lvl w:ilvl="1">
      <w:start w:val="1"/>
      <w:numFmt w:val="decimal"/>
      <w:isLgl/>
      <w:lvlText w:val="%1.%2."/>
      <w:lvlJc w:val="left"/>
      <w:pPr>
        <w:ind w:left="1069" w:hanging="360"/>
      </w:pPr>
    </w:lvl>
    <w:lvl w:ilvl="2">
      <w:start w:val="1"/>
      <w:numFmt w:val="decimal"/>
      <w:isLgl/>
      <w:lvlText w:val="%1.%2.%3."/>
      <w:lvlJc w:val="left"/>
      <w:pPr>
        <w:ind w:left="1429" w:hanging="720"/>
      </w:pPr>
    </w:lvl>
    <w:lvl w:ilvl="3">
      <w:start w:val="1"/>
      <w:numFmt w:val="decimal"/>
      <w:isLgl/>
      <w:lvlText w:val="%1.%2.%3.%4."/>
      <w:lvlJc w:val="left"/>
      <w:pPr>
        <w:ind w:left="1429" w:hanging="720"/>
      </w:p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hyphenationZone w:val="425"/>
  <w:characterSpacingControl w:val="doNotCompress"/>
  <w:compat/>
  <w:rsids>
    <w:rsidRoot w:val="008F341D"/>
    <w:rsid w:val="000A79DE"/>
    <w:rsid w:val="001011DA"/>
    <w:rsid w:val="004B5990"/>
    <w:rsid w:val="00540844"/>
    <w:rsid w:val="00831163"/>
    <w:rsid w:val="008F341D"/>
    <w:rsid w:val="00CB4484"/>
  </w:rsids>
  <w:docVars>
    <w:docVar w:name="url" w:val="http://10.1.48.53:80/ecris_cdms/document_upload.aspx?id_document=200000004448976&amp;id_departament=58&amp;id_sesiune=5626045&amp;id_user=928&amp;id_institutie=2&amp;actiune=modifica"/>
  </w:docVars>
  <m:mathPr>
    <m:mathFont m:val="Cambria Math"/>
  </m:mathPr>
  <w:themeFontLang w:val="ro-RO"/>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341D"/>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rsid w:val="008F341D"/>
    <w:pPr>
      <w:keepNext/>
      <w:jc w:val="center"/>
      <w:outlineLvl w:val="0"/>
    </w:pPr>
    <w:rPr>
      <w:b/>
      <w:sz w:val="28"/>
      <w:lang w:val="en-US"/>
    </w:rPr>
  </w:style>
  <w:style w:type="paragraph" w:styleId="NormalWeb">
    <w:name w:val="Normal (Web)"/>
    <w:basedOn w:val="Normal"/>
    <w:rsid w:val="008F341D"/>
    <w:pPr>
      <w:spacing w:before="100" w:beforeAutospacing="1" w:after="100" w:afterAutospacing="1"/>
    </w:pPr>
  </w:style>
  <w:style w:type="paragraph" w:customStyle="1" w:styleId="Antet">
    <w:name w:val="Antet"/>
    <w:basedOn w:val="Normal"/>
    <w:link w:val="AntetCaracter"/>
    <w:rsid w:val="008F341D"/>
    <w:pPr>
      <w:tabs>
        <w:tab w:val="center" w:pos="4536"/>
        <w:tab w:val="right" w:pos="9072"/>
      </w:tabs>
    </w:pPr>
  </w:style>
  <w:style w:type="paragraph" w:customStyle="1" w:styleId="Subsol">
    <w:name w:val="Subsol"/>
    <w:basedOn w:val="Normal"/>
    <w:link w:val="SubsolCaracter"/>
    <w:rsid w:val="008F341D"/>
    <w:pPr>
      <w:tabs>
        <w:tab w:val="center" w:pos="4536"/>
        <w:tab w:val="right" w:pos="9072"/>
      </w:tabs>
    </w:pPr>
  </w:style>
  <w:style w:type="paragraph" w:customStyle="1" w:styleId="TextnBalon">
    <w:name w:val="Text în Balon"/>
    <w:basedOn w:val="Normal"/>
    <w:link w:val="TextnBalonCaracter"/>
    <w:rsid w:val="008F341D"/>
    <w:rPr>
      <w:rFonts w:ascii="Tahoma" w:hAnsi="Tahoma"/>
      <w:sz w:val="16"/>
    </w:rPr>
  </w:style>
  <w:style w:type="character" w:styleId="LineNumber">
    <w:name w:val="line number"/>
    <w:basedOn w:val="DefaultParagraphFont"/>
    <w:semiHidden/>
    <w:rsid w:val="008F341D"/>
  </w:style>
  <w:style w:type="character" w:styleId="Hyperlink">
    <w:name w:val="Hyperlink"/>
    <w:rsid w:val="008F341D"/>
    <w:rPr>
      <w:color w:val="0000FF"/>
      <w:u w:val="single"/>
    </w:rPr>
  </w:style>
  <w:style w:type="character" w:customStyle="1" w:styleId="Fontdeparagrafimplicit">
    <w:name w:val="Font de paragraf implicit"/>
    <w:rsid w:val="008F341D"/>
  </w:style>
  <w:style w:type="character" w:customStyle="1" w:styleId="AntetCaracter">
    <w:name w:val="Antet Caracter"/>
    <w:link w:val="Antet"/>
    <w:rsid w:val="008F341D"/>
  </w:style>
  <w:style w:type="character" w:customStyle="1" w:styleId="SubsolCaracter">
    <w:name w:val="Subsol Caracter"/>
    <w:link w:val="Subsol"/>
    <w:rsid w:val="008F341D"/>
  </w:style>
  <w:style w:type="character" w:customStyle="1" w:styleId="TextnBalonCaracter">
    <w:name w:val="Text în Balon Caracter"/>
    <w:link w:val="TextnBalon"/>
    <w:rsid w:val="008F341D"/>
    <w:rPr>
      <w:rFonts w:ascii="Tahoma" w:hAnsi="Tahoma"/>
      <w:sz w:val="16"/>
    </w:rPr>
  </w:style>
  <w:style w:type="table" w:styleId="TableSimple1">
    <w:name w:val="Table Simple 1"/>
    <w:basedOn w:val="TableNormal"/>
    <w:rsid w:val="008F341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Normal">
    <w:name w:val="Tabel Normal"/>
    <w:rsid w:val="008F341D"/>
    <w:tblPr>
      <w:tblInd w:w="0" w:type="dxa"/>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19</ap:TotalTime>
  <ap:Pages>4</ap:Pages>
  <ap:Words>1741</ap:Words>
  <ap:Characters>10098</ap:Characters>
  <ap:Application>Microsoft Office Word</ap:Application>
  <ap:DocSecurity>0</ap:DocSecurity>
  <ap:Lines>84</ap:Lines>
  <ap:Paragraphs>23</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11816</ap:CharactersWithSpaces>
  <ap:HyperlinksChanged>false</ap:HyperlinksChanged>
  <ap:AppVersion>12.0000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lastPrinted>2024-05-06T10:20:00.0000000Z</lastPrinted>
  <dc:subject/>
  <dc:description/>
  <keywords/>
  <category/>
  <contentStatus/>
  <dc:identifier/>
  <dc:language/>
  <version/>
</coreProperties>
</file>