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er1.xml" ContentType="application/vnd.openxmlformats-officedocument.wordprocessingml.footer+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&#65279;<?xml version="1.0" encoding="utf-8"?><Relationships xmlns="http://schemas.openxmlformats.org/package/2006/relationships"><Relationship Type="http://schemas.openxmlformats.org/package/2006/relationships/metadata/core-properties" Target="docProps/core.xml" Id="rId1" /><Relationship Type="http://schemas.openxmlformats.org/officeDocument/2006/relationships/extended-properties" Target="docProps/app.xml" Id="rId2" /><Relationship Type="http://schemas.openxmlformats.org/officeDocument/2006/relationships/officeDocument" Target="word/document.xml" Id="rId4"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color w:val="BFBFBF"/>
          <w:sz w:val="20"/>
        </w:rPr>
      </w:pPr>
      <w:r>
        <w:rPr>
          <w:color w:val="BFBFBF"/>
          <w:sz w:val="20"/>
        </w:rPr>
        <w:t>Acesta nu este document finalizat</w:t>
      </w:r>
    </w:p>
    <w:p>
      <w:pPr>
        <w:pStyle w:val="Normal"/>
        <w:rPr/>
      </w:pPr>
      <w:r>
        <w:rPr/>
        <w:t>Hot. 9</w:t>
      </w:r>
    </w:p>
    <w:p>
      <w:pPr>
        <w:pStyle w:val="Normal"/>
        <w:rPr>
          <w:b/>
        </w:rPr>
      </w:pPr>
      <w:r>
        <w:rPr>
          <w:b/>
        </w:rPr>
        <w:t>Dosar nr. D1</w:t>
      </w:r>
    </w:p>
    <w:p>
      <w:pPr>
        <w:pStyle w:val="Normal"/>
        <w:jc w:val="center"/>
        <w:rPr/>
      </w:pPr>
      <w:r>
        <w:rPr/>
      </w:r>
    </w:p>
    <w:p>
      <w:pPr>
        <w:pStyle w:val="Normal"/>
        <w:jc w:val="center"/>
        <w:rPr>
          <w:b/>
        </w:rPr>
      </w:pPr>
      <w:r>
        <w:rPr>
          <w:b/>
        </w:rPr>
        <w:t>R O M Â N I A</w:t>
      </w:r>
    </w:p>
    <w:p>
      <w:pPr>
        <w:pStyle w:val="Normal"/>
        <w:jc w:val="center"/>
        <w:rPr>
          <w:b/>
        </w:rPr>
      </w:pPr>
      <w:r>
        <w:rPr>
          <w:b/>
        </w:rPr>
      </w:r>
    </w:p>
    <w:p>
      <w:pPr>
        <w:pStyle w:val="Normal"/>
        <w:jc w:val="center"/>
        <w:rPr>
          <w:b/>
        </w:rPr>
      </w:pPr>
      <w:r>
        <w:rPr>
          <w:b/>
        </w:rPr>
        <w:t>CURTEA DE APEL ...</w:t>
      </w:r>
    </w:p>
    <w:p>
      <w:pPr>
        <w:pStyle w:val="Normal"/>
        <w:jc w:val="center"/>
        <w:rPr>
          <w:b/>
          <w:lang w:val="en-US"/>
        </w:rPr>
      </w:pPr>
      <w:r>
        <w:rPr>
          <w:b/>
        </w:rPr>
        <w:t>SECŢIA ...</w:t>
      </w:r>
    </w:p>
    <w:p>
      <w:pPr>
        <w:pStyle w:val="Normal"/>
        <w:rPr/>
      </w:pPr>
      <w:r>
        <w:rPr/>
      </w:r>
    </w:p>
    <w:p>
      <w:pPr>
        <w:pStyle w:val="Normal"/>
        <w:jc w:val="center"/>
        <w:rPr>
          <w:b/>
        </w:rPr>
      </w:pPr>
      <w:r>
        <w:rPr>
          <w:b/>
        </w:rPr>
        <w:t>DECIZIE Nr. ...</w:t>
      </w:r>
    </w:p>
    <w:p>
      <w:pPr>
        <w:pStyle w:val="Normal"/>
        <w:jc w:val="center"/>
        <w:rPr>
          <w:b/>
        </w:rPr>
      </w:pPr>
      <w:r>
        <w:rPr>
          <w:b/>
        </w:rPr>
        <w:t xml:space="preserve">Şedinţa publică de la ... </w:t>
      </w:r>
    </w:p>
    <w:p>
      <w:pPr>
        <w:pStyle w:val="Normal"/>
        <w:jc w:val="center"/>
        <w:rPr/>
      </w:pPr>
      <w:r>
        <w:rPr/>
      </w:r>
    </w:p>
    <w:p>
      <w:pPr>
        <w:pStyle w:val="Normal"/>
        <w:jc w:val="center"/>
        <w:rPr>
          <w:b/>
        </w:rPr>
      </w:pPr>
      <w:r>
        <w:rPr>
          <w:b/>
        </w:rPr>
        <w:t>Completul compus din:</w:t>
      </w:r>
    </w:p>
    <w:p>
      <w:pPr>
        <w:pStyle w:val="Normal"/>
        <w:jc w:val="center"/>
        <w:rPr>
          <w:b/>
        </w:rPr>
      </w:pPr>
      <w:r>
        <w:rPr>
          <w:b/>
        </w:rPr>
        <w:t>PREŞEDINTE A0013</w:t>
      </w:r>
    </w:p>
    <w:p>
      <w:pPr>
        <w:pStyle w:val="Normal"/>
        <w:jc w:val="center"/>
        <w:rPr>
          <w:b/>
        </w:rPr>
      </w:pPr>
      <w:r>
        <w:rPr>
          <w:b/>
        </w:rPr>
        <w:t>Grefier ...</w:t>
      </w:r>
    </w:p>
    <w:p>
      <w:pPr>
        <w:pStyle w:val="Normal"/>
        <w:rPr>
          <w:b/>
        </w:rPr>
      </w:pPr>
      <w:r>
        <w:rPr>
          <w:b/>
        </w:rPr>
      </w:r>
    </w:p>
    <w:p>
      <w:pPr>
        <w:pStyle w:val="Normal"/>
        <w:jc w:val="center"/>
        <w:rPr/>
      </w:pPr>
      <w:r>
        <w:rPr/>
      </w:r>
    </w:p>
    <w:p>
      <w:pPr>
        <w:pStyle w:val="Normal"/>
        <w:jc w:val="center"/>
        <w:rPr/>
      </w:pPr>
      <w:r>
        <w:rPr/>
      </w:r>
    </w:p>
    <w:p>
      <w:pPr>
        <w:pStyle w:val="Normal"/>
        <w:ind w:firstLine="1134"/>
        <w:jc w:val="both"/>
        <w:rPr>
          <w:b/>
        </w:rPr>
      </w:pPr>
      <w:r>
        <w:rPr/>
        <w:t xml:space="preserve">Pe rol se află  judecarea cauzei penale privind pe </w:t>
      </w:r>
      <w:r>
        <w:rPr>
          <w:b/>
        </w:rPr>
        <w:t>revizuenta R1</w:t>
      </w:r>
      <w:r>
        <w:rPr/>
        <w:t>, având ca obiect</w:t>
      </w:r>
      <w:r>
        <w:rPr>
          <w:b/>
        </w:rPr>
        <w:t xml:space="preserve"> revizuire </w:t>
      </w:r>
      <w:r>
        <w:rPr/>
        <w:t xml:space="preserve">a </w:t>
      </w:r>
      <w:r>
        <w:rPr>
          <w:b/>
        </w:rPr>
        <w:t>Încheierii penale nr. IP1</w:t>
      </w:r>
      <w:r>
        <w:rPr/>
        <w:t xml:space="preserve"> pronunţată de </w:t>
      </w:r>
      <w:r>
        <w:rPr>
          <w:b/>
        </w:rPr>
        <w:t>judecătorul de cameră preliminară de la Curtea de Apel ...</w:t>
      </w:r>
      <w:r>
        <w:rPr/>
        <w:t xml:space="preserve">, în dosarul nr. D2 – </w:t>
      </w:r>
      <w:r>
        <w:rPr>
          <w:b/>
        </w:rPr>
        <w:t xml:space="preserve">plângere soluţii de neurmărire/netrimitere judecată (art. 340 Cod de procedură penală). </w:t>
      </w:r>
    </w:p>
    <w:p>
      <w:pPr>
        <w:pStyle w:val="Normal"/>
        <w:ind w:firstLine="1134"/>
        <w:jc w:val="both"/>
        <w:rPr/>
      </w:pPr>
      <w:r>
        <w:rPr/>
        <w:t>S-a făcut referatul cauzei de către grefierul de şedinţă, care învederează că dezbaterile asupra fondului au avut loc în data de 01.11.2017, în şedinţă publică (</w:t>
      </w:r>
      <w:r>
        <w:rPr>
          <w:i/>
        </w:rPr>
        <w:t>cu participarea din partea Ministerului Public a domnului procuror ... din cadrul Parchetului de pe lângă Curtea de Apel ...</w:t>
      </w:r>
      <w:r>
        <w:rPr/>
        <w:t>), susţinerile şi concluziile părţilor fiind consemnate în încheierea de şedinţă din acea zi, care face parte integrantă din prezenta, când, din lipsă de timp pentru a delibera, s-a amânat pronunţarea pentru astăzi, ....</w:t>
      </w:r>
    </w:p>
    <w:p>
      <w:pPr>
        <w:pStyle w:val="Normal"/>
        <w:rPr/>
      </w:pPr>
      <w:r>
        <w:rPr/>
      </w:r>
    </w:p>
    <w:p>
      <w:pPr>
        <w:pStyle w:val="Normal"/>
        <w:jc w:val="center"/>
        <w:rPr/>
      </w:pPr>
      <w:r>
        <w:rPr/>
      </w:r>
    </w:p>
    <w:p>
      <w:pPr>
        <w:pStyle w:val="Normal"/>
        <w:jc w:val="center"/>
        <w:rPr>
          <w:b/>
        </w:rPr>
      </w:pPr>
      <w:r>
        <w:rPr>
          <w:b/>
        </w:rPr>
        <w:t>CURTEA DE APEL</w:t>
      </w:r>
    </w:p>
    <w:p>
      <w:pPr>
        <w:pStyle w:val="Normal"/>
        <w:rPr/>
      </w:pPr>
      <w:r>
        <w:rPr/>
      </w:r>
    </w:p>
    <w:p>
      <w:pPr>
        <w:pStyle w:val="Normal"/>
        <w:ind w:firstLine="1134"/>
        <w:jc w:val="both"/>
        <w:rPr>
          <w:b/>
        </w:rPr>
      </w:pPr>
      <w:r>
        <w:rPr>
          <w:b/>
        </w:rPr>
      </w:r>
    </w:p>
    <w:p>
      <w:pPr>
        <w:pStyle w:val="Normal"/>
        <w:ind w:firstLine="1134"/>
        <w:jc w:val="both"/>
        <w:rPr>
          <w:b/>
        </w:rPr>
      </w:pPr>
      <w:r>
        <w:rPr>
          <w:b/>
        </w:rPr>
        <w:t>Deliberând asupra cererii de revizuire de față, constată următoarele:</w:t>
      </w:r>
    </w:p>
    <w:p>
      <w:pPr>
        <w:pStyle w:val="Normal"/>
        <w:ind w:firstLine="1080"/>
        <w:jc w:val="both"/>
        <w:rPr>
          <w:rFonts w:ascii="Arial Narrow" w:hAnsi="Arial Narrow"/>
          <w:b/>
          <w:i/>
          <w:i/>
        </w:rPr>
      </w:pPr>
      <w:r>
        <w:rPr>
          <w:rFonts w:ascii="Arial Narrow" w:hAnsi="Arial Narrow"/>
          <w:b/>
          <w:i/>
        </w:rPr>
      </w:r>
    </w:p>
    <w:p>
      <w:pPr>
        <w:pStyle w:val="Normal"/>
        <w:ind w:firstLine="1080"/>
        <w:jc w:val="both"/>
        <w:rPr>
          <w:rFonts w:ascii="Arial Narrow" w:hAnsi="Arial Narrow"/>
          <w:b/>
          <w:i/>
          <w:i/>
        </w:rPr>
      </w:pPr>
      <w:r>
        <w:rPr>
          <w:rFonts w:ascii="Arial Narrow" w:hAnsi="Arial Narrow"/>
          <w:b/>
          <w:i/>
        </w:rPr>
      </w:r>
    </w:p>
    <w:p>
      <w:pPr>
        <w:pStyle w:val="Normal"/>
        <w:ind w:firstLine="1080"/>
        <w:jc w:val="both"/>
        <w:rPr/>
      </w:pPr>
      <w:r>
        <w:rPr/>
        <w:t xml:space="preserve">Prin cererea înregistrată pe rolul acestei instanţe la data de 04.10.2017, sub numărul D1, </w:t>
      </w:r>
      <w:r>
        <w:rPr>
          <w:b/>
        </w:rPr>
        <w:t>R1</w:t>
      </w:r>
      <w:r>
        <w:rPr/>
        <w:t xml:space="preserve"> a formulat o cerere de revizuire a Încheierii penale nr. IP1 pronunțată de judecătorul de cameră preliminară Curtea de Apel ..., în dosarul nr. D2.</w:t>
      </w:r>
    </w:p>
    <w:p>
      <w:pPr>
        <w:pStyle w:val="Normal"/>
        <w:ind w:firstLine="1080"/>
        <w:jc w:val="both"/>
        <w:rPr/>
      </w:pPr>
      <w:r>
        <w:rPr/>
        <w:t xml:space="preserve">Revizuentul a motivat, </w:t>
      </w:r>
      <w:r>
        <w:rPr>
          <w:u w:val="single"/>
        </w:rPr>
        <w:t>în cererea formulată</w:t>
      </w:r>
      <w:r>
        <w:rPr/>
        <w:t>, că organul de urmărire penală a dat Ordonanțele numai pentru notarul public B1, celelalte persoane din plângerea sa nefiind anchetate. Soluția de clasare este fără suport legal și fără susținere în actele de urmărire penală.</w:t>
      </w:r>
    </w:p>
    <w:p>
      <w:pPr>
        <w:pStyle w:val="Normal"/>
        <w:ind w:firstLine="1080"/>
        <w:jc w:val="both"/>
        <w:rPr/>
      </w:pPr>
      <w:r>
        <w:rPr/>
        <w:t>Soluția dată de judecătorul de cameră preliminară de la Curtea de Apel ... este nelegală și netemeinică cu privire la latura penală și civilă, faptele și împrejurările nefiind cunoscute la soluționarea cauzei. Totodată, consecințele încălcării dispoziției constituționale continuă să producă o situație care nu poate fi remediată decât prin revizuirea hotărârii pronunțate neconstituțional.</w:t>
      </w:r>
    </w:p>
    <w:p>
      <w:pPr>
        <w:pStyle w:val="Normal"/>
        <w:ind w:firstLine="1080"/>
        <w:jc w:val="both"/>
        <w:rPr/>
      </w:pPr>
      <w:r>
        <w:rPr/>
        <w:t>Susține că a respectat Legea nr. 136/2010, a formulat concluzii și a prezentat toate diligențele cu privire la anchetă. A fost lezată în drepturile sale și nu i s-a dat posibilitatea de a susține plângerea.</w:t>
      </w:r>
    </w:p>
    <w:p>
      <w:pPr>
        <w:pStyle w:val="Normal"/>
        <w:ind w:firstLine="1080"/>
        <w:jc w:val="both"/>
        <w:rPr/>
      </w:pPr>
      <w:r>
        <w:rPr/>
        <w:t>În mod greșit, a fost obligată la plata sumei de 200 lei cu titlul de cheltuieli judiciare, fiind încălcate dispozițiile art. 275 alin. 1 lit. a) Cod de procedură penală.</w:t>
      </w:r>
    </w:p>
    <w:p>
      <w:pPr>
        <w:pStyle w:val="Normal"/>
        <w:ind w:firstLine="1080"/>
        <w:jc w:val="both"/>
        <w:rPr/>
      </w:pPr>
      <w:r>
        <w:rPr/>
        <w:t>Solicită admiterea cererii de revizuirii, trimiterea dosarului de anchetă pentru efectuarea corectă conform actului sesizat, cu privire la toate persoanele din plângere.</w:t>
      </w:r>
    </w:p>
    <w:p>
      <w:pPr>
        <w:pStyle w:val="Normal"/>
        <w:ind w:firstLine="1080"/>
        <w:jc w:val="both"/>
        <w:rPr/>
      </w:pPr>
      <w:r>
        <w:rPr>
          <w:u w:val="single"/>
        </w:rPr>
        <w:t>În drept</w:t>
      </w:r>
      <w:r>
        <w:rPr/>
        <w:t>, invocă dispozițiile art. 452 alin. 1 lit. a), b), d) și f) Cod de procedură penală și următoarele, art. 453 lit. a) Cod de procedură penală, precum și art. 29 Constituția României.</w:t>
      </w:r>
    </w:p>
    <w:p>
      <w:pPr>
        <w:pStyle w:val="Normal"/>
        <w:ind w:firstLine="1080"/>
        <w:jc w:val="both"/>
        <w:rPr/>
      </w:pPr>
      <w:r>
        <w:rPr>
          <w:u w:val="single"/>
        </w:rPr>
        <w:t>În susținere</w:t>
      </w:r>
      <w:r>
        <w:rPr/>
        <w:t>, a depus înscrisuri – cerere de recepție pentru dezlipire/alipire, act de dezmembrare, plan de încadrare în zonă, plan de amplasament și delimitare cu propunere de dezlipire, plan de amplasament și delimitare a imobilului, Încheiere nr. ...7/2012 a O.C.P.I. ... – B.C.P.I. ... (</w:t>
      </w:r>
      <w:r>
        <w:rPr>
          <w:i/>
        </w:rPr>
        <w:t>filele 12-18 dosar Curtea de Apel ...</w:t>
      </w:r>
      <w:r>
        <w:rPr/>
        <w:t>).</w:t>
      </w:r>
    </w:p>
    <w:p>
      <w:pPr>
        <w:pStyle w:val="Normal"/>
        <w:ind w:firstLine="1080"/>
        <w:jc w:val="both"/>
        <w:rPr>
          <w:rFonts w:ascii="Arial Narrow" w:hAnsi="Arial Narrow"/>
          <w:b/>
        </w:rPr>
      </w:pPr>
      <w:r>
        <w:rPr>
          <w:rFonts w:ascii="Arial Narrow" w:hAnsi="Arial Narrow"/>
          <w:b/>
        </w:rPr>
      </w:r>
    </w:p>
    <w:p>
      <w:pPr>
        <w:pStyle w:val="Normal"/>
        <w:ind w:firstLine="1080"/>
        <w:jc w:val="both"/>
        <w:rPr>
          <w:b/>
        </w:rPr>
      </w:pPr>
      <w:r>
        <w:rPr>
          <w:b/>
        </w:rPr>
      </w:r>
    </w:p>
    <w:p>
      <w:pPr>
        <w:pStyle w:val="Normal"/>
        <w:ind w:firstLine="1080"/>
        <w:jc w:val="both"/>
        <w:rPr>
          <w:b/>
          <w:i/>
          <w:i/>
        </w:rPr>
      </w:pPr>
      <w:r>
        <w:rPr>
          <w:b/>
        </w:rPr>
        <w:t>Curtea, analizând cererea de revizuire p</w:t>
      </w:r>
      <w:r>
        <w:rPr/>
        <w:t xml:space="preserve">rin prisma actelor şi lucrărilor dosarului, constată că cererea de revizuire formulată de </w:t>
      </w:r>
      <w:r>
        <w:rPr>
          <w:b/>
        </w:rPr>
        <w:t xml:space="preserve">R1 </w:t>
      </w:r>
      <w:r>
        <w:rPr>
          <w:b/>
          <w:i/>
        </w:rPr>
        <w:t>este inadmisibilă</w:t>
      </w:r>
      <w:r>
        <w:rPr/>
        <w:t>, astfel încât urmează să o respingă ca atare, pentru considerentele ce vor fi expuse în continuare:</w:t>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t>Prin încheierea penală nr. IP1 pronunțată de judecătorul de cameră preliminară Curtea de Apel ..., în dosarul nr. D2, s-a dispus</w:t>
      </w:r>
      <w:r>
        <w:rPr/>
        <w:t>:</w:t>
      </w:r>
    </w:p>
    <w:p>
      <w:pPr>
        <w:pStyle w:val="Normal"/>
        <w:ind w:firstLine="1134"/>
        <w:jc w:val="both"/>
        <w:rPr>
          <w:b/>
        </w:rPr>
      </w:pPr>
      <w:r>
        <w:rPr>
          <w:b/>
        </w:rPr>
        <w:t>„</w:t>
      </w:r>
      <w:r>
        <w:rPr/>
        <w:t xml:space="preserve">În temeiul dispoziţiilor 341 aliniatul 6 Cod procedură penală, </w:t>
      </w:r>
      <w:r>
        <w:rPr>
          <w:b/>
        </w:rPr>
        <w:t xml:space="preserve">respinge ca nefondată plângerea formulată de petenta R1, C.N.P. ..., </w:t>
      </w:r>
      <w:r>
        <w:rPr/>
        <w:t xml:space="preserve">domiciliată în mun. ..., Str. ..., județul ..., împotriva soluției de netrimitere în judecată emise de Parchetul de pe lângă Curtea de Apel ... în dosarul penal nr. D3, soluție dispusă prin ordonanța de clasare nr. D3 din  ..., menținută prin ordonanța nr.O1 din ..., ambele date de Parchetul de pe lângă Curtea de Apel ... </w:t>
      </w:r>
    </w:p>
    <w:p>
      <w:pPr>
        <w:pStyle w:val="Normal"/>
        <w:ind w:firstLine="1134"/>
        <w:jc w:val="both"/>
        <w:rPr>
          <w:b/>
        </w:rPr>
      </w:pPr>
      <w:r>
        <w:rPr/>
        <w:t>În temeiul dispoziţiilor art. 275 aliniatul 2 Cod procedură penală obligă petenta R1 la plata sumei de 200 de lei către stat, cu titlul de cheltuieli judiciare avansate de stat.</w:t>
      </w:r>
    </w:p>
    <w:p>
      <w:pPr>
        <w:pStyle w:val="Normal"/>
        <w:ind w:firstLine="1134"/>
        <w:jc w:val="both"/>
        <w:rPr>
          <w:b/>
        </w:rPr>
      </w:pPr>
      <w:r>
        <w:rPr/>
        <w:t>Definitivă.</w:t>
      </w:r>
    </w:p>
    <w:p>
      <w:pPr>
        <w:pStyle w:val="Normal"/>
        <w:ind w:firstLine="1134"/>
        <w:jc w:val="both"/>
        <w:rPr>
          <w:b/>
        </w:rPr>
      </w:pPr>
      <w:r>
        <w:rPr/>
        <w:t>Soluționată și pronunțată în Camera de Consiliu azi, ...-</w:t>
      </w:r>
    </w:p>
    <w:p>
      <w:pPr>
        <w:pStyle w:val="Normal"/>
        <w:ind w:firstLine="1134"/>
        <w:jc w:val="both"/>
        <w:rPr>
          <w:b/>
        </w:rPr>
      </w:pPr>
      <w:r>
        <w:rPr>
          <w:b/>
        </w:rPr>
      </w:r>
    </w:p>
    <w:p>
      <w:pPr>
        <w:pStyle w:val="Normal"/>
        <w:ind w:firstLine="1134"/>
        <w:jc w:val="both"/>
        <w:rPr>
          <w:b/>
        </w:rPr>
      </w:pPr>
      <w:r>
        <w:rPr>
          <w:b/>
        </w:rPr>
        <w:t>Pentru a se pronunţa astfel, judecătorul de cameră preliminară a reţinut următoarele:</w:t>
      </w:r>
    </w:p>
    <w:p>
      <w:pPr>
        <w:pStyle w:val="Normal"/>
        <w:ind w:firstLine="1134"/>
        <w:jc w:val="both"/>
        <w:rPr>
          <w:b/>
        </w:rPr>
      </w:pPr>
      <w:r>
        <w:rPr>
          <w:b/>
        </w:rPr>
        <w:t>„</w:t>
      </w:r>
      <w:r>
        <w:rPr>
          <w:b/>
        </w:rPr>
        <w:t xml:space="preserve">Prin ordonanţa </w:t>
      </w:r>
      <w:r>
        <w:rPr/>
        <w:t xml:space="preserve">dată de Parchetul de pe lângă Curtea de Apel ... în dosarul penal nr. D3  în dosarul nr. D3 al </w:t>
      </w:r>
      <w:r>
        <w:rPr>
          <w:b/>
          <w:color w:val="000000"/>
        </w:rPr>
        <w:t xml:space="preserve">Parchetului de pe lângă Curtea de Apel ... </w:t>
      </w:r>
      <w:r>
        <w:rPr/>
        <w:t>la data de ..., s-a dispus clasarea cauzei privind plângerea formulată de numita A1 împotriva funcţionarilor de la Oficiul de. Cadastru şi Publicitate Imobiliară ..., a numitei B2 şi a notarului public B1 ....</w:t>
      </w:r>
    </w:p>
    <w:p>
      <w:pPr>
        <w:pStyle w:val="Normal"/>
        <w:ind w:firstLine="1134"/>
        <w:jc w:val="both"/>
        <w:rPr>
          <w:b/>
        </w:rPr>
      </w:pPr>
      <w:r>
        <w:rPr>
          <w:i/>
        </w:rPr>
        <w:t>Pentru a dispune astfel, procurorul a reţinut:</w:t>
      </w:r>
    </w:p>
    <w:p>
      <w:pPr>
        <w:pStyle w:val="Normal"/>
        <w:ind w:firstLine="1134"/>
        <w:jc w:val="both"/>
        <w:rPr>
          <w:b/>
        </w:rPr>
      </w:pPr>
      <w:r>
        <w:rPr>
          <w:i/>
        </w:rPr>
        <w:t>„</w:t>
      </w:r>
      <w:r>
        <w:rPr/>
        <w:t>Numita R1 a formulat plângere împotriva funcţionarilor de la Oficiul de Cadastru şi Publicitate Imobiliară ..., a numitei B2 şi a notarului public B1 ... „ pentru încheierea unor acte încheiate false" .</w:t>
      </w:r>
    </w:p>
    <w:p>
      <w:pPr>
        <w:pStyle w:val="Normal"/>
        <w:ind w:firstLine="1134"/>
        <w:jc w:val="both"/>
        <w:rPr>
          <w:b/>
        </w:rPr>
      </w:pPr>
      <w:r>
        <w:rPr/>
        <w:t>Numita R1 nu precizează care sunt actele întocmite de notarul public B1 ... şi de funcţionarii de la Oficiul de Cadastru şi Publicitate Imobiliară ... şi nu arată în ce constau faptele penale pentru care solicită tragerea la răspundere penală a acestora.</w:t>
      </w:r>
    </w:p>
    <w:p>
      <w:pPr>
        <w:pStyle w:val="Normal"/>
        <w:ind w:firstLine="1134"/>
        <w:jc w:val="both"/>
        <w:rPr>
          <w:b/>
        </w:rPr>
      </w:pPr>
      <w:r>
        <w:rPr/>
        <w:t>Numita A1 arată că a suferit un prejudiciu , dar nu precizează în ce constă acest prejudiciu.</w:t>
      </w:r>
    </w:p>
    <w:p>
      <w:pPr>
        <w:pStyle w:val="Normal"/>
        <w:ind w:firstLine="1134"/>
        <w:jc w:val="both"/>
        <w:rPr>
          <w:b/>
        </w:rPr>
      </w:pPr>
      <w:r>
        <w:rPr/>
        <w:t>La plângere a ataşat adresa cu nr....9 din 31.03.2017 a Oficiul de Cadastru şi Publicitate Imobiliară ..., din care rezultă că s-a adresat acestei instituţii în vederea rectificării actelor numitei B3, cu privire la imobilul din ..., ... , dar că nu a precizat ce anume vrea să fie rectificat şi din ce cauză. De asemenea , a ataşat o adresă trimisă de Agenţia Naţională de Administrare Fiscală numitei B4 , o procură şi un contract de prestări servicii pe care I-a încheiat , alături de alte persoane , cu PFA B5 în vederea efectuării documentaţiei cadastrale pentru imobilul din ..., str. .. .</w:t>
      </w:r>
    </w:p>
    <w:p>
      <w:pPr>
        <w:pStyle w:val="Normal"/>
        <w:ind w:firstLine="1134"/>
        <w:jc w:val="both"/>
        <w:rPr>
          <w:b/>
        </w:rPr>
      </w:pPr>
      <w:r>
        <w:rPr/>
        <w:t>Din aceste acte rezultă că numita A1 nici nu are calitatea de proprietar al imobilului din ..., str. .. şi că persoana pe care o indică în plângere cu numele de B2 se numeşte în realitate B3.”</w:t>
      </w:r>
    </w:p>
    <w:p>
      <w:pPr>
        <w:pStyle w:val="Normal"/>
        <w:ind w:firstLine="1134"/>
        <w:jc w:val="both"/>
        <w:rPr>
          <w:b/>
        </w:rPr>
      </w:pPr>
      <w:r>
        <w:rPr>
          <w:b/>
        </w:rPr>
        <w:t xml:space="preserve">Împotriva acestei ordonanţe petenta R1  s-a adresat cu plângere la procurorul ierarhic superior care, prin ordonanţa nr.O1  din ... </w:t>
      </w:r>
      <w:r>
        <w:rPr>
          <w:b/>
          <w:color w:val="FF0000"/>
        </w:rPr>
        <w:t xml:space="preserve"> </w:t>
      </w:r>
      <w:r>
        <w:rPr>
          <w:b/>
        </w:rPr>
        <w:t>a dispus  respingerea ca neîntemeiată a plângerii formulate de numita R1 împotriva ordonanţei nr. D3 din data de ...a Parchetului de pe lângă Curtea de Apel ...</w:t>
      </w:r>
    </w:p>
    <w:p>
      <w:pPr>
        <w:pStyle w:val="Normal"/>
        <w:ind w:firstLine="1134"/>
        <w:jc w:val="both"/>
        <w:rPr>
          <w:b/>
        </w:rPr>
      </w:pPr>
      <w:r>
        <w:rPr>
          <w:rStyle w:val="FontStyle17"/>
          <w:i/>
        </w:rPr>
        <w:t xml:space="preserve">Pentru a dispune astfel, </w:t>
      </w:r>
      <w:r>
        <w:rPr>
          <w:i/>
        </w:rPr>
        <w:t>procurorul ierarhic superior a reţinut:</w:t>
      </w:r>
    </w:p>
    <w:p>
      <w:pPr>
        <w:pStyle w:val="Normal"/>
        <w:ind w:firstLine="1134"/>
        <w:jc w:val="both"/>
        <w:rPr>
          <w:b/>
        </w:rPr>
      </w:pPr>
      <w:r>
        <w:rPr/>
        <w:t>„</w:t>
      </w:r>
      <w:r>
        <w:rPr/>
        <w:t>La data de 24.05.2017, numita A1 a formulat plângere împotriva funcţionalilor de la Oficiul de Cadastru şi Publicitate Imobiliară ..., a numitei B2 şi a notarului public B1 ..., „pentru încheierea unor acte încheiate false".</w:t>
      </w:r>
    </w:p>
    <w:p>
      <w:pPr>
        <w:pStyle w:val="Normal"/>
        <w:ind w:firstLine="1134"/>
        <w:jc w:val="both"/>
        <w:rPr>
          <w:b/>
        </w:rPr>
      </w:pPr>
      <w:r>
        <w:rPr/>
        <w:t>Prin ordonanţa din data de ..., emisă în dosarul penal nr. D3 al Parchetului de pe lângă Curtea de Apel ... s-a dispus, în temeiul dispoziţiilor art. 314 alin. I lit. a, art. 315 alin. 1 lit. a C.pr.pen. clasarea cauzei penale având ca obiect plângerea numitei R1.</w:t>
      </w:r>
    </w:p>
    <w:p>
      <w:pPr>
        <w:pStyle w:val="Normal"/>
        <w:ind w:firstLine="1134"/>
        <w:jc w:val="both"/>
        <w:rPr>
          <w:b/>
        </w:rPr>
      </w:pPr>
      <w:r>
        <w:rPr/>
        <w:t>Soluţia a fost dispusă avându-se în vedere următoarele:</w:t>
      </w:r>
    </w:p>
    <w:p>
      <w:pPr>
        <w:pStyle w:val="Normal"/>
        <w:ind w:firstLine="1134"/>
        <w:jc w:val="both"/>
        <w:rPr>
          <w:b/>
        </w:rPr>
      </w:pPr>
      <w:r>
        <w:rPr/>
        <w:t>Numita A1 nu precizează care sunt actele întocmite de notarul public B1 ... şi de funcţionarii de la Oficiul de Cadastru şi Publicitate Imobiliară ... şi nu arată în ce constau faptele penale pentru care solicită tragerea la răspundere penală a acestora.</w:t>
      </w:r>
    </w:p>
    <w:p>
      <w:pPr>
        <w:pStyle w:val="Normal"/>
        <w:ind w:firstLine="1134"/>
        <w:jc w:val="both"/>
        <w:rPr>
          <w:b/>
        </w:rPr>
      </w:pPr>
      <w:r>
        <w:rPr/>
        <w:t>Numita A1 arată că a suferit un prejudiciu, dar nu precizează în ce constă acest prejudiciu.</w:t>
      </w:r>
    </w:p>
    <w:p>
      <w:pPr>
        <w:pStyle w:val="Normal"/>
        <w:ind w:firstLine="1134"/>
        <w:jc w:val="both"/>
        <w:rPr>
          <w:b/>
        </w:rPr>
      </w:pPr>
      <w:r>
        <w:rPr/>
        <w:t>La plângere a ataşat adresa cu nr.....9 din 31.03.2017 a Oficiul de Cadastru şi Publicitate Imobiliară ..., din care rezultă că s-a adresat acestei instituţii în vederea rectificării actelor numitei B3, cu privire la imobilul din ..., str......, dar că nu a precizat ce anume vrea să fie rectificat şi din ce cauză.</w:t>
        <w:tab/>
      </w:r>
    </w:p>
    <w:p>
      <w:pPr>
        <w:pStyle w:val="Normal"/>
        <w:ind w:firstLine="1134"/>
        <w:jc w:val="both"/>
        <w:rPr>
          <w:b/>
        </w:rPr>
      </w:pPr>
      <w:r>
        <w:rPr/>
        <w:t>De asemenea, a ataşat o adresă trimisă de Agenţia Naţională de Administrare Fiscală numitei B4, o procură şi un contract de prestări servicii pe care 1-a încheiat, alături de alte persoane, cu PFA B5 în vederea efectuării documentaţiei cadastrale pentru imobilul din ..., str. .. .</w:t>
      </w:r>
    </w:p>
    <w:p>
      <w:pPr>
        <w:pStyle w:val="Normal"/>
        <w:ind w:firstLine="1134"/>
        <w:jc w:val="both"/>
        <w:rPr>
          <w:b/>
        </w:rPr>
      </w:pPr>
      <w:r>
        <w:rPr/>
        <w:t>Împotriva ordonanţei din data de ... a formulat plângere numita R1; plângerea formulată conform prevederilor art. 339 C.pr.pen, este lacunară, neputându-se deduce motive de nelegalitate sau de netemeinicie a soluţiei de clasare. De altfel se constată şi că sesizarea iniţială nu este completă şi suficientă pentru a se proceda la începerea urmăririi penale.”</w:t>
      </w:r>
    </w:p>
    <w:p>
      <w:pPr>
        <w:pStyle w:val="Normal"/>
        <w:ind w:firstLine="1134"/>
        <w:jc w:val="both"/>
        <w:rPr>
          <w:b/>
        </w:rPr>
      </w:pPr>
      <w:r>
        <w:rPr>
          <w:b/>
        </w:rPr>
        <w:t xml:space="preserve">Împotriva  ordonanţei de clasare dispusă de procuror în dosarul nr. D3 al </w:t>
      </w:r>
      <w:r>
        <w:rPr>
          <w:b/>
          <w:color w:val="000000"/>
        </w:rPr>
        <w:t xml:space="preserve">Parchetului de pe lângă Curtea de Apel ... </w:t>
      </w:r>
      <w:r>
        <w:rPr>
          <w:b/>
        </w:rPr>
        <w:t>la data de ..., verificată şi menţinută prin ordonanţa procurorului ierarhic superior nr. O1  din ...  petenta R1  s-a adresat cu plângere la judecătorul de cameră preliminară de la Curtea de Apel ....</w:t>
      </w:r>
    </w:p>
    <w:p>
      <w:pPr>
        <w:pStyle w:val="Normal"/>
        <w:ind w:firstLine="1134"/>
        <w:jc w:val="both"/>
        <w:rPr>
          <w:b/>
        </w:rPr>
      </w:pPr>
      <w:r>
        <w:rPr>
          <w:i/>
        </w:rPr>
        <w:t>În cuprinsul plângerii formulate a susţinut următoarele:</w:t>
      </w:r>
    </w:p>
    <w:p>
      <w:pPr>
        <w:pStyle w:val="Normal"/>
        <w:ind w:firstLine="1134"/>
        <w:jc w:val="both"/>
        <w:rPr>
          <w:b/>
        </w:rPr>
      </w:pPr>
      <w:r>
        <w:rPr/>
        <w:t>A formulat plângere penală „împotriva notarului B1 ... din ..., împotriva Oficiului de Cadastru ..., cartea funciară, împotriva unor funcţionari şi împotriva Iui B2. din ..., str. ...., jud. .... Plângerea a formulat-o la organul de cercetare Parchetul ... şi a fost trimisa la Parchetul de pe lângă Curtea de Apel ...</w:t>
      </w:r>
    </w:p>
    <w:p>
      <w:pPr>
        <w:pStyle w:val="Normal"/>
        <w:ind w:firstLine="1134"/>
        <w:jc w:val="both"/>
        <w:rPr>
          <w:b/>
        </w:rPr>
      </w:pPr>
      <w:r>
        <w:rPr/>
        <w:t>Plângerea a formulat-o fiindcă a descoperit ca i s-a furat proprietatea, terenul meu (succesiune de la părinţi) din cartea funciara, cadastru din anul 2012. A fost încheiata succesiunea si cartea funciara , iar in anul 2016-2017 a descoperit când s-a prezentat sa plătească impozitul pe teren. La ghişeu a fost informata că nu are de plătit nimic, fiindcă cartea funciară este anulata (i s-a dezmembrat) de cadastru (funcţionarii) terenul său proprietate prin succesiune de la părinţi dezbătută si încheiata în anul 2012 când de fapt a devenit proprietara terenului. Si a aflat ca de fapt B2 care trăieşte cu nepotul său împreuna cu notară B1 ... din ... si sprijinita si de funcţionarii cadastrului (cărtii funciare) ... au făcut acte si i-au dezmembrat din cartea funciara terenul, i-au furat terenul din cartea funciara. Notara si funcţionarii de la cadastru au sprijinit-o pe B2 si au anulat Cartea sa funciara, furându-i terenul.</w:t>
      </w:r>
    </w:p>
    <w:p>
      <w:pPr>
        <w:pStyle w:val="Normal"/>
        <w:ind w:firstLine="1134"/>
        <w:jc w:val="both"/>
        <w:rPr>
          <w:b/>
        </w:rPr>
      </w:pPr>
      <w:r>
        <w:rPr/>
        <w:t>Iar prin ordonanţa nr. D3 si a procurorului general cu nr. D4 a Parchetului de pe lângă Curtea de Apel ... au soluţionat plângerea mea, clasând-o.</w:t>
      </w:r>
    </w:p>
    <w:p>
      <w:pPr>
        <w:pStyle w:val="Normal"/>
        <w:ind w:firstLine="1134"/>
        <w:jc w:val="both"/>
        <w:rPr>
          <w:b/>
        </w:rPr>
      </w:pPr>
      <w:r>
        <w:rPr/>
        <w:t>˝Fără  a face cercetări, ancheta, nu s-a făcut nici o urmărire penala asa cum ea a formulat plângerea si a  depus acte, documentaţie in susţinerea plângerii. Nu au făcut nici o verificare așa cum ar trebui sa procedeze organul de cercetare sau să fie invitata pentru a susţine cele menţionate în plângere.</w:t>
      </w:r>
    </w:p>
    <w:p>
      <w:pPr>
        <w:pStyle w:val="Normal"/>
        <w:ind w:firstLine="1134"/>
        <w:jc w:val="both"/>
        <w:rPr>
          <w:b/>
        </w:rPr>
      </w:pPr>
      <w:r>
        <w:rPr/>
        <w:t>Nu s-a efectuat si nu s-au respectat dispozițiile legale cazuri prevăzute de lege. Mai mult a fost restricţionată - lezata în drepturile sale, nu i s-a dat posibilitatea de a susţine plângerea. Nu a fost invitata, dar i se clasează plângerea fără suport legal.˝</w:t>
      </w:r>
    </w:p>
    <w:p>
      <w:pPr>
        <w:pStyle w:val="Normal"/>
        <w:ind w:firstLine="1134"/>
        <w:jc w:val="both"/>
        <w:rPr>
          <w:b/>
        </w:rPr>
      </w:pPr>
      <w:r>
        <w:rPr>
          <w:b/>
          <w:i/>
        </w:rPr>
        <w:t xml:space="preserve">Deliberând asupra plângerii formulate de petenta R1 , </w:t>
      </w:r>
      <w:r>
        <w:rPr/>
        <w:t>judecătorul de cameră preliminară</w:t>
      </w:r>
      <w:r>
        <w:rPr>
          <w:b/>
        </w:rPr>
        <w:t xml:space="preserve"> </w:t>
      </w:r>
      <w:r>
        <w:rPr/>
        <w:t>constată că aceasta este nefondată pentru următoarele motive:</w:t>
      </w:r>
    </w:p>
    <w:p>
      <w:pPr>
        <w:pStyle w:val="Normal"/>
        <w:ind w:firstLine="1134"/>
        <w:jc w:val="both"/>
        <w:rPr>
          <w:b/>
        </w:rPr>
      </w:pPr>
      <w:r>
        <w:rPr/>
        <w:t xml:space="preserve">Organul de urmărire penală a reţinut în mod corect incidenţa dispoziţiilor </w:t>
      </w:r>
      <w:r>
        <w:rPr>
          <w:b/>
        </w:rPr>
        <w:t>art. 315 alin. 1 lit. a Cod procedură penală</w:t>
      </w:r>
      <w:r>
        <w:rPr/>
        <w:t xml:space="preserve"> potrivit cărora procurorul dispune clasarea cauzei atunci când nu se poate începe urmărirea penală, întrucât nu sunt întrunite condiţiile de fond şi formă esenţiale ale sesizării.</w:t>
      </w:r>
    </w:p>
    <w:p>
      <w:pPr>
        <w:pStyle w:val="Normal"/>
        <w:ind w:firstLine="1134"/>
        <w:jc w:val="both"/>
        <w:rPr>
          <w:b/>
        </w:rPr>
      </w:pPr>
      <w:r>
        <w:rPr/>
        <w:t>Aşa cum lesne se poate constata, plângerea formulată de petenta R1 , care a format obiectului dosarului nr. D3  înregistrat la Parchetul de pe lângă Curtea de Apel ..., nu îndeplineşte condiţiile prevăzute de art. 289 alin.1 şi alin. 2 Cod procedură penală, nefiind descrise în niciun mod faptele pe care petenta a înţeles să le reclame. De asemenea, nu sunt indicate minimal mijloace de probă pe care înţelege să le folosească în sprijinul plângerii formulate.</w:t>
      </w:r>
    </w:p>
    <w:p>
      <w:pPr>
        <w:pStyle w:val="Normal"/>
        <w:ind w:firstLine="1134"/>
        <w:jc w:val="both"/>
        <w:rPr/>
      </w:pPr>
      <w:r>
        <w:rPr/>
        <w:t>Indicarea formală a unor fapte penale pretins comise de Notarul Public B1 ..., de funcționarii Oficiului de cadastru și Publicitate Imobiliară , împreună cu B2 ce ar consta în deposedarea de o proprietate neindividualizată,  fără a se indica o dată măcar aproximativă , fără a se arăta prin ce fapte concrete ,  prin  ce anume falsuri și pentru ce motive nu poate să învestească legal procurorul . Petenta R1 a făcut trimitere la actele ˝pe care le are˝ , atât în cuprinsul plângerii penale inițiale , cât și în cuprinsul plângerii adresate Procurorului General , acte pe care nu le-a depus</w:t>
      </w:r>
    </w:p>
    <w:p>
      <w:pPr>
        <w:pStyle w:val="Normal"/>
        <w:ind w:firstLine="1134"/>
        <w:jc w:val="both"/>
        <w:rPr>
          <w:b/>
        </w:rPr>
      </w:pPr>
      <w:r>
        <w:rPr/>
        <w:t>Chiar dacă Procurorul nu a restituit petentei plângerea penală în vederea completării , nici prin plângerea adresată Procurorului General și nici prin plângerea cu care a fost învestit judecătorul de cameră preliminară nu au fost indicate fapte obiective , concrete , apte să fie încadrate într-un tipar juridic normativ.</w:t>
      </w:r>
    </w:p>
    <w:p>
      <w:pPr>
        <w:pStyle w:val="Normal"/>
        <w:ind w:firstLine="1134"/>
        <w:jc w:val="both"/>
        <w:rPr>
          <w:b/>
        </w:rPr>
      </w:pPr>
      <w:r>
        <w:rPr/>
        <w:t>Judecătorul de cameră preliminară a încercat personal să înțeleagă ce anume reclamă petenta , ce o nemulțumește , care ar fi falsul făcut de notarul public și de ce susține petenta R1 că i-ar fi fost furată o proprietate . Petenta a făcut și în fața judecătorului de cameră preliminară aceleași afirmații ambigue  cu privire la faptul că i-ar fi fost furată moștenirea de la părinți.(anulat un cadastru făcut și plătit?)</w:t>
      </w:r>
    </w:p>
    <w:p>
      <w:pPr>
        <w:pStyle w:val="Normal"/>
        <w:ind w:firstLine="1134"/>
        <w:jc w:val="both"/>
        <w:rPr>
          <w:b/>
        </w:rPr>
      </w:pPr>
      <w:r>
        <w:rPr/>
        <w:t xml:space="preserve">Cum judecătorul de cameră preliminară nu poate dispune administrate unor probe noi , ci soluționează cauza pe baza înscrisurilor aflate la dosar și a înscrisurilor noi </w:t>
      </w:r>
      <w:r>
        <w:rPr>
          <w:u w:val="single"/>
        </w:rPr>
        <w:t xml:space="preserve">prezentate , s-a încercat a se lămuri dacă petenta mai deține înscrisuri din care să se poate deduce ce anume o nemulțumește. </w:t>
      </w:r>
    </w:p>
    <w:p>
      <w:pPr>
        <w:pStyle w:val="Normal"/>
        <w:ind w:firstLine="1134"/>
        <w:jc w:val="both"/>
        <w:rPr>
          <w:b/>
        </w:rPr>
      </w:pPr>
      <w:r>
        <w:rPr>
          <w:u w:val="single"/>
        </w:rPr>
        <w:t>Ori , petenta a arătat că a dorit să plătească impozitul pe terenul său primit moștenire de la părinți , dar a aflat că nu are nimic de plătit pentru că B2 , soția nepotului său , la data de 21.01.2015,  i-a anulat cadastrul său dovedit prin documentația existentă avizată cu referatul de admitere nr. ...9/07.06.2012 cu referire la cartea funciară nr. ....</w:t>
      </w:r>
    </w:p>
    <w:p>
      <w:pPr>
        <w:pStyle w:val="Normal"/>
        <w:ind w:firstLine="1134"/>
        <w:jc w:val="both"/>
        <w:rPr>
          <w:b/>
        </w:rPr>
      </w:pPr>
      <w:r>
        <w:rPr/>
        <w:t xml:space="preserve">Din înscrisurile depuse de petentă la dosarul cauzei rezultă că sub numărul cadastral ... în cartea funciară a localității ... a fost înscris imobilul situat în mun. ... , str. ..... , compus din teren și construcție . În baza certificatului de moștenitor nr. ///  din 09.02.2012 a fost înscris dreptul de proprietate asupra acestui imobil pentru B6 , R1 , B7 , B4 , drept dobândit prin succesiune , pe cote părți , în indiviziune. </w:t>
      </w:r>
    </w:p>
    <w:p>
      <w:pPr>
        <w:pStyle w:val="Normal"/>
        <w:ind w:firstLine="1134"/>
        <w:jc w:val="both"/>
        <w:rPr>
          <w:b/>
        </w:rPr>
      </w:pPr>
      <w:r>
        <w:rPr/>
        <w:t xml:space="preserve">De asemenea, rezultă că la cererea numitei R1, formulată în numele său și a celor de mai sus ,  a fost întocmită o documentație cadastrală în vederea dezmembrării imobilului în 2 loturi . </w:t>
      </w:r>
    </w:p>
    <w:p>
      <w:pPr>
        <w:pStyle w:val="Normal"/>
        <w:ind w:firstLine="1134"/>
        <w:jc w:val="both"/>
        <w:rPr>
          <w:b/>
        </w:rPr>
      </w:pPr>
      <w:r>
        <w:rPr/>
        <w:t>Din adresa întocmită de OCPI rezultă că existența documentației cadastrale s-a notat în cartea funciară , dar a fost radiată ulterior  și că nicio cerere de înscrisere în cartea funciară a imobilelor rezultate din dezmembrare nu a fost formulată.</w:t>
      </w:r>
    </w:p>
    <w:p>
      <w:pPr>
        <w:pStyle w:val="Normal"/>
        <w:ind w:firstLine="1134"/>
        <w:jc w:val="both"/>
        <w:rPr>
          <w:b/>
        </w:rPr>
      </w:pPr>
      <w:r>
        <w:rPr/>
        <w:t>Documentația cadastrală  de dezmembrare nu produce efecte juridice în ceea ce privește titularii dreptului de proprietate.</w:t>
      </w:r>
    </w:p>
    <w:p>
      <w:pPr>
        <w:pStyle w:val="Normal"/>
        <w:ind w:firstLine="1134"/>
        <w:jc w:val="both"/>
        <w:rPr>
          <w:b/>
        </w:rPr>
      </w:pPr>
      <w:r>
        <w:rPr/>
        <w:t>Din extrasul de carte funciară emis la data de 14.03.2017 de OCPI ... rezultă că R1 figurează ca proprietar tabular cu o cotă de 3/20 , sub A și cu o cotă de 3/40 sub A1.1. , cu aceleași cote figurând și la data de 19.06.2012 .</w:t>
      </w:r>
    </w:p>
    <w:p>
      <w:pPr>
        <w:pStyle w:val="Normal"/>
        <w:ind w:firstLine="1134"/>
        <w:jc w:val="both"/>
        <w:rPr>
          <w:b/>
        </w:rPr>
      </w:pPr>
      <w:r>
        <w:rPr/>
        <w:t xml:space="preserve">Trimiterea la extrasul de carte funciară și la cadastrul plătit de către petentă nu clarifică cu nimic situația sesizată de petentă . </w:t>
      </w:r>
    </w:p>
    <w:p>
      <w:pPr>
        <w:pStyle w:val="Normal"/>
        <w:ind w:firstLine="1134"/>
        <w:jc w:val="both"/>
        <w:rPr>
          <w:b/>
        </w:rPr>
      </w:pPr>
      <w:r>
        <w:rPr/>
        <w:t xml:space="preserve">Din extrasul de carte funciară menționat rezultă că există un contract încheiat la Biroul Notarial Public B1 ... în ianuarie 2015 , prin care B2 a cumpărat o cotă din bun , dar nu rezultă că R1 nu mai este proprietar pe cota sa. </w:t>
      </w:r>
    </w:p>
    <w:p>
      <w:pPr>
        <w:pStyle w:val="Normal"/>
        <w:ind w:firstLine="1134"/>
        <w:jc w:val="both"/>
        <w:rPr>
          <w:b/>
        </w:rPr>
      </w:pPr>
      <w:r>
        <w:rPr/>
        <w:t>Prezentarea numitei B3 , mama petentei , în fața Judecătorului de cameră preliminară , titular al unui drept real de uzufruct viager asupra aceluiași imobil,  pentru a spune că a fost la notar și că  nu a vândut nimic , nu lămurește cu nimic situația reclamată de R1 , care insistă în faptul ˝că a plătit un cadastru care i s-a anulat ˝și că nu renunță . (!)</w:t>
      </w:r>
    </w:p>
    <w:p>
      <w:pPr>
        <w:pStyle w:val="Normal"/>
        <w:ind w:firstLine="1134"/>
        <w:jc w:val="both"/>
        <w:rPr>
          <w:b/>
        </w:rPr>
      </w:pPr>
      <w:r>
        <w:rPr/>
        <w:t xml:space="preserve">I s-a explicat petentei că procurorul nu a înțeles în ce constau faptele sesizate și a fost lăsată să facă precizări , să lămurească conținutul plângerii pentru a edifica judecătorul asupra a ceea ce reclamă  . Cu toate acestea , nici verbal și nici în scris , dincolo de orice limbaj juridic ,  petenta nu a reușit să indice o faptă concretă , ca realitate obiectivă ilicită care ar fi fost comisă de Notarul Public reclamat, de funcționarii OC.P.I. ...  ori de B2. </w:t>
      </w:r>
    </w:p>
    <w:p>
      <w:pPr>
        <w:pStyle w:val="Normal"/>
        <w:ind w:firstLine="1134"/>
        <w:jc w:val="both"/>
        <w:rPr>
          <w:b/>
        </w:rPr>
      </w:pPr>
      <w:r>
        <w:rPr/>
        <w:t xml:space="preserve">Enumerarea unor încadrări juridice şi aprecierile subiective la adresa notarului , funcționarilor și a numitei B2  - ˝care , cu acte false , i-au anulat cadastrul său pentru care a plătit și pentru care are acte ˝ nu reprezintă sesizări care să învestească în mod legal organul judiciar și să poată produce efectul începerii urmăririi penale cu privire la faptă , în cadrul căreia procurorul să poată administra probe. </w:t>
      </w:r>
    </w:p>
    <w:p>
      <w:pPr>
        <w:pStyle w:val="Normal"/>
        <w:ind w:firstLine="1134"/>
        <w:jc w:val="both"/>
        <w:rPr>
          <w:b/>
        </w:rPr>
      </w:pPr>
      <w:r>
        <w:rPr/>
        <w:t>Analizând dispozițiile procedurale care reglementează actele de sesizare plângerea și denunțul , precum și normele procedurale aplicabile urmăririi penale , judecătorul de cameră preliminară constată că , spre deosebire de Codul de procedură penală anterior , actualul Cod tinde să introducă  o mai mare rigoare în modalitatea de formulare a actelor de sesizare.</w:t>
      </w:r>
    </w:p>
    <w:p>
      <w:pPr>
        <w:pStyle w:val="Normal"/>
        <w:ind w:firstLine="1134"/>
        <w:jc w:val="both"/>
        <w:rPr>
          <w:b/>
        </w:rPr>
      </w:pPr>
      <w:r>
        <w:rPr/>
        <w:t xml:space="preserve">Astfel , reglementând conținutul plângerii , art. 289 Cod procedură penală statuează că, alături de datele cerute pentru identificarea persoanei fizice – numele , prenumele , codul numeric personal , calitatea și domiciliul petiționarului - indicarea reprezentantului legal sau convențional care formulează plângerea – </w:t>
      </w:r>
      <w:r>
        <w:rPr>
          <w:u w:val="single"/>
        </w:rPr>
        <w:t>petiționarul trebuie să descrie fapta care formează obiectul plângerii și să indice făptuitorul și mijloacele de probă</w:t>
      </w:r>
      <w:r>
        <w:rPr/>
        <w:t xml:space="preserve"> , dacă sunt cunoscute. De menționat că legea nu obligă pe cel care a făcut plângerea să indice și încadrarea juridică , aceasta urmând a fi stabilită de organele judiciare . </w:t>
      </w:r>
    </w:p>
    <w:p>
      <w:pPr>
        <w:pStyle w:val="Normal"/>
        <w:ind w:firstLine="1134"/>
        <w:jc w:val="both"/>
        <w:rPr>
          <w:b/>
        </w:rPr>
      </w:pPr>
      <w:r>
        <w:rPr/>
        <w:t xml:space="preserve">Sub aspectul descrierii faptei , legiuitorul impune ca obligatorie </w:t>
      </w:r>
      <w:r>
        <w:rPr>
          <w:u w:val="single"/>
        </w:rPr>
        <w:t>prezentarea acesteia</w:t>
      </w:r>
      <w:r>
        <w:rPr/>
        <w:t xml:space="preserve"> , întrucât , după verificarea admisibilității , procurorul nu mai are posibilitatea legală de a efectua verificări prealabile , actele premergătoare nefiind prevăzute de lege . Procurorul nu are decât posibilitatea de a începe urmărirea penală- cu privire la faptă și a de a stabili cadrul legal în vederea respectării garanțiilor procesuale recunoscute părților și subiecților procesuali principali  sau de a dispune clasarea , dacă din cuprinsul sesizării rezultă vreunul dintre cazurile de împiedicare a exercitării acțiunii penale prevăzute de art. 16 alin. 1 Cod procedură penală . </w:t>
      </w:r>
    </w:p>
    <w:p>
      <w:pPr>
        <w:pStyle w:val="Normal"/>
        <w:ind w:firstLine="1134"/>
        <w:jc w:val="both"/>
        <w:rPr>
          <w:b/>
        </w:rPr>
      </w:pPr>
      <w:r>
        <w:rPr/>
        <w:t xml:space="preserve">Potrivit dispozițiilor procedurale înscrise în art. 305  Cod procedură penală , examinând sesizarea făcută potrivit dispozițiilor art. 289 Cod procedură penală , procurorul este obligat să înceapă urmărirea penală cu privire la faptă , </w:t>
      </w:r>
      <w:r>
        <w:rPr>
          <w:b/>
          <w:u w:val="single"/>
        </w:rPr>
        <w:t xml:space="preserve">numai în situația în care plângerea îndeplinește condițiile de fond și de formă , iar descrierea faptei este completă și clară . </w:t>
      </w:r>
    </w:p>
    <w:p>
      <w:pPr>
        <w:pStyle w:val="Normal"/>
        <w:ind w:firstLine="1134"/>
        <w:jc w:val="both"/>
        <w:rPr>
          <w:b/>
        </w:rPr>
      </w:pPr>
      <w:r>
        <w:rPr/>
        <w:t xml:space="preserve">În cauza de față , plângerea , astfel cum a fost formulată și precizată în mod repetat de către petentă nu poate produce efectul începerii urmăririi penale și efectuării anchetei pe care o dorește petenta R1 întrucât plângerea nu îndeplinește condițiile de fond și formă prescrise de lege , nefiind descrise , nefiind prezentate faptele care ar fi prejudiciat petenta R1 și prejudiciul care i-ar fi fost produs acesteia. </w:t>
      </w:r>
    </w:p>
    <w:p>
      <w:pPr>
        <w:pStyle w:val="Normal"/>
        <w:ind w:firstLine="1134"/>
        <w:jc w:val="both"/>
        <w:rPr>
          <w:b/>
        </w:rPr>
      </w:pPr>
      <w:r>
        <w:rPr/>
        <w:t xml:space="preserve">Faţă de considerentele prezentate mai sus, în temeiul dispoziţiilor 341 aliniatul 6 Cod procedură penală , se va  </w:t>
      </w:r>
      <w:r>
        <w:rPr>
          <w:b/>
        </w:rPr>
        <w:t xml:space="preserve">respinge ca nefondată  plângerea formulată de petenta R1 ,  C.N.P. ..., </w:t>
      </w:r>
      <w:r>
        <w:rPr/>
        <w:t xml:space="preserve">domiciliată în mun. ... , Str. ..., județul ... , împotriva soluției de netrimitere în judecată emise de Parchetul de pe lângă Curtea de Apel ... în dosarul penal nr. D3 , soluție dispusă prin ordonanța  de clasare nr. D3  din  ...  , menținută prin ordonanța nr.O1  din ... , ambele date de Parchetul de pe lângă Curtea de Apel .... </w:t>
      </w:r>
    </w:p>
    <w:p>
      <w:pPr>
        <w:pStyle w:val="Normal"/>
        <w:ind w:firstLine="1134"/>
        <w:jc w:val="both"/>
        <w:rPr>
          <w:b/>
        </w:rPr>
      </w:pPr>
      <w:r>
        <w:rPr/>
        <w:t>Constatând culpa procesuală a petentei , în temeiul dispoziţiilor art. 275 aliniatul 2 Cod procedură penală se va dispune obligarea  petentei R1 la plata sumei de 200 de lei către stat , cu titlul de cheltuieli judiciare avansate de stat.”</w:t>
      </w:r>
    </w:p>
    <w:p>
      <w:pPr>
        <w:pStyle w:val="Normal"/>
        <w:ind w:firstLine="1080"/>
        <w:jc w:val="both"/>
        <w:rPr/>
      </w:pPr>
      <w:r>
        <w:rPr/>
      </w:r>
    </w:p>
    <w:p>
      <w:pPr>
        <w:pStyle w:val="Normal"/>
        <w:ind w:firstLine="1080"/>
        <w:jc w:val="both"/>
        <w:rPr/>
      </w:pPr>
      <w:r>
        <w:rPr/>
      </w:r>
    </w:p>
    <w:p>
      <w:pPr>
        <w:pStyle w:val="Normal"/>
        <w:ind w:firstLine="1080"/>
        <w:jc w:val="both"/>
        <w:rPr/>
      </w:pPr>
      <w:r>
        <w:rPr>
          <w:b/>
        </w:rPr>
        <w:t>Curtea arată că, în drept</w:t>
      </w:r>
      <w:r>
        <w:rPr/>
        <w:t xml:space="preserve">, potrivit art. 453 alin. 1 Cod de procedură penală, revizuirea unei hotărâri definitive poate fi cerută: </w:t>
      </w:r>
    </w:p>
    <w:p>
      <w:pPr>
        <w:pStyle w:val="Normal"/>
        <w:jc w:val="both"/>
        <w:rPr/>
      </w:pPr>
      <w:r>
        <w:rPr/>
        <w:t xml:space="preserve">a) </w:t>
        <w:tab/>
        <w:t>s-au descoperit fapte sau împrejurări ce nu au fost cunoscute la soluţionarea cauzei şi care dovedesc netemeinicia hotărârii pronunţate în cauză;</w:t>
      </w:r>
    </w:p>
    <w:p>
      <w:pPr>
        <w:pStyle w:val="Normal"/>
        <w:jc w:val="both"/>
        <w:rPr>
          <w:b/>
        </w:rPr>
      </w:pPr>
      <w:r>
        <w:rPr>
          <w:b/>
        </w:rPr>
        <w:t>b)</w:t>
      </w:r>
      <w:r>
        <w:rPr/>
        <w:t xml:space="preserve"> </w:t>
        <w:tab/>
        <w:t>hotărârea a cărei revizuire se cere s-a întemeiat pe declaraţia unui martor, opinia unui expert sau pe situaţiile învederate de un interpret, care a săvârşit infracţiunea de mărturie mincinoasă în cauza a cărei revizuire se cere, influenţând astfel soluţia pronunţată;</w:t>
      </w:r>
    </w:p>
    <w:p>
      <w:pPr>
        <w:pStyle w:val="Normal"/>
        <w:jc w:val="both"/>
        <w:rPr>
          <w:b/>
        </w:rPr>
      </w:pPr>
      <w:r>
        <w:rPr>
          <w:b/>
        </w:rPr>
        <w:t>c)</w:t>
      </w:r>
      <w:r>
        <w:rPr/>
        <w:t xml:space="preserve"> </w:t>
        <w:tab/>
        <w:t>un înscris care a servit ca temei al hotărârii a cărei revizuire se cere a fost declarat fals în cursul judecăţii sau după pronunţarea hotărârii, împrejurare care a influenţat soluţia pronunţată în cauză;</w:t>
      </w:r>
    </w:p>
    <w:p>
      <w:pPr>
        <w:pStyle w:val="Normal"/>
        <w:jc w:val="both"/>
        <w:rPr>
          <w:b/>
        </w:rPr>
      </w:pPr>
      <w:r>
        <w:rPr>
          <w:b/>
        </w:rPr>
        <w:t>d)</w:t>
      </w:r>
      <w:r>
        <w:rPr/>
        <w:t xml:space="preserve"> </w:t>
        <w:tab/>
        <w:t>un membru al completului de judecată, procurorul ori persoana care a efectuat acte de urmărire penală a comis o infracţiune în legătură cu cauza a cărei revizuire se cere, împrejurare care a influenţat soluţia pronunţată în cauză;</w:t>
      </w:r>
    </w:p>
    <w:p>
      <w:pPr>
        <w:pStyle w:val="Normal"/>
        <w:jc w:val="both"/>
        <w:rPr>
          <w:b/>
        </w:rPr>
      </w:pPr>
      <w:r>
        <w:rPr>
          <w:b/>
        </w:rPr>
        <w:t>e)</w:t>
      </w:r>
      <w:r>
        <w:rPr/>
        <w:t xml:space="preserve"> </w:t>
        <w:tab/>
        <w:t>când două sau mai multe hotărâri judecătoreşti definitive nu se pot concilia;</w:t>
      </w:r>
    </w:p>
    <w:p>
      <w:pPr>
        <w:pStyle w:val="Normal"/>
        <w:jc w:val="both"/>
        <w:rPr>
          <w:b/>
        </w:rPr>
      </w:pPr>
      <w:r>
        <w:rPr>
          <w:b/>
        </w:rPr>
        <w:t>f)</w:t>
      </w:r>
      <w:r>
        <w:rPr/>
        <w:t xml:space="preserve"> </w:t>
        <w:tab/>
        <w:t>hotărârea s-a întemeiat pe o prevedere legală care, după ce hotărârea a devenit definitivă, a fost declarată neconstituțională ca urmare a admiterii unei excepții de neconstituționalitate ridicate în acea cauză, în situaţia în care consecinţele încălcării dispoziţiei constituţionale continuă să se producă şi nu pot fi remediate decât prin revizuirea hotărârii pronunţate.</w:t>
      </w:r>
    </w:p>
    <w:p>
      <w:pPr>
        <w:pStyle w:val="Normal"/>
        <w:ind w:firstLine="1080"/>
        <w:jc w:val="both"/>
        <w:rPr>
          <w:rFonts w:ascii="Arial Narrow" w:hAnsi="Arial Narrow"/>
        </w:rPr>
      </w:pPr>
      <w:r>
        <w:rPr>
          <w:rFonts w:ascii="Arial Narrow" w:hAnsi="Arial Narrow"/>
        </w:rPr>
      </w:r>
    </w:p>
    <w:p>
      <w:pPr>
        <w:pStyle w:val="Normal"/>
        <w:ind w:firstLine="1080"/>
        <w:jc w:val="both"/>
        <w:rPr>
          <w:b/>
        </w:rPr>
      </w:pPr>
      <w:r>
        <w:rPr/>
        <w:t xml:space="preserve">Pentru a se conferi activităţii de înfăptuire a justiţiei un caracter de stabilitate s-a decis că </w:t>
      </w:r>
      <w:r>
        <w:rPr>
          <w:b/>
        </w:rPr>
        <w:t>hotărârile judecătoreşti definitive</w:t>
      </w:r>
      <w:r>
        <w:rPr/>
        <w:t xml:space="preserve"> sunt executorii şi au autoritate de lucru judecat. Autoritatea de lucru judecat este considerată ca fiind acel principiu care nu permite declanşarea unei noi judecăţi cu privire la aceeaşi faptă şi aceeaşi persoană, dacă acestea au făcut obiectul unei judecăţi pentru care s-a pronunţat o hotărâre definitivă. </w:t>
      </w:r>
    </w:p>
    <w:p>
      <w:pPr>
        <w:pStyle w:val="Normal"/>
        <w:ind w:firstLine="1080"/>
        <w:jc w:val="both"/>
        <w:rPr>
          <w:b/>
        </w:rPr>
      </w:pPr>
      <w:r>
        <w:rPr/>
        <w:t>În virtutea autorităţii de lucru judecat, hotărârea judecătorească penală este considerată ca o expresie a adevărului (</w:t>
      </w:r>
      <w:r>
        <w:rPr>
          <w:i/>
        </w:rPr>
        <w:t>res judicata pro veritate habetur</w:t>
      </w:r>
      <w:r>
        <w:rPr/>
        <w:t>). Cu toate acestea, în practică a reieşit că, în anumite situaţii, chiar hotărârile judecătoreşti rămase definitive sunt nelegale şi netemeinice, motiv pentru care în Codul de procedură penală s-au reglementat căile extraordinare de atac, ca remedii procesuale menite a repara erorile pe care le conţin hotărârile judecătoreşti penale rămase definitive.</w:t>
      </w:r>
    </w:p>
    <w:p>
      <w:pPr>
        <w:pStyle w:val="Normal"/>
        <w:ind w:firstLine="1080"/>
        <w:jc w:val="both"/>
        <w:rPr>
          <w:b/>
        </w:rPr>
      </w:pPr>
      <w:r>
        <w:rPr/>
        <w:t>În această categorie de remedii procesuale se încadrează şi revizuirea, cale de atac extraordinară, prin care pot fi atacate hotărârile judecătoreşti definitive care conţin grave erori de fapt. Prin revizuire se urmăreşte o reexaminare în fapt a cauzei penale.</w:t>
      </w:r>
    </w:p>
    <w:p>
      <w:pPr>
        <w:pStyle w:val="Normal"/>
        <w:ind w:firstLine="1080"/>
        <w:jc w:val="both"/>
        <w:rPr>
          <w:b/>
        </w:rPr>
      </w:pPr>
      <w:r>
        <w:rPr>
          <w:b/>
        </w:rPr>
      </w:r>
    </w:p>
    <w:p>
      <w:pPr>
        <w:pStyle w:val="Normal"/>
        <w:ind w:firstLine="1080"/>
        <w:jc w:val="both"/>
        <w:rPr/>
      </w:pPr>
      <w:r>
        <w:rPr/>
        <w:t>Conform art. 459 alin. 3 Cod de procedură penală, în vederea admiterii în principiu, instanţa examinează dacă:</w:t>
      </w:r>
    </w:p>
    <w:p>
      <w:pPr>
        <w:pStyle w:val="Normal"/>
        <w:jc w:val="both"/>
        <w:rPr/>
      </w:pPr>
      <w:r>
        <w:rPr>
          <w:b/>
        </w:rPr>
        <w:t>a)</w:t>
      </w:r>
      <w:r>
        <w:rPr/>
        <w:t xml:space="preserve"> </w:t>
        <w:tab/>
        <w:t>cererea a fost formulată în termen şi de o persoană dintre cele prevăzute la art. 455;</w:t>
      </w:r>
    </w:p>
    <w:p>
      <w:pPr>
        <w:pStyle w:val="Normal"/>
        <w:jc w:val="both"/>
        <w:rPr/>
      </w:pPr>
      <w:r>
        <w:rPr>
          <w:b/>
        </w:rPr>
        <w:t>b)</w:t>
      </w:r>
      <w:r>
        <w:rPr/>
        <w:t xml:space="preserve"> </w:t>
        <w:tab/>
        <w:t>cererea a fost întocmită cu respectarea prevederilor art. 456 alin. (2) şi (3);</w:t>
      </w:r>
    </w:p>
    <w:p>
      <w:pPr>
        <w:pStyle w:val="Normal"/>
        <w:jc w:val="both"/>
        <w:rPr/>
      </w:pPr>
      <w:r>
        <w:rPr>
          <w:b/>
        </w:rPr>
        <w:t>c)</w:t>
      </w:r>
      <w:r>
        <w:rPr/>
        <w:t xml:space="preserve"> </w:t>
        <w:tab/>
        <w:t>au fost invocate temeiuri legale pentru redeschiderea procedurilor penale;</w:t>
      </w:r>
    </w:p>
    <w:p>
      <w:pPr>
        <w:pStyle w:val="Normal"/>
        <w:jc w:val="both"/>
        <w:rPr/>
      </w:pPr>
      <w:r>
        <w:rPr>
          <w:b/>
        </w:rPr>
        <w:t>d)</w:t>
      </w:r>
      <w:r>
        <w:rPr/>
        <w:t xml:space="preserve"> </w:t>
        <w:tab/>
        <w:t>faptele şi mijloacele de probă în baza cărora este formulată cererea nu au fost prezentate într-o cerere anterioară de revizuire care a fost judecată definitiv;</w:t>
      </w:r>
    </w:p>
    <w:p>
      <w:pPr>
        <w:pStyle w:val="Normal"/>
        <w:jc w:val="both"/>
        <w:rPr/>
      </w:pPr>
      <w:r>
        <w:rPr>
          <w:b/>
        </w:rPr>
        <w:t>e)</w:t>
      </w:r>
      <w:r>
        <w:rPr/>
        <w:t xml:space="preserve"> </w:t>
        <w:tab/>
        <w:t>faptele şi mijloacele de probă în baza cărora este formulată cererea conduc, în mod evident, la stabilirea existenţei unor temeiuri legale ce permit revizuirea;</w:t>
      </w:r>
    </w:p>
    <w:p>
      <w:pPr>
        <w:pStyle w:val="Normal"/>
        <w:jc w:val="both"/>
        <w:rPr/>
      </w:pPr>
      <w:r>
        <w:rPr>
          <w:b/>
        </w:rPr>
        <w:t>f)</w:t>
      </w:r>
      <w:r>
        <w:rPr/>
        <w:t xml:space="preserve"> </w:t>
        <w:tab/>
        <w:t>persoana care a formulat cererea s-a conformat cerinţelor instanţei dispuse potrivit art. 456 alin. (4).</w:t>
      </w:r>
    </w:p>
    <w:p>
      <w:pPr>
        <w:pStyle w:val="Normal"/>
        <w:jc w:val="both"/>
        <w:rPr/>
      </w:pPr>
      <w:r>
        <w:rPr/>
      </w:r>
    </w:p>
    <w:p>
      <w:pPr>
        <w:pStyle w:val="Normal"/>
        <w:ind w:firstLine="1080"/>
        <w:jc w:val="both"/>
        <w:rPr/>
      </w:pPr>
      <w:r>
        <w:rPr/>
        <w:t xml:space="preserve">În sensul dispozițiilor art. 452 Cod de procedură penală, hotărârile supuse revizuirii sunt </w:t>
      </w:r>
      <w:r>
        <w:rPr>
          <w:i/>
        </w:rPr>
        <w:t>hotărâri pronunțate de o instanță penală</w:t>
      </w:r>
      <w:r>
        <w:rPr/>
        <w:t xml:space="preserve"> (rămase definitive prin exercitarea căii/căilor ordinare de atac sau după expirarea termenului de exercitare a unei astfel de căi, conform art. 551 Cod de procedură penală), indiferent că vizează latura penală sau latura civilă a cauzei (în acest ultim caz, potrivit art. 509 Cod de procedură civilă) ori hotărârea în întregime.</w:t>
      </w:r>
    </w:p>
    <w:p>
      <w:pPr>
        <w:pStyle w:val="Normal"/>
        <w:ind w:firstLine="1080"/>
        <w:jc w:val="both"/>
        <w:rPr/>
      </w:pPr>
      <w:r>
        <w:rPr/>
        <w:t xml:space="preserve">De asemenea, textul vizează hotărârile judecătorești definitive </w:t>
      </w:r>
      <w:r>
        <w:rPr>
          <w:i/>
        </w:rPr>
        <w:t>prin care s-a rezolvat fondul cauzei</w:t>
      </w:r>
      <w:r>
        <w:rPr/>
        <w:t xml:space="preserve">, deoarece </w:t>
      </w:r>
      <w:r>
        <w:rPr>
          <w:lang w:val="en-US"/>
        </w:rPr>
        <w:t>“</w:t>
      </w:r>
      <w:r>
        <w:rPr/>
        <w:t>finalitatea revizuirii constă în înlăturarea erorii judiciare, iar funcția procesuală a instituției se concentrează în înlesnirea descoperirii, adunarea și aducerea în fața justiției a unui material probator cu totul inedit sau cel puțin necunoscut instanței, care să permită constatarea erorii judiciare și înlăturarea ei” (</w:t>
      </w:r>
      <w:r>
        <w:rPr>
          <w:b/>
        </w:rPr>
        <w:t>...</w:t>
      </w:r>
      <w:r>
        <w:rPr/>
        <w:t xml:space="preserve">, </w:t>
      </w:r>
      <w:r>
        <w:rPr>
          <w:i/>
        </w:rPr>
        <w:t>Tratat de procedură penală. Partea specială</w:t>
      </w:r>
      <w:r>
        <w:rPr/>
        <w:t xml:space="preserve">, vol. II, 1998, p. 337 citat de </w:t>
      </w:r>
      <w:r>
        <w:rPr>
          <w:b/>
        </w:rPr>
        <w:t>...</w:t>
      </w:r>
      <w:r>
        <w:rPr/>
        <w:t xml:space="preserve"> în </w:t>
      </w:r>
      <w:r>
        <w:rPr>
          <w:b/>
        </w:rPr>
        <w:t>... (coord.),</w:t>
      </w:r>
      <w:r>
        <w:rPr/>
        <w:t xml:space="preserve"> </w:t>
      </w:r>
      <w:r>
        <w:rPr>
          <w:i/>
        </w:rPr>
        <w:t>Codul de procedură penală, comentariu pe articole</w:t>
      </w:r>
      <w:r>
        <w:rPr/>
        <w:t>, Editura ..., ..., 2015,, p. 1120).</w:t>
      </w:r>
    </w:p>
    <w:p>
      <w:pPr>
        <w:pStyle w:val="Normal"/>
        <w:ind w:firstLine="1080"/>
        <w:jc w:val="both"/>
        <w:rPr/>
      </w:pPr>
      <w:r>
        <w:rPr/>
        <w:t xml:space="preserve">În același sens, instanța supremă a statuat că </w:t>
      </w:r>
      <w:r>
        <w:rPr>
          <w:i/>
        </w:rPr>
        <w:t>revizuirea constituie o cale extraordinară de atac care poate fi exercitată împotriva hotărârilor judecătorești definitive pronunțate de instanțele penale, având caracterul unei căi de atac de retractare care permite instanței penale să revină asupra propriei sale hotărâri și, în același timp, caracterul unei căi de atac de fapt, prin care sunt constatate și înlăturate erorile judiciare în rezolvarea cauzelor penale. Revizuirea se formulează împotriva unei hotărâri care a dobândit autoritate de lucru judecat, în temeiul unor fapte sau împrejurări ce nu au fost cunoscute de instanță la soluționarea cauzei, descoperite după judecată și care fac dovada că aceasta se întemeiază pe o eroare judiciară</w:t>
      </w:r>
      <w:r>
        <w:rPr/>
        <w:t>. (</w:t>
      </w:r>
      <w:r>
        <w:rPr>
          <w:i/>
        </w:rPr>
        <w:t>Î.C.C.J., Secțiile Unite, Decizia nr. 9/2011, publicată în Monitorul Oficial nr. 717 din 12 octombrie 2011</w:t>
      </w:r>
      <w:r>
        <w:rPr/>
        <w:t>).</w:t>
      </w:r>
    </w:p>
    <w:p>
      <w:pPr>
        <w:pStyle w:val="Normal"/>
        <w:ind w:firstLine="1080"/>
        <w:jc w:val="both"/>
        <w:rPr/>
      </w:pPr>
      <w:r>
        <w:rPr/>
      </w:r>
    </w:p>
    <w:p>
      <w:pPr>
        <w:pStyle w:val="Normal"/>
        <w:ind w:firstLine="1080"/>
        <w:jc w:val="both"/>
        <w:rPr/>
      </w:pPr>
      <w:r>
        <w:rPr/>
        <w:t>Pot fi atacate cu revizuire numai hotărârile definitive prin care s-a soluționat fondul cauzei, prin condamnare, achitare sau încetarea procesului penal. Cererea de revizuire îndreptată împotriva altei hotărâri definitive este inadmisibilă. (</w:t>
      </w:r>
      <w:r>
        <w:rPr>
          <w:i/>
        </w:rPr>
        <w:t>Î.C.C.J., Completul de 9 judecători, Decizia nr. 42 din 14 februarie 2005</w:t>
      </w:r>
      <w:r>
        <w:rPr/>
        <w:t xml:space="preserve"> și </w:t>
      </w:r>
      <w:r>
        <w:rPr>
          <w:i/>
        </w:rPr>
        <w:t xml:space="preserve">Î.C.C.J., Completul de 9 judecători, Decizia nr. 21 din 23 ianuarie 2006, </w:t>
      </w:r>
      <w:hyperlink r:id="rId2">
        <w:r>
          <w:rPr>
            <w:rStyle w:val="Hyperlink"/>
            <w:b/>
            <w:i/>
            <w:color w:val="auto"/>
            <w:u w:val="none"/>
          </w:rPr>
          <w:t>www.scj.ro</w:t>
        </w:r>
      </w:hyperlink>
      <w:r>
        <w:rPr/>
        <w:t>).</w:t>
      </w:r>
    </w:p>
    <w:p>
      <w:pPr>
        <w:pStyle w:val="Normal"/>
        <w:ind w:firstLine="1080"/>
        <w:jc w:val="both"/>
        <w:rPr/>
      </w:pPr>
      <w:r>
        <w:rPr/>
        <w:t>Cererea de revizuire îndreptată împotriva unei hotărâri judecătorești definitive pronunțate în temeiul art. 278 indice 1 alin. 8 lit. a) și b) Cod de procedură penală din 1968 (hotărâri pronunțate în procedura plângerii împotriva soluțiilor procurorului de neurmărire sau netrimitere în judecată, având drept corespondent ipotezele de la art. 341 alin. 6 și 7 pct. 1 și pct. 2 lit. a) și b) Noul Cod de procedură penală) este inadmisibilă (</w:t>
      </w:r>
      <w:r>
        <w:rPr>
          <w:i/>
        </w:rPr>
        <w:t>Î.C.C.J., Secțiile Unite, Decizia nr. 17 din 19 martie 2007, publicată în Monitorul Oficial nr. 542/17 iulie 2008</w:t>
      </w:r>
      <w:r>
        <w:rPr/>
        <w:t>).</w:t>
      </w:r>
    </w:p>
    <w:p>
      <w:pPr>
        <w:pStyle w:val="Normal"/>
        <w:ind w:firstLine="1080"/>
        <w:jc w:val="both"/>
        <w:rPr/>
      </w:pPr>
      <w:r>
        <w:rPr/>
      </w:r>
    </w:p>
    <w:p>
      <w:pPr>
        <w:pStyle w:val="Normal"/>
        <w:ind w:firstLine="1080"/>
        <w:jc w:val="both"/>
        <w:rPr>
          <w:lang w:val="en-US"/>
        </w:rPr>
      </w:pPr>
      <w:r>
        <w:rPr/>
        <w:t xml:space="preserve">În consecință, </w:t>
      </w:r>
      <w:r>
        <w:rPr>
          <w:b/>
        </w:rPr>
        <w:t>nu vor face obiectul revizuirii</w:t>
      </w:r>
      <w:r>
        <w:rPr/>
        <w:t xml:space="preserve"> hotărârile prin care nu s-a rezolvat fondul cauzei, cum ar fi hotărârile de dezînvestire a instanței, </w:t>
      </w:r>
      <w:r>
        <w:rPr>
          <w:b/>
        </w:rPr>
        <w:t xml:space="preserve">hotărârile prin care au fost soluționate plângeri împotriva soluției procurorului </w:t>
      </w:r>
      <w:r>
        <w:rPr/>
        <w:t xml:space="preserve">(cu excepția cazului în care o astfel de plângere a fost admisă și instanța a reținut cauza spre judecare, potrivit art. 341 alin. 7 pct. 2 lit. c Cod de procedură penală), hotărârile pronunțate în conflicte de competență, în contestații la executare, cele privind reabilitarea, etc. [în același sens, </w:t>
      </w:r>
      <w:r>
        <w:rPr>
          <w:i/>
        </w:rPr>
        <w:t>Curtea de Apel București, secția a II-a penală, decizia penală nr. 933/2014</w:t>
      </w:r>
      <w:r>
        <w:rPr/>
        <w:t>].</w:t>
      </w:r>
    </w:p>
    <w:p>
      <w:pPr>
        <w:pStyle w:val="Normal"/>
        <w:ind w:firstLine="1080"/>
        <w:jc w:val="both"/>
        <w:rPr/>
      </w:pPr>
      <w:r>
        <w:rPr/>
        <w:t>De asemenea, nu pot face obiectul revizuirii nici hotărârile judecătorești care nu au fost pronunțate de o instanță română, deoarece nu aceasta a rezolvat fondul cauzei [</w:t>
      </w:r>
      <w:r>
        <w:rPr>
          <w:b/>
        </w:rPr>
        <w:t xml:space="preserve">N. ..., </w:t>
      </w:r>
      <w:r>
        <w:rPr>
          <w:i/>
        </w:rPr>
        <w:t>Tratat de procedură penală. Partea specială,</w:t>
      </w:r>
      <w:r>
        <w:rPr/>
        <w:t xml:space="preserve"> vol. II, 1998, p. 337 citat de </w:t>
      </w:r>
      <w:r>
        <w:rPr>
          <w:b/>
        </w:rPr>
        <w:t xml:space="preserve">... </w:t>
      </w:r>
      <w:r>
        <w:rPr/>
        <w:t xml:space="preserve">în </w:t>
      </w:r>
      <w:r>
        <w:rPr>
          <w:b/>
          <w:i/>
        </w:rPr>
        <w:t>... (coord.)</w:t>
      </w:r>
      <w:r>
        <w:rPr>
          <w:b/>
        </w:rPr>
        <w:t>,</w:t>
      </w:r>
      <w:r>
        <w:rPr/>
        <w:t xml:space="preserve"> </w:t>
      </w:r>
      <w:r>
        <w:rPr>
          <w:i/>
        </w:rPr>
        <w:t>Codul de procedură penală, comentariu pe articole,</w:t>
      </w:r>
      <w:r>
        <w:rPr/>
        <w:t xml:space="preserve"> ediția a 2-a, Editura ..., ..., 2017, p. 1176 și jurisprudența indicată – </w:t>
      </w:r>
      <w:r>
        <w:rPr>
          <w:i/>
        </w:rPr>
        <w:t>Înalta Curte de Casație și Justiție, Secția penală, decizia nr. 76 din 1 martie 2016</w:t>
      </w:r>
      <w:r>
        <w:rPr/>
        <w:t xml:space="preserve"> și </w:t>
      </w:r>
      <w:r>
        <w:rPr>
          <w:i/>
        </w:rPr>
        <w:t>Înalta Curte de Casație și Justiție, Secția penală, decizia nr. 63/A din 19 februarie 2016</w:t>
      </w:r>
      <w:r>
        <w:rPr/>
        <w:t>].</w:t>
      </w:r>
    </w:p>
    <w:p>
      <w:pPr>
        <w:pStyle w:val="Normal"/>
        <w:ind w:firstLine="1134"/>
        <w:jc w:val="both"/>
        <w:rPr/>
      </w:pPr>
      <w:r>
        <w:rPr/>
      </w:r>
    </w:p>
    <w:p>
      <w:pPr>
        <w:pStyle w:val="Normal"/>
        <w:ind w:firstLine="1134"/>
        <w:jc w:val="both"/>
        <w:rPr/>
      </w:pPr>
      <w:r>
        <w:rPr/>
      </w:r>
    </w:p>
    <w:p>
      <w:pPr>
        <w:pStyle w:val="Normal"/>
        <w:ind w:firstLine="1134"/>
        <w:jc w:val="both"/>
        <w:rPr/>
      </w:pPr>
      <w:r>
        <w:rPr>
          <w:b/>
        </w:rPr>
        <w:t>Față de considerentele anterior expuse,</w:t>
      </w:r>
      <w:r>
        <w:rPr/>
        <w:t xml:space="preserve"> în baza dispozițiilor art. 459 alin. 5 Cod procedură penală în referire la art. 453 Cod procedură penală, va respinge, </w:t>
      </w:r>
      <w:r>
        <w:rPr>
          <w:i/>
        </w:rPr>
        <w:t>ca inadmisibilă în principiu</w:t>
      </w:r>
      <w:r>
        <w:rPr/>
        <w:t xml:space="preserve">, cererea de </w:t>
      </w:r>
      <w:r>
        <w:rPr>
          <w:b/>
        </w:rPr>
        <w:t>revizuire</w:t>
      </w:r>
      <w:r>
        <w:rPr/>
        <w:t xml:space="preserve"> formulată de revizuenta </w:t>
      </w:r>
      <w:r>
        <w:rPr>
          <w:b/>
        </w:rPr>
        <w:t>R1</w:t>
      </w:r>
      <w:r>
        <w:rPr/>
        <w:t xml:space="preserve"> împotriva </w:t>
      </w:r>
      <w:r>
        <w:rPr>
          <w:b/>
        </w:rPr>
        <w:t>Încheierii penale nr. IP1</w:t>
      </w:r>
      <w:r>
        <w:rPr/>
        <w:t xml:space="preserve"> pronunțată de </w:t>
      </w:r>
      <w:r>
        <w:rPr>
          <w:b/>
        </w:rPr>
        <w:t>judecătorul de cameră preliminară Curtea de Apel ..,</w:t>
      </w:r>
      <w:r>
        <w:rPr/>
        <w:t xml:space="preserve"> în dosarul nr. D2.</w:t>
      </w:r>
    </w:p>
    <w:p>
      <w:pPr>
        <w:pStyle w:val="Normal"/>
        <w:ind w:firstLine="1134"/>
        <w:jc w:val="both"/>
        <w:rPr/>
      </w:pPr>
      <w:r>
        <w:rPr>
          <w:u w:val="single"/>
        </w:rPr>
        <w:t>Constatând culpa procesuală a revizuentei</w:t>
      </w:r>
      <w:r>
        <w:rPr/>
        <w:t xml:space="preserve">, în temeiul dispoziţiilor art. 275 alin. 2 Cod procedură penală, va obliga pe revizuenta </w:t>
      </w:r>
      <w:r>
        <w:rPr>
          <w:b/>
        </w:rPr>
        <w:t>R1</w:t>
      </w:r>
      <w:r>
        <w:rPr/>
        <w:t xml:space="preserve"> la plata cheltuielilor judiciare către stat în cuantum de 150 lei.</w:t>
      </w:r>
    </w:p>
    <w:p>
      <w:pPr>
        <w:pStyle w:val="Normal"/>
        <w:jc w:val="center"/>
        <w:rPr>
          <w:b/>
        </w:rPr>
      </w:pPr>
      <w:r>
        <w:rPr>
          <w:b/>
        </w:rPr>
      </w:r>
    </w:p>
    <w:p>
      <w:pPr>
        <w:pStyle w:val="Normal"/>
        <w:jc w:val="center"/>
        <w:rPr>
          <w:b/>
        </w:rPr>
      </w:pPr>
      <w:r>
        <w:rPr>
          <w:b/>
        </w:rPr>
      </w:r>
    </w:p>
    <w:p>
      <w:pPr>
        <w:pStyle w:val="Normal"/>
        <w:jc w:val="center"/>
        <w:rPr>
          <w:b/>
        </w:rPr>
      </w:pPr>
      <w:r>
        <w:rPr>
          <w:b/>
        </w:rPr>
        <w:t>PENTRU ACESTE MOTIVE,</w:t>
        <w:br/>
        <w:t>ÎN NUMELE LEGII</w:t>
      </w:r>
    </w:p>
    <w:p>
      <w:pPr>
        <w:pStyle w:val="Normal"/>
        <w:jc w:val="center"/>
        <w:rPr>
          <w:b/>
        </w:rPr>
      </w:pPr>
      <w:r>
        <w:rPr>
          <w:b/>
        </w:rPr>
        <w:t>HOTĂRĂŞTE:</w:t>
      </w:r>
    </w:p>
    <w:p>
      <w:pPr>
        <w:pStyle w:val="Normal"/>
        <w:rPr/>
      </w:pPr>
      <w:r>
        <w:rPr/>
      </w:r>
    </w:p>
    <w:p>
      <w:pPr>
        <w:pStyle w:val="Normal"/>
        <w:rPr/>
      </w:pPr>
      <w:r>
        <w:rPr/>
      </w:r>
    </w:p>
    <w:p>
      <w:pPr>
        <w:pStyle w:val="Normal"/>
        <w:ind w:firstLine="1134"/>
        <w:jc w:val="both"/>
        <w:rPr/>
      </w:pPr>
      <w:r>
        <w:rPr/>
        <w:t xml:space="preserve">În baza dispozițiilor art. 459 alin. 5 Cod procedură penală în referire la art. 453 Cod procedură penală,  respinge, </w:t>
      </w:r>
      <w:r>
        <w:rPr>
          <w:i/>
        </w:rPr>
        <w:t>ca inadmisibilă în principiu</w:t>
      </w:r>
      <w:r>
        <w:rPr/>
        <w:t xml:space="preserve">, cererea de revizuire formulată de revizuenta </w:t>
      </w:r>
      <w:r>
        <w:rPr>
          <w:b/>
        </w:rPr>
        <w:t>R1</w:t>
      </w:r>
      <w:r>
        <w:rPr/>
        <w:t xml:space="preserve"> împotriva </w:t>
      </w:r>
      <w:r>
        <w:rPr>
          <w:b/>
        </w:rPr>
        <w:t>Încheierii penale nr. IP1</w:t>
      </w:r>
      <w:r>
        <w:rPr/>
        <w:t xml:space="preserve"> pronunțată de </w:t>
      </w:r>
      <w:r>
        <w:rPr>
          <w:b/>
        </w:rPr>
        <w:t>judecătorul de cameră preliminară Curtea de Apel ....</w:t>
      </w:r>
      <w:r>
        <w:rPr/>
        <w:t>, în dosarul nr. D2.</w:t>
      </w:r>
    </w:p>
    <w:p>
      <w:pPr>
        <w:pStyle w:val="Normal"/>
        <w:ind w:firstLine="1134"/>
        <w:jc w:val="both"/>
        <w:rPr/>
      </w:pPr>
      <w:r>
        <w:rPr/>
        <w:t xml:space="preserve">În temeiul dispoziţiilor art. 275 alin. 2 Cod procedură penală, obligă revizuenta </w:t>
      </w:r>
      <w:r>
        <w:rPr>
          <w:b/>
        </w:rPr>
        <w:t>R1</w:t>
      </w:r>
      <w:r>
        <w:rPr/>
        <w:t xml:space="preserve"> la plata cheltuielilor judiciare către stat în cuantum de 150 lei.</w:t>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r>
    </w:p>
    <w:p>
      <w:pPr>
        <w:pStyle w:val="Normal"/>
        <w:ind w:firstLine="1134"/>
        <w:jc w:val="both"/>
        <w:rPr>
          <w:b/>
        </w:rPr>
      </w:pPr>
      <w:r>
        <w:rPr>
          <w:b/>
        </w:rPr>
        <w:t xml:space="preserve">Definitivă. </w:t>
      </w:r>
    </w:p>
    <w:p>
      <w:pPr>
        <w:pStyle w:val="Normal"/>
        <w:ind w:firstLine="1134"/>
        <w:jc w:val="both"/>
        <w:rPr/>
      </w:pPr>
      <w:r>
        <w:rPr/>
        <w:t>Pronunţată în şedinţă publică, astăzi, .....</w:t>
      </w:r>
    </w:p>
    <w:p>
      <w:pPr>
        <w:pStyle w:val="Normal"/>
        <w:rPr/>
      </w:pPr>
      <w:r>
        <w:rPr/>
      </w:r>
    </w:p>
    <w:p>
      <w:pPr>
        <w:pStyle w:val="Normal"/>
        <w:rPr>
          <w:b/>
        </w:rPr>
      </w:pPr>
      <w:r>
        <w:rPr>
          <w:b/>
        </w:rPr>
        <w:t xml:space="preserve">    </w:t>
      </w:r>
      <w:r>
        <w:rPr>
          <w:b/>
        </w:rPr>
        <w:t>Preşedinte,</w:t>
      </w:r>
    </w:p>
    <w:p>
      <w:pPr>
        <w:pStyle w:val="Normal"/>
        <w:rPr>
          <w:b/>
        </w:rPr>
      </w:pPr>
      <w:r>
        <w:rPr>
          <w:b/>
        </w:rPr>
        <w:t>A0013</w:t>
      </w:r>
    </w:p>
    <w:p>
      <w:pPr>
        <w:pStyle w:val="Normal"/>
        <w:rPr>
          <w:b/>
        </w:rPr>
      </w:pPr>
      <w:r>
        <w:rPr>
          <w:b/>
        </w:rPr>
        <w:t xml:space="preserve">                                                                                                                           </w:t>
      </w:r>
      <w:r>
        <w:rPr>
          <w:b/>
        </w:rPr>
        <w:t>Grefier,</w:t>
      </w:r>
    </w:p>
    <w:p>
      <w:pPr>
        <w:pStyle w:val="Normal"/>
        <w:jc w:val="right"/>
        <w:rPr>
          <w:b/>
        </w:rPr>
      </w:pPr>
      <w:r>
        <w:rPr>
          <w:b/>
        </w:rPr>
        <w:t xml:space="preserve">... </w:t>
      </w:r>
    </w:p>
    <w:p>
      <w:pPr>
        <w:pStyle w:val="Normal"/>
        <w:jc w:val="right"/>
        <w:rPr/>
      </w:pPr>
      <w:r>
        <w:rPr/>
      </w:r>
    </w:p>
    <w:p>
      <w:pPr>
        <w:pStyle w:val="Normal"/>
        <w:rPr>
          <w:b/>
          <w:sz w:val="16"/>
        </w:rPr>
      </w:pPr>
      <w:r>
        <w:rPr>
          <w:b/>
          <w:sz w:val="16"/>
        </w:rPr>
      </w:r>
    </w:p>
    <w:p>
      <w:pPr>
        <w:pStyle w:val="Normal"/>
        <w:rPr>
          <w:b/>
          <w:sz w:val="16"/>
        </w:rPr>
      </w:pPr>
      <w:r>
        <w:rPr>
          <w:b/>
          <w:sz w:val="16"/>
        </w:rPr>
      </w:r>
    </w:p>
    <w:p>
      <w:pPr>
        <w:pStyle w:val="Normal"/>
        <w:rPr>
          <w:b/>
          <w:sz w:val="16"/>
        </w:rPr>
      </w:pPr>
      <w:r>
        <w:rPr>
          <w:b/>
          <w:sz w:val="16"/>
        </w:rPr>
      </w:r>
    </w:p>
    <w:p>
      <w:pPr>
        <w:pStyle w:val="Normal"/>
        <w:rPr>
          <w:b/>
          <w:sz w:val="16"/>
        </w:rPr>
      </w:pPr>
      <w:r>
        <w:rPr>
          <w:b/>
          <w:sz w:val="16"/>
        </w:rPr>
        <w:t>Red./Tehnored.: A0013.</w:t>
      </w:r>
    </w:p>
    <w:p>
      <w:pPr>
        <w:pStyle w:val="Normal"/>
        <w:rPr>
          <w:b/>
          <w:sz w:val="16"/>
        </w:rPr>
      </w:pPr>
      <w:r>
        <w:rPr>
          <w:b/>
          <w:sz w:val="16"/>
        </w:rPr>
        <w:t>2 ex. +2 ex./...</w:t>
      </w:r>
    </w:p>
    <w:p>
      <w:pPr>
        <w:pStyle w:val="Normal"/>
        <w:rPr>
          <w:b/>
          <w:sz w:val="16"/>
        </w:rPr>
      </w:pPr>
      <w:r>
        <w:rPr>
          <w:b/>
          <w:sz w:val="16"/>
        </w:rPr>
        <w:t>Curtea de Apel ...</w:t>
      </w:r>
    </w:p>
    <w:p>
      <w:pPr>
        <w:pStyle w:val="Normal"/>
        <w:rPr>
          <w:b/>
          <w:sz w:val="16"/>
        </w:rPr>
      </w:pPr>
      <w:r>
        <w:rPr>
          <w:b/>
          <w:sz w:val="16"/>
        </w:rPr>
        <w:t>Judecător ...</w:t>
      </w:r>
    </w:p>
    <w:p>
      <w:pPr>
        <w:pStyle w:val="Normal"/>
        <w:jc w:val="center"/>
        <w:rPr/>
      </w:pPr>
      <w:r>
        <w:rPr/>
      </w:r>
    </w:p>
    <w:p>
      <w:pPr>
        <w:pStyle w:val="Normal"/>
        <w:jc w:val="center"/>
        <w:rPr/>
      </w:pPr>
      <w:r>
        <w:rPr/>
      </w:r>
    </w:p>
    <w:p>
      <w:pPr>
        <w:pStyle w:val="Normal"/>
        <w:rPr/>
      </w:pPr>
      <w:r>
        <w:rPr/>
      </w:r>
    </w:p>
    <w:p>
      <w:pPr>
        <w:pStyle w:val="Normal"/>
        <w:jc w:val="center"/>
        <w:rPr/>
      </w:pPr>
      <w:r>
        <w:rPr/>
      </w:r>
    </w:p>
    <w:p>
      <w:pPr>
        <w:pStyle w:val="Normal"/>
        <w:rPr>
          <w:sz w:val="16"/>
        </w:rPr>
      </w:pPr>
      <w:r>
        <w:rPr>
          <w:sz w:val="16"/>
        </w:rPr>
      </w:r>
    </w:p>
    <w:sectPr>
      <w:footerReference w:type="default" r:id="rId3"/>
      <w:type w:val="nextPage"/>
      <w:pgSz w:w="11906" w:h="16838"/>
      <w:pgMar w:top="851" w:right="851" w:bottom="851" w:left="1985" w:header="0" w:footer="720" w:gutter="0"/>
      <w:pgNumType w:fmt="decimal"/>
      <w:formProt w:val="false"/>
      <w:textDirection w:val="lrTb"/>
      <w:docGrid w:type="default" w:linePitch="10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 w:name="Arial Narrow">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center"/>
      <w:rPr/>
    </w:pPr>
    <w:r>
      <w:rPr/>
      <w:fldChar w:fldCharType="begin"/>
    </w:r>
    <w:r>
      <w:rPr/>
      <w:instrText xml:space="preserve"> PAGE </w:instrText>
    </w:r>
    <w:r>
      <w:rPr/>
      <w:fldChar w:fldCharType="separate"/>
    </w:r>
    <w:r>
      <w:rPr/>
      <w:t>8</w:t>
    </w:r>
    <w:r>
      <w:rPr/>
      <w:fldChar w:fldCharType="end"/>
    </w:r>
  </w:p>
  <w:p>
    <w:pPr>
      <w:pStyle w:val="Footer"/>
      <w:rPr/>
    </w:pPr>
    <w:r>
      <w:rPr/>
    </w:r>
  </w:p>
</w:ftr>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2"/>
  </w:compat>
  <w:docVars>
    <w:docVar w:name="url" w:val="http://10.26.48.53:80/ecris_cdms/document_upload.aspx?id_document=4500000000672185&amp;id_departament=26&amp;id_sesiune=338062&amp;id_user=168&amp;id_institutie=45&amp;actiune=modifica"/>
  </w:docVars>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sz w:val="22"/>
        <w:lang w:val="ro-RO" w:eastAsia="ro-RO" w:bidi="ar-SA"/>
      </w:rPr>
    </w:rPrDefault>
    <w:pPrDefault>
      <w:pPr>
        <w:suppressAutoHyphens w:val="true"/>
      </w:pPr>
    </w:pPrDefault>
  </w:docDefaults>
  <w:style w:type="paragraph" w:styleId="Normal">
    <w:name w:val="Normal"/>
    <w:qFormat/>
    <w:pPr>
      <w:widowControl/>
      <w:kinsoku w:val="true"/>
      <w:overflowPunct w:val="true"/>
      <w:autoSpaceDE w:val="true"/>
      <w:bidi w:val="0"/>
      <w:spacing w:before="0" w:after="0"/>
      <w:jc w:val="left"/>
    </w:pPr>
    <w:rPr>
      <w:rFonts w:ascii="Times New Roman" w:hAnsi="Times New Roman" w:eastAsia="Times New Roman" w:cs="Times New Roman"/>
      <w:color w:val="auto"/>
      <w:kern w:val="0"/>
      <w:sz w:val="24"/>
      <w:szCs w:val="20"/>
      <w:lang w:val="ro-RO" w:eastAsia="ro-RO" w:bidi="ar-SA"/>
    </w:rPr>
  </w:style>
  <w:style w:type="paragraph" w:styleId="Heading1">
    <w:name w:val="Heading 1"/>
    <w:basedOn w:val="Normal"/>
    <w:next w:val="Normal"/>
    <w:qFormat/>
    <w:pPr>
      <w:keepNext w:val="true"/>
      <w:numPr>
        <w:ilvl w:val="0"/>
        <w:numId w:val="0"/>
      </w:numPr>
      <w:jc w:val="center"/>
      <w:outlineLvl w:val="0"/>
    </w:pPr>
    <w:rPr>
      <w:b/>
      <w:sz w:val="28"/>
      <w:lang w:val="en-US"/>
    </w:rPr>
  </w:style>
  <w:style w:type="character" w:styleId="DefaultParagraphFont">
    <w:name w:val="Default Paragraph Font"/>
    <w:qFormat/>
    <w:rPr/>
  </w:style>
  <w:style w:type="character" w:styleId="LineNumber">
    <w:name w:val="Line Number"/>
    <w:basedOn w:val="DefaultParagraphFont"/>
    <w:rPr/>
  </w:style>
  <w:style w:type="character" w:styleId="Hyperlink">
    <w:name w:val="Hyperlink"/>
    <w:rPr>
      <w:color w:val="0000FF"/>
      <w:u w:val="single"/>
    </w:rPr>
  </w:style>
  <w:style w:type="character" w:styleId="AntetCaracter">
    <w:name w:val="Antet Caracter"/>
    <w:link w:val="Header"/>
    <w:qFormat/>
    <w:rPr/>
  </w:style>
  <w:style w:type="character" w:styleId="SubsolCaracter">
    <w:name w:val="Subsol Caracter"/>
    <w:link w:val="Footer"/>
    <w:qFormat/>
    <w:rPr/>
  </w:style>
  <w:style w:type="character" w:styleId="FontStyle17">
    <w:name w:val="Font Style17"/>
    <w:qFormat/>
    <w:rPr>
      <w:rFonts w:ascii="Times New Roman" w:hAnsi="Times New Roman"/>
      <w:sz w:val="24"/>
    </w:rPr>
  </w:style>
  <w:style w:type="paragraph" w:styleId="Heading">
    <w:name w:val="Heading"/>
    <w:basedOn w:val="Normal"/>
    <w:next w:val="BodyText"/>
    <w:qFormat/>
    <w:pPr>
      <w:keepNext w:val="true"/>
      <w:spacing w:before="240" w:after="120"/>
    </w:pPr>
    <w:rPr>
      <w:rFonts w:ascii="Liberation Sans" w:hAnsi="Liberation Sans" w:eastAsia="DejaVu Sans" w:cs="FreeSans"/>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NormalWeb">
    <w:name w:val="Normal (Web)"/>
    <w:basedOn w:val="Normal"/>
    <w:qFormat/>
    <w:pPr>
      <w:spacing w:before="280" w:after="280"/>
    </w:pPr>
    <w:rPr/>
  </w:style>
  <w:style w:type="paragraph" w:styleId="HeaderandFooter">
    <w:name w:val="Header and Footer"/>
    <w:basedOn w:val="Normal"/>
    <w:qFormat/>
    <w:pPr/>
    <w:rPr/>
  </w:style>
  <w:style w:type="paragraph" w:styleId="Header">
    <w:name w:val="Header"/>
    <w:basedOn w:val="Normal"/>
    <w:link w:val="AntetCaracter"/>
    <w:pPr>
      <w:tabs>
        <w:tab w:val="clear" w:pos="720"/>
        <w:tab w:val="center" w:pos="4536" w:leader="none"/>
        <w:tab w:val="right" w:pos="9072" w:leader="none"/>
      </w:tabs>
    </w:pPr>
    <w:rPr/>
  </w:style>
  <w:style w:type="paragraph" w:styleId="Footer">
    <w:name w:val="Footer"/>
    <w:basedOn w:val="Normal"/>
    <w:link w:val="SubsolCaracter"/>
    <w:pPr>
      <w:tabs>
        <w:tab w:val="clear" w:pos="720"/>
        <w:tab w:val="center" w:pos="4536" w:leader="none"/>
        <w:tab w:val="right" w:pos="9072" w:leader="none"/>
      </w:tabs>
    </w:pPr>
    <w:rPr/>
  </w:style>
  <w:style w:type="paragraph" w:styleId="Style51">
    <w:name w:val="Style5"/>
    <w:basedOn w:val="Normal"/>
    <w:qFormat/>
    <w:pPr>
      <w:widowControl w:val="false"/>
      <w:spacing w:lineRule="exact" w:line="451"/>
      <w:ind w:firstLine="662"/>
      <w:jc w:val="both"/>
    </w:pPr>
    <w:rPr/>
  </w:style>
  <w:style w:type="numbering" w:styleId="NoList">
    <w:name w:val="No List"/>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WWW.SCJ.RO/" TargetMode="External"/><Relationship Id="rId3" Type="http://schemas.openxmlformats.org/officeDocument/2006/relationships/footer" Target="footer1.xml"/><Relationship Id="rId4" Type="http://schemas.openxmlformats.org/officeDocument/2006/relationships/fontTable" Target="fontTable.xml"/><Relationship Id="rId5" Type="http://schemas.openxmlformats.org/officeDocument/2006/relationships/settings" Target="settings.xml"/><Relationship Id="rId6"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75</ap:TotalTime>
  <ap:Application>LibreOffice/24.2.7.2$Linux_X86_64 LibreOffice_project/420$Build-2</ap:Application>
  <ap:AppVersion>15.0000</ap:AppVersion>
  <ap:Pages>8</ap:Pages>
  <ap:Words>4511</ap:Words>
  <ap:Characters>23708</ap:Characters>
  <ap:CharactersWithSpaces>28306</ap:CharactersWithSpaces>
  <ap:Paragraphs>120</ap:Paragraphs>
</ap:Properties>
</file>

<file path=docProps/core.xml><?xml version="1.0" encoding="utf-8"?>
<coreProperties xmlns:dc="http://purl.org/dc/elements/1.1/" xmlns:dcterms="http://purl.org/dc/terms/" xmlns:xsi="http://www.w3.org/2001/XMLSchema-instance" xmlns="http://schemas.openxmlformats.org/package/2006/metadata/core-properties">
  <dc:creator/>
  <dc:description/>
  <dc:language/>
  <lastModifiedBy/>
  <revision/>
  <dc:subject/>
  <dc:title/>
  <keywords/>
  <category/>
  <contentStatus/>
  <dc:identifier/>
  <version/>
</coreProperties>
</file>