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18</w:t>
      </w:r>
    </w:p>
    <w:p>
      <w:pPr>
        <w:pStyle w:val="Normal"/>
        <w:rPr/>
      </w:pPr>
      <w:r>
        <w:rPr/>
        <w:t>Dosar nr. D1</w:t>
      </w:r>
    </w:p>
    <w:p>
      <w:pPr>
        <w:pStyle w:val="Normal"/>
        <w:jc w:val="center"/>
        <w:rPr/>
      </w:pPr>
      <w:r>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lang w:val="en-US"/>
        </w:rPr>
      </w:pPr>
      <w:r>
        <w:rPr>
          <w:lang w:val="en-US"/>
        </w:rPr>
      </w:r>
    </w:p>
    <w:p>
      <w:pPr>
        <w:pStyle w:val="Normal"/>
        <w:jc w:val="center"/>
        <w:rPr/>
      </w:pPr>
      <w:r>
        <w:rPr/>
        <w:t>SENTINŢA Nr. ...</w:t>
      </w:r>
    </w:p>
    <w:p>
      <w:pPr>
        <w:pStyle w:val="Normal"/>
        <w:jc w:val="center"/>
        <w:rPr/>
      </w:pPr>
      <w:r>
        <w:rPr/>
        <w:t>Şedinţa </w:t>
      </w:r>
      <w:r>
        <w:rPr/>
      </w:r>
      <w:r>
        <w:rPr/>
      </w:r>
      <w:r>
        <w:rPr/>
      </w:r>
      <w:r>
        <w:rPr/>
        <w:t>publică</w:t>
      </w:r>
      <w:r>
        <w:rPr/>
      </w:r>
      <w:r>
        <w:rPr/>
      </w:r>
      <w:r>
        <w:rPr/>
        <w:t xml:space="preserve"> de la ... </w:t>
      </w:r>
    </w:p>
    <w:p>
      <w:pPr>
        <w:pStyle w:val="Normal"/>
        <w:jc w:val="center"/>
        <w:rPr/>
      </w:pPr>
      <w:r>
        <w:rPr/>
        <w:t>Completul compus din:</w:t>
      </w:r>
    </w:p>
    <w:p>
      <w:pPr>
        <w:pStyle w:val="Normal"/>
        <w:jc w:val="center"/>
        <w:rPr/>
      </w:pPr>
      <w:r>
        <w:rPr/>
        <w:t>PREŞEDINTE A0006</w:t>
      </w:r>
    </w:p>
    <w:p>
      <w:pPr>
        <w:pStyle w:val="Normal"/>
        <w:jc w:val="center"/>
        <w:rPr/>
      </w:pPr>
      <w:r>
        <w:rPr/>
        <w:t>Grefier ...</w:t>
      </w:r>
    </w:p>
    <w:p>
      <w:pPr>
        <w:pStyle w:val="Normal"/>
        <w:jc w:val="center"/>
        <w:rPr/>
      </w:pPr>
      <w:r>
        <w:rPr/>
      </w:r>
    </w:p>
    <w:p>
      <w:pPr>
        <w:pStyle w:val="Normal"/>
        <w:jc w:val="center"/>
        <w:rPr/>
      </w:pPr>
      <w:r>
        <w:rPr/>
      </w:r>
    </w:p>
    <w:p>
      <w:pPr>
        <w:pStyle w:val="Normal"/>
        <w:ind w:right="0" w:firstLine="708"/>
        <w:jc w:val="both"/>
        <w:rPr/>
      </w:pPr>
      <w:r>
        <w:rPr/>
        <w:t xml:space="preserve">Pe rol, rezultatul dezbaterilor din data de ..., privind soluţionarea cererii de revizuire formulată de </w:t>
      </w:r>
      <w:r>
        <w:rPr>
          <w:b/>
        </w:rPr>
        <w:t>revizuenta UNITATEA ADMINISTRATIV TERITORIALĂ COMUNA ...</w:t>
      </w:r>
      <w:r>
        <w:rPr/>
        <w:t xml:space="preserve">, împotriva sentinţei civile nr.SC1, pronunţată de Curtea de Apel ... - Secţia ..., în dosarul nr.D2, în contradictoriu cu </w:t>
      </w:r>
      <w:r>
        <w:rPr>
          <w:b/>
        </w:rPr>
        <w:t>intimatul MINISTERUL DEZVOLTĂRII REGIONALE,ADMINISTRAŢIEI PUBLICE ŞI FONDURILOR EUROPENE- ACTUAL MDLPA</w:t>
      </w:r>
      <w:r>
        <w:rPr/>
        <w:t>, având ca obiect ,, contestaţie act administrativ fiscal,,.</w:t>
      </w:r>
    </w:p>
    <w:p>
      <w:pPr>
        <w:pStyle w:val="Normal"/>
        <w:ind w:right="0" w:firstLine="708"/>
        <w:jc w:val="both"/>
        <w:rPr/>
      </w:pPr>
      <w:r>
        <w:rPr>
          <w:lang w:val="en-US" w:eastAsia="en-US"/>
        </w:rPr>
        <w:t xml:space="preserve">Dezbaterile pe fondul cauzei au avut loc în şedinţa publică din </w:t>
      </w:r>
      <w:r>
        <w:rPr/>
        <w:t>...</w:t>
      </w:r>
      <w:r>
        <w:rPr>
          <w:lang w:val="en-US" w:eastAsia="en-US"/>
        </w:rPr>
        <w:t>, fiind consemnate în încheierea de şedinţă din acea dată, care face parte integrantă din prezenta decizie.</w:t>
      </w:r>
    </w:p>
    <w:p>
      <w:pPr>
        <w:pStyle w:val="Normal"/>
        <w:jc w:val="both"/>
        <w:rPr/>
      </w:pPr>
      <w:r>
        <w:rPr/>
      </w:r>
    </w:p>
    <w:p>
      <w:pPr>
        <w:pStyle w:val="Normal"/>
        <w:jc w:val="center"/>
        <w:rPr>
          <w:b/>
        </w:rPr>
      </w:pPr>
      <w:r>
        <w:rPr>
          <w:b/>
        </w:rPr>
        <w:t>CURTEA</w:t>
      </w:r>
    </w:p>
    <w:p>
      <w:pPr>
        <w:pStyle w:val="Normal"/>
        <w:jc w:val="center"/>
        <w:rPr>
          <w:b/>
        </w:rPr>
      </w:pPr>
      <w:r>
        <w:rPr>
          <w:b/>
        </w:rPr>
      </w:r>
    </w:p>
    <w:p>
      <w:pPr>
        <w:pStyle w:val="Normal"/>
        <w:spacing w:before="0" w:after="0"/>
        <w:ind w:right="0" w:firstLine="709"/>
        <w:contextualSpacing/>
        <w:jc w:val="both"/>
        <w:rPr>
          <w:b/>
        </w:rPr>
      </w:pPr>
      <w:r>
        <w:rPr>
          <w:b/>
        </w:rPr>
        <w:t>Asupra cererii de revizuire de faţă;</w:t>
      </w:r>
    </w:p>
    <w:p>
      <w:pPr>
        <w:pStyle w:val="Normal"/>
        <w:spacing w:before="0" w:after="0"/>
        <w:ind w:right="0" w:firstLine="709"/>
        <w:contextualSpacing/>
        <w:jc w:val="both"/>
        <w:rPr>
          <w:b/>
        </w:rPr>
      </w:pPr>
      <w:r>
        <w:rPr>
          <w:b/>
        </w:rPr>
        <w:t>Din examinarea actelor şi lucrărilor din dosar, constată următoarele:</w:t>
      </w:r>
    </w:p>
    <w:p>
      <w:pPr>
        <w:pStyle w:val="Normal"/>
        <w:spacing w:before="0" w:after="0"/>
        <w:ind w:right="0" w:firstLine="709"/>
        <w:contextualSpacing/>
        <w:jc w:val="both"/>
        <w:rPr>
          <w:b/>
          <w:i/>
          <w:i/>
        </w:rPr>
      </w:pPr>
      <w:r>
        <w:rPr>
          <w:b/>
          <w:i/>
        </w:rPr>
        <w:t>I Circumstanţele cauzei</w:t>
      </w:r>
    </w:p>
    <w:p>
      <w:pPr>
        <w:pStyle w:val="Listparagraf"/>
        <w:numPr>
          <w:ilvl w:val="0"/>
          <w:numId w:val="3"/>
        </w:numPr>
        <w:spacing w:before="0" w:after="0" w:line="240" w:lineRule="auto"/>
        <w:contextualSpacing/>
        <w:jc w:val="both"/>
        <w:rPr>
          <w:rFonts w:ascii="Times New Roman" w:hAnsi="Times New Roman" w:cs="Times New Roman"/>
          <w:b/>
          <w:i/>
          <w:i/>
          <w:sz w:val="24"/>
          <w:szCs w:val="24"/>
        </w:rPr>
      </w:pPr>
      <w:r>
        <w:rPr>
          <w:rFonts w:ascii="Times New Roman" w:hAnsi="Times New Roman" w:cs="Times New Roman"/>
          <w:b/>
          <w:i/>
          <w:sz w:val="24"/>
          <w:szCs w:val="24"/>
        </w:rPr>
        <w:t>Obiectul acţiunii</w:t>
      </w:r>
    </w:p>
    <w:p>
      <w:pPr>
        <w:pStyle w:val="Normal"/>
        <w:spacing w:before="0" w:after="0"/>
        <w:ind w:right="0" w:firstLine="709"/>
        <w:contextualSpacing/>
        <w:jc w:val="both"/>
        <w:rPr/>
      </w:pPr>
      <w:r>
        <w:rPr/>
        <w:t xml:space="preserve">Prin cererea înregistrată pe rolul Curţii de Apel ....-Secţia Con... sub nr. </w:t>
      </w:r>
      <w:r>
        <w:rPr>
          <w:b/>
        </w:rPr>
        <w:t>D2</w:t>
      </w:r>
      <w:r>
        <w:rPr/>
        <w:t xml:space="preserve">, </w:t>
      </w:r>
      <w:r>
        <w:rPr>
          <w:b/>
        </w:rPr>
        <w:t>reclamanta Unitatea Administrativ Teritoriala comuna ...</w:t>
      </w:r>
      <w:r>
        <w:rPr/>
        <w:t xml:space="preserve"> a solicitat în contradictoriu cu  </w:t>
      </w:r>
      <w:r>
        <w:rPr>
          <w:b/>
        </w:rPr>
        <w:t>pârâtul Ministerul Dezvoltării Regionale Administrației Publice si Fondurilor Europene</w:t>
      </w:r>
      <w:r>
        <w:rPr/>
        <w:t xml:space="preserve"> anularea Procesului verbal de constatare şi de stabilire a creanţelor bugetare nr.....8/25.08.2016 şi a Deciziei nr. ...2/15.11.2016.</w:t>
      </w:r>
    </w:p>
    <w:p>
      <w:pPr>
        <w:pStyle w:val="Normal"/>
        <w:spacing w:before="0" w:after="0"/>
        <w:ind w:right="0" w:firstLine="709"/>
        <w:contextualSpacing/>
        <w:jc w:val="both"/>
        <w:rPr/>
      </w:pPr>
      <w:r>
        <w:rPr/>
        <w:t xml:space="preserve">În dosarul nr. </w:t>
      </w:r>
      <w:r>
        <w:rPr>
          <w:b/>
        </w:rPr>
        <w:t>D3</w:t>
      </w:r>
      <w:r>
        <w:rPr/>
        <w:t xml:space="preserve"> înregistrat pe rolul Curţii de Apel ..-..., reclamanta a solicitat şi anularea Procesului verbal de constatare şi de stabilire a creanţelor bugetare nr....0/06.03.2017 şi a Deciziei nr. ...6/12.05.2017, această cauză fiind conexată prezentului dosar, în considerarea faptului că procesul verbal contestat stabileşte o creanţă suplimentară procesului verbal ce face obiectul dosarului D2. Cele două cauze au fost conexate.</w:t>
      </w:r>
    </w:p>
    <w:p>
      <w:pPr>
        <w:pStyle w:val="Normal"/>
        <w:spacing w:before="0" w:after="0"/>
        <w:ind w:right="0" w:firstLine="709"/>
        <w:contextualSpacing/>
        <w:jc w:val="both"/>
        <w:rPr>
          <w:b/>
          <w:i/>
          <w:i/>
        </w:rPr>
      </w:pPr>
      <w:r>
        <w:rPr>
          <w:b/>
          <w:i/>
        </w:rPr>
        <w:t>2.  Soluţia instanţei de fond</w:t>
      </w:r>
    </w:p>
    <w:p>
      <w:pPr>
        <w:pStyle w:val="Normal"/>
        <w:spacing w:before="0" w:after="0"/>
        <w:ind w:right="0" w:firstLine="709"/>
        <w:contextualSpacing/>
        <w:jc w:val="both"/>
        <w:rPr/>
      </w:pPr>
      <w:r>
        <w:rPr/>
        <w:t xml:space="preserve">Prin sentința civila nr. </w:t>
      </w:r>
      <w:r>
        <w:rPr>
          <w:b/>
        </w:rPr>
        <w:t>SC1</w:t>
      </w:r>
      <w:r>
        <w:rPr/>
        <w:t xml:space="preserve">, pronunțată de Curtea de Apel ...- Sectia ... în dosarul nr. </w:t>
      </w:r>
      <w:r>
        <w:rPr>
          <w:b/>
        </w:rPr>
        <w:t>D2</w:t>
      </w:r>
      <w:r>
        <w:rPr/>
        <w:t>, s-a respins ca neîntemeiată acțiunea in anularea actelor administrative procesul verbal de creanțe nr.....8/25.08.2016, decizia nr. ...4/15.11.201, procesul verbal de creanțe nr....0/6.03.2017, decizia nr....6/12.05.2017, emise de paratul Ministerul Dezvoltării Regionale Administrației Publice si Fondurilor Europene- actual Ministerul Dezvoltării Lucrărilor Publice si Administrației- denumit M.D.L.P.A.</w:t>
      </w:r>
    </w:p>
    <w:p>
      <w:pPr>
        <w:pStyle w:val="Listparagraf"/>
        <w:numPr>
          <w:ilvl w:val="0"/>
          <w:numId w:val="2"/>
        </w:numPr>
        <w:spacing w:before="0" w:after="0" w:line="240" w:lineRule="auto"/>
        <w:contextualSpacing/>
        <w:jc w:val="both"/>
        <w:rPr>
          <w:rFonts w:ascii="Times New Roman" w:hAnsi="Times New Roman" w:cs="Times New Roman"/>
          <w:b/>
          <w:i/>
          <w:i/>
          <w:sz w:val="24"/>
          <w:szCs w:val="24"/>
        </w:rPr>
      </w:pPr>
      <w:r>
        <w:rPr>
          <w:rFonts w:ascii="Times New Roman" w:hAnsi="Times New Roman" w:cs="Times New Roman"/>
          <w:b/>
          <w:i/>
          <w:sz w:val="24"/>
          <w:szCs w:val="24"/>
        </w:rPr>
        <w:t>Recursul exercitat în cauză şi soluţia instanţei de recurs</w:t>
      </w:r>
    </w:p>
    <w:p>
      <w:pPr>
        <w:pStyle w:val="Normal"/>
        <w:spacing w:before="0" w:after="0"/>
        <w:ind w:right="0" w:firstLine="709"/>
        <w:contextualSpacing/>
        <w:jc w:val="both"/>
        <w:rPr/>
      </w:pPr>
      <w:r>
        <w:rPr/>
        <w:t>Împotriva sentinței civile nr. SC1, pronunțată de Curtea de Apel ....- Sectia ...în dosarul nr. D2 a declarat recurs reclamanta Unitatea Administrativ Teritoriala comuna ...  întemeiat pe dispoziţiile art. 488 alin. 1 pct.5, 6 şi 8 Cod procedură civilă.</w:t>
      </w:r>
    </w:p>
    <w:p>
      <w:pPr>
        <w:pStyle w:val="Frspaiere"/>
        <w:spacing w:before="0" w:after="0"/>
        <w:ind w:right="0" w:firstLine="720"/>
        <w:contextualSpacing/>
        <w:jc w:val="both"/>
        <w:rPr/>
      </w:pPr>
      <w:r>
        <w:rPr>
          <w:rFonts w:ascii="Times New Roman" w:hAnsi="Times New Roman" w:cs="Times New Roman"/>
          <w:sz w:val="24"/>
          <w:szCs w:val="24"/>
        </w:rPr>
        <w:t xml:space="preserve">Prin  </w:t>
      </w:r>
      <w:r>
        <w:rPr>
          <w:rFonts w:ascii="Times New Roman" w:hAnsi="Times New Roman" w:cs="Times New Roman"/>
          <w:b/>
          <w:sz w:val="24"/>
          <w:szCs w:val="24"/>
        </w:rPr>
        <w:t>decizia civila nr. DC1 din ...</w:t>
      </w:r>
      <w:r>
        <w:rPr>
          <w:rFonts w:ascii="Times New Roman" w:hAnsi="Times New Roman" w:cs="Times New Roman"/>
          <w:sz w:val="24"/>
          <w:szCs w:val="24"/>
        </w:rPr>
        <w:t xml:space="preserve">, pronunțată de Înalta Curte de Casație si Justiție- Secția ... în dosarul nr. </w:t>
      </w:r>
      <w:r>
        <w:rPr>
          <w:rFonts w:ascii="Times New Roman" w:hAnsi="Times New Roman" w:cs="Times New Roman"/>
          <w:b/>
          <w:sz w:val="24"/>
          <w:szCs w:val="24"/>
        </w:rPr>
        <w:t>D2</w:t>
      </w:r>
      <w:r>
        <w:rPr>
          <w:rFonts w:ascii="Times New Roman" w:hAnsi="Times New Roman" w:cs="Times New Roman"/>
          <w:sz w:val="24"/>
          <w:szCs w:val="24"/>
        </w:rPr>
        <w:t xml:space="preserve">, s-a respins recursul formulat de Unitatea Administrativ Teritoriala comuna ..., jud. ...., reprezentata prin Primar-... în contradictoriu cu MINISTERUL DEZVOLTĂRII REGIONALE,ADMINISTRAŢIEI PUBLICE ŞI FONDURILOR EUROPENE- ACTUAL MDLPA, ca nefondat. </w:t>
      </w:r>
    </w:p>
    <w:p>
      <w:pPr>
        <w:pStyle w:val="Frspaiere"/>
        <w:spacing w:before="0" w:after="0"/>
        <w:ind w:right="0" w:firstLine="720"/>
        <w:contextualSpacing/>
        <w:jc w:val="both"/>
        <w:rPr>
          <w:rFonts w:ascii="Times New Roman" w:hAnsi="Times New Roman" w:cs="Times New Roman"/>
          <w:i/>
          <w:i/>
          <w:sz w:val="24"/>
          <w:szCs w:val="24"/>
        </w:rPr>
      </w:pPr>
      <w:r>
        <w:rPr>
          <w:rFonts w:ascii="Times New Roman" w:hAnsi="Times New Roman" w:cs="Times New Roman"/>
          <w:i/>
          <w:sz w:val="24"/>
          <w:szCs w:val="24"/>
        </w:rPr>
        <w:t>În ceea ce priveşte motivul de recurs prevăzut de art. 488 alin. (1) pct. 5 din Codul de procedură civilă</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Prin acest motiv de recurs, recurenta invocă o nerespectare de către prima instanţă a prevederilor art. 14 alin. (5) şi (6) din C. proc. civ., referitoare la principiul contradictorialităţii ce trebuie să caracterizeze procesul civil, ca urmare a faptului că prima instanţă nu a lămurit prin dezbateri obiecţiunile recurentei la raportul de expertiza judiciară, respectiv aspectul dacă cele două rapoarte de expertiză au avut în vedere situaţiile de lucrări, situaţiile de plata si devizele anexate facturilor emise de către executanţi anterior aprobării cererilor de plata nr. x si nr. 4.</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Înalta Curte a constat că această susţinere nu aduce în discuţie o încălcare a unor norme procedurale, pentru a putea fi încadrată în acest motiv de casare, ci eventual o greşită aplicare a legii la situaţia de fapt dedusă judecăţii. Ca urmare, atât critica, cât şi apărările intimatului pe acest aspect vor fi analizate în cadrul motivului de casare prev. de art. 488 alin. (1) pct. 8 din C. proc. civ.</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Ca urmare, motivul de casare prev. de art. 488 alin. (1) pct. 5 C. proc. civ., este nefondat.</w:t>
      </w:r>
    </w:p>
    <w:p>
      <w:pPr>
        <w:pStyle w:val="Frspaiere"/>
        <w:spacing w:before="0" w:after="0"/>
        <w:ind w:right="0" w:firstLine="720"/>
        <w:contextualSpacing/>
        <w:jc w:val="both"/>
        <w:rPr>
          <w:rFonts w:ascii="Times New Roman" w:hAnsi="Times New Roman" w:cs="Times New Roman"/>
          <w:i/>
          <w:i/>
          <w:sz w:val="24"/>
          <w:szCs w:val="24"/>
        </w:rPr>
      </w:pPr>
      <w:r>
        <w:rPr>
          <w:rFonts w:ascii="Times New Roman" w:hAnsi="Times New Roman" w:cs="Times New Roman"/>
          <w:i/>
          <w:sz w:val="24"/>
          <w:szCs w:val="24"/>
        </w:rPr>
        <w:t>În ceea ce priveşte motivul de recurs prevăzut de art. 488 alin. (1) pct. 6 din Codul de procedură civilă</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Recurenta a invocat faptul că instanţa de fond a preluat in prima parte a hotărârii menţiunile din actele administrative emise de parat si a redat răspunsul la obiectivul nr. 1 din conţinutul raportului de expertiza tehnica efectuata in cauza, ignorând celelalte obiective, răspunsuri, motivele de nelegalitate a actelor administrative si obiectiunile susţinute de recurenta U.A.T. comuna ..., jud.... Referitor la motivele de nelegalitate invocate de recurentă, recurentul a arătat că instanţa de fond a analizat numai dispoziţiile legale invocate de parat cu privire la noţiunea de neregula, fara a răspunde concret criticilor si dispoziţiilor legale încălcate de parat in activitatea de verificare si stabilire a cheltuielilor neeligibile si la emiterea actelor administrative.</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Cu privire la acest aspect, Înalta Curte a constatat că obligaţia instanţei de a-şi motiva hotărârea adoptată, consacrată legislativ în dispoziţiile art. 425 C. proc. civ., are în vedere stabilirea în considerentele hotărârii a situaţiei de fapt expusă în detaliu, încadrarea în drept, examinarea argumentelor părţilor şi punctul de vedere al instanţei faţă de fiecare argument relevant, şi, nu în ultimul rând raţionamentul logico-juridic care a fundamentat soluţia adoptată. Aceste cerinţe legale sunt impuse de însăşi esenţa înfăptuirii justiţiei, iar forţa de convingere a unei hotărâri judecătoreşti rezidă din raţionamentul logico-juridic clar explicitat şi întemeiat pe considerente de drept.</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Totodată, omisiunea primei instanţe de a oferi o motivare, în condiţiile art. 425 din Codul de procedură civilă, sub aspectele învederate mai sus, echivalează cu omisiunea de pronunţare asupra acţiunii, căci nu se poate stabili o asociere logică între dispozitiv şi considerente, ca elemente componente esenţiale şi obligatorii ale hotărârii judecătoreşti.</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Înalta Curte a mai aratat şi că, în acord cu disp. art. 22 alin. (2) din C. proc. civ., revine judecătorului de fond sarcina ca, în soluţionarea cererii de chemare în judecată, să stabilească situaţia de fapt specifică procesului, iar în funcţie de aceasta să aplice normele juridice incidente.</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Or, instanţa de fond a arătat în mod expres motivele pentru care a ajuns la soluţia adoptată; Înalta Curte a apreciat că sentinţa civilă recurată respectă disp. art. 22 alin. (2) şi art. 425 C. proc. civ.. Astfel, prima instanţă a expus silogismul logico-juridic ce a stat la baza soluţiei pronunţate, fiind clare raţiunile avute în vedere de instanţă.</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De altfel, s-a constatat că prin argumentele aduse pe această cale se invocă în esenţă o eventuală greşită interpretare şi aplicare a legii, aspecte ce vor fi verificate în cadrul motivului de casare prev. de art. 488 alin. (1) pct. 8 din C. proc. civ. invocat în cuprinsul recursului, dar motivarea insuficientă nu poate fi reţinută raportat la sentinţa atacată.</w:t>
      </w:r>
    </w:p>
    <w:p>
      <w:pPr>
        <w:pStyle w:val="Frspaiere"/>
        <w:spacing w:before="0" w:after="0"/>
        <w:ind w:right="0" w:firstLine="720"/>
        <w:contextualSpacing/>
        <w:jc w:val="both"/>
        <w:rPr/>
      </w:pPr>
      <w:r>
        <w:rPr>
          <w:rFonts w:ascii="Times New Roman" w:hAnsi="Times New Roman" w:cs="Times New Roman"/>
          <w:sz w:val="24"/>
          <w:szCs w:val="24"/>
        </w:rPr>
        <w:t>Instanţa are obligaţia de a răspunde argumentelor esenţiale invocate de părţi, iar nu tuturor subargumentelor aduse de acestea. Astfel, aşa cum s-a statuat în prg. 20 al Deciziei pronunţate în Cauza Gheorghe Mocuţa împotriva României:</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"În continuare, Curtea a reiterat că, deşi articolul 6 § 1 obligă instanţele să îşi motiveze hotărârile, acesta nu poate fi interpretat ca impunând un răspuns detaliat pentru fiecare argument (a se vedea Van de Hurk împotriva Ţărilor de Jos, 19 aprilie 1994, pct. 61, seria x nr. x). De asemenea, Curtea nu are obligaţia de a examina dacă s-a răspuns în mod adecvat argumentelor. Instanţele trebuie să răspundă la argumentele esenţiale ale părţilor, dar măsura în care se aplică această obligaţie poate varia în funcţie de natura hotărârii şi, prin urmare, trebuie apreciată în lumina circumstanţelor cauzei (a se vedea, alături de alte hotărâri, I. împotriva Spaniei, 9 decembrie 1994, pct. 27, seria x nr. x-B)."</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Aplicând cele statuate mai sus la prezenta cauză, Înalta Curte a observat că prima instanţă a pronunţat o hotărâre motivată şi nu există niciun element care indice caracterul arbitrar al modalităţii în care instanţa a aplicat legislaţia relevantă pentru faptele cauzei.</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Ca urmare, motivul de casare prev. de art. 488 alin. (1) pct. 6 C. proc. civ., este nefondat.</w:t>
      </w:r>
    </w:p>
    <w:p>
      <w:pPr>
        <w:pStyle w:val="Frspaiere"/>
        <w:spacing w:before="0" w:after="0"/>
        <w:ind w:right="0" w:firstLine="720"/>
        <w:contextualSpacing/>
        <w:jc w:val="both"/>
        <w:rPr>
          <w:rFonts w:ascii="Times New Roman" w:hAnsi="Times New Roman" w:cs="Times New Roman"/>
          <w:i/>
          <w:i/>
          <w:sz w:val="24"/>
          <w:szCs w:val="24"/>
        </w:rPr>
      </w:pPr>
      <w:r>
        <w:rPr>
          <w:rFonts w:ascii="Times New Roman" w:hAnsi="Times New Roman" w:eastAsia="Times New Roman" w:cs="Times New Roman"/>
          <w:i/>
          <w:sz w:val="24"/>
          <w:szCs w:val="24"/>
        </w:rPr>
        <w:t xml:space="preserve"> </w:t>
      </w:r>
      <w:r>
        <w:rPr>
          <w:rFonts w:ascii="Times New Roman" w:hAnsi="Times New Roman" w:cs="Times New Roman"/>
          <w:i/>
          <w:sz w:val="24"/>
          <w:szCs w:val="24"/>
        </w:rPr>
        <w:t>În ceea ce priveşte motivul de recurs prevăzut de art. 488 alin. (1) pct. 8 din Codul de procedură civilă</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Înalta Curte a analizat mai întâi criticile formulate în cadrul motivelor de casare de la art. 488 alin. (1) pct. 5 şi 6 din C. proc. civ. şi care nu au fost cercetate anterior.</w:t>
      </w:r>
    </w:p>
    <w:p>
      <w:pPr>
        <w:pStyle w:val="NormalWeb"/>
        <w:spacing w:before="0" w:after="0"/>
        <w:ind w:right="0" w:firstLine="708"/>
        <w:contextualSpacing/>
        <w:jc w:val="both"/>
        <w:rPr/>
      </w:pPr>
      <w:r>
        <w:rPr/>
        <w:t>În ceea ce priveşte susţinerea că prima instanţă a încălcat principiul contradictorialităţii, prin faptul că nu a lămurit obiectivul nr. 1 al expertizei, Înalta Curte constată că este nefondată, cât timp în urma depunerii raportului de expertiză dispus în cauză, recurenta a avut posibilitatea de a formula obiecţiuni, cărora expertul le-a răspuns prin răspunsul la obiecţiuni depus pentru termenul din data de 08.11.2018. Faptul că, în urma dezbaterilor, instanţa de fond a apreciat ca suficiente aceste detalieri, nu poate echivala cu o încălcare a regulilor de drept material ce ar conduce la nelegalitatea hotărârii astfel pronunţate.</w:t>
      </w:r>
    </w:p>
    <w:p>
      <w:pPr>
        <w:pStyle w:val="NormalWeb"/>
        <w:spacing w:before="0" w:after="0"/>
        <w:ind w:right="0" w:firstLine="708"/>
        <w:contextualSpacing/>
        <w:jc w:val="both"/>
        <w:rPr/>
      </w:pPr>
      <w:r>
        <w:rPr/>
        <w:t>Astfel, prin răspunsul la obiectiuni, expertul judiciar desemnat în cauză a reţinut că la baza celor două procese-verbale de constatare a neregulilor au stat toate situaţiile şi devizele incluse în cererile de rambursare CR1-CR13, raportul întocmit de expertul A. la 14.11.2014, precum şi raportul înctomit de expertul F. nr. ...1/2015. Astfel, rezultă cu claritate că expertiza judiciară a analizat şi situaţiile de lucrări, situaţiile de plata si devizele anexate facturilor emise de către executanţi ce au fost ataşate cererilor de rambursare.</w:t>
      </w:r>
    </w:p>
    <w:p>
      <w:pPr>
        <w:pStyle w:val="NormalWeb"/>
        <w:spacing w:before="0" w:after="0"/>
        <w:ind w:right="0" w:firstLine="708"/>
        <w:contextualSpacing/>
        <w:jc w:val="both"/>
        <w:rPr/>
      </w:pPr>
      <w:r>
        <w:rPr/>
        <w:t>În ceea ce priveşte susţinerea că raportul de expertiză extrajudiciară nr. ....1/2015 nu i-a fost comunicat recurentei, în mod corect a reţinut prima instanţă că nu există dispoziţii legale imperative care să stabilească obligativitatea unei astfel de comunicări, aceasta având posibilitatea să conteste în instanţă procesul-verbal şi să administreze probe în apărare.</w:t>
      </w:r>
    </w:p>
    <w:p>
      <w:pPr>
        <w:pStyle w:val="NormalWeb"/>
        <w:spacing w:before="0" w:after="0"/>
        <w:ind w:right="0" w:firstLine="708"/>
        <w:contextualSpacing/>
        <w:jc w:val="both"/>
        <w:rPr/>
      </w:pPr>
      <w:r>
        <w:rPr/>
        <w:t>Recurenta nu a putut indica norma legală încălcată de autoritatea administrativă care, pentru evaluarea situaţiei de fapt, a procedat la constatarea situaţiei de fapt cu mijloace tehnice specializate, fără ca această metodă să fie necesară a fi fost aprobată sau pusă în aplicare cu respectarea principiilor de drept procesual civil.</w:t>
      </w:r>
    </w:p>
    <w:p>
      <w:pPr>
        <w:pStyle w:val="NormalWeb"/>
        <w:spacing w:before="0" w:after="0"/>
        <w:ind w:right="0" w:firstLine="708"/>
        <w:contextualSpacing/>
        <w:jc w:val="both"/>
        <w:rPr/>
      </w:pPr>
      <w:r>
        <w:rPr/>
        <w:t>Se menţionează explicit în răspunsul la obiecţiuni că în Anexa nr. 6 a raportului sunt trecute lucrările din lunile martie 2014 şi august 2014 care au făcut obiectul raportului întocmit de expertul A., unde au fost menţionate lucrările eligibile din raportul depus şi lucrările stabilite ca eligibile în raportul expertului A.. A mai menţionat expertul judiciar că sumele stabilite ca neeligibile din Anexa nr. 3 la raport în valoare de 805 347,18 RON fără TVA, stabilite în raportul de expertiză depus, care a fost însuşit şi de expertul J. pentru reclamantă, sunt corecte şi nu se impune refacerea raportului de expertiză în ceea ce priveşte obiectivul nr. 1.</w:t>
      </w:r>
    </w:p>
    <w:p>
      <w:pPr>
        <w:pStyle w:val="NormalWeb"/>
        <w:spacing w:before="0" w:after="0"/>
        <w:ind w:right="0" w:firstLine="708"/>
        <w:contextualSpacing/>
        <w:jc w:val="both"/>
        <w:rPr/>
      </w:pPr>
      <w:r>
        <w:rPr/>
        <w:t>Faptul că menţiunile din conţinutul actelor administrative si din raportul de expertiza judiciara referitoare la "depăşiri de cantităţi fata de oferta iniţiala, lucrări neexecutate, cheltuieli neeligibile reprezentând lucrări neexecutate, etc." au fost descrise la capitolul explicaţii din informările nr.  ...1/27.11.2014 si nr.  ...2/27.11.2014 privind plata cheltuielilor aprobate in cererea de plata nr. x si nr. 4 nu poate duce la exonerarea recurentei şi ncii la înlăturarea existenţei abaterii, pe principiul că aceste nereguli erau cunoscute autorităţii de la data rambursării cheltuielilor solicitate.</w:t>
      </w:r>
    </w:p>
    <w:p>
      <w:pPr>
        <w:pStyle w:val="NormalWeb"/>
        <w:spacing w:before="0" w:after="0"/>
        <w:ind w:right="0" w:firstLine="708"/>
        <w:contextualSpacing/>
        <w:jc w:val="both"/>
        <w:rPr/>
      </w:pPr>
      <w:r>
        <w:rPr/>
        <w:t>Înalta Curte nu poate reţine că evaluarea si verificarea lucrărilor la momentul efectuării expertizei a fost incompleta, cât timp expertul a avut în vedere atât raportul de expertiza extrajudiciara nr....1/2015 in care se menţionează ca au fost analizate documentele prezentate de beneficiar numai pentru Sala de sport si Cantina club (lucrările efectuate în martie 2014 şi august 2014), cât şi restul lucrărilor ce trebuiau executate conform contractului.</w:t>
      </w:r>
    </w:p>
    <w:p>
      <w:pPr>
        <w:pStyle w:val="NormalWeb"/>
        <w:spacing w:before="0" w:after="0"/>
        <w:ind w:right="0" w:firstLine="708"/>
        <w:contextualSpacing/>
        <w:jc w:val="both"/>
        <w:rPr/>
      </w:pPr>
      <w:r>
        <w:rPr/>
        <w:t>Astfel, s-a dispus efectuarea unei expertize tehnice în cauză, în specialitatea construcţii civile, industriale, agricole şi evaluări proprietăţi imobiliare, iar obiectivele expertizei au privit, în esenţă, stabilirea faptului dacă lucrările au fost executate conform proiectului tehnic de execuţie lucrări şi cerinţelor tehnice de calitate, precum şi stadiul fizic al acestora şi raportul între finanţare şi investiţia în clădirile realizate.</w:t>
      </w:r>
    </w:p>
    <w:p>
      <w:pPr>
        <w:pStyle w:val="NormalWeb"/>
        <w:spacing w:before="0" w:after="0"/>
        <w:ind w:right="0" w:firstLine="708"/>
        <w:contextualSpacing/>
        <w:jc w:val="both"/>
        <w:rPr/>
      </w:pPr>
      <w:r>
        <w:rPr/>
        <w:t>Potrivit concluziilor expertului, o serie de lucrări sunt neconforme, s-a constatat că la unele lucrări au fost folosite alte materiale decât cele prevăzute în proiect, au fost decontate cantităţi mai mari de materiale decât cele puse în operă sau decontate lucrări care nu se găsesc fizic în teren. Astfel, au fost analizate clădirea Scoala cu 4 Sali de clasa, cladirea ateliere, clădirea Cămin internat, clădirea sala de sport, clădirea Cantina Club, clădirea Centrala termica, Clădirea Cabină poartă, raportul de expertiză întocmit în cauză confirmând legalitatea proceselor-verbale contestate, ca urmare a nerespectării legislaţiei privind implementarea contractului de finanţare, folosirea unor documente nereale, derularea în mod fictiv a unor lucrări, respectiv, folosirea cu ştiinţă a unor a unor documente inexacte, în scopul justificării solicitării la plată a finanţării nerambursabile.</w:t>
      </w:r>
    </w:p>
    <w:p>
      <w:pPr>
        <w:pStyle w:val="NormalWeb"/>
        <w:spacing w:before="0" w:after="0"/>
        <w:ind w:right="0" w:firstLine="708"/>
        <w:contextualSpacing/>
        <w:jc w:val="both"/>
        <w:rPr/>
      </w:pPr>
      <w:r>
        <w:rPr/>
        <w:t>În mod legal, prima instanţă s-a întemeiat pe concluziile raportului de expertiză tehnică administrată în cauză, modalitatea de apreciere a probatoriului şi de acordare a prevalenţei raportului comparativ cu alte înscrisuri (cum ar fi concluziile comunicate de ADRS SV  ..., prin informarea nr. x/27.11.2014, privind plata cheltuielilor aprobate in cererea de plata nr. 3) nu poate face obiectul criticii în calea de atac a recursului, reprezentând o chestiune de fapt, ce nu mai poate fi recurată.</w:t>
      </w:r>
    </w:p>
    <w:p>
      <w:pPr>
        <w:pStyle w:val="NormalWeb"/>
        <w:spacing w:before="0" w:after="0"/>
        <w:ind w:right="0" w:firstLine="708"/>
        <w:contextualSpacing/>
        <w:jc w:val="both"/>
        <w:rPr/>
      </w:pPr>
      <w:r>
        <w:rPr/>
        <w:t>Nici afirmaţiile recurentei în sensul că hotărârea instanţei de fond, referitor la situaţia de fapt, prezentata in considerentele hotărârii nu are la baza mijloacele de proba prezentate de recurenta, nu poate fi cercetată pe calea prezentei căi de atac, nefiind posibilă încadrarea acestei critici în vreunul din motivele de casare de la art. 488 alin. (1) din Codul de procedură civilă.</w:t>
      </w:r>
    </w:p>
    <w:p>
      <w:pPr>
        <w:pStyle w:val="NormalWeb"/>
        <w:spacing w:before="0" w:after="0"/>
        <w:ind w:right="0" w:firstLine="708"/>
        <w:contextualSpacing/>
        <w:jc w:val="both"/>
        <w:rPr/>
      </w:pPr>
      <w:r>
        <w:rPr/>
        <w:t>Referitor la critica greşitei aplicări a legii de către prima instanţă cât priveşte noţiunea de neregula, Înalta Curte constată că în mod corect a reţinut prima instanţă că în cauză a fost săvârşită o neregulă, în sensul art. 2 alin. (1), lit. a) din O.U.G. nr. 66/2011. Astfel, faptul că o serie de lucrări efectuate din fonduri nerambursabile sunt neconforme potrivit legislaţiei în materia construcţiilor civile, că la unele lucrări au fost folosite alte materiale decât cele prevăzute în proiect, că au fost decontate cantităţi mai mari de materiale decât cele puse în operă sau decontate lucrări care nu se găsesc fizic în teren, conturează în cauză existenţa unei nereguli.</w:t>
      </w:r>
    </w:p>
    <w:p>
      <w:pPr>
        <w:pStyle w:val="NormalWeb"/>
        <w:spacing w:before="0" w:after="0"/>
        <w:ind w:right="0" w:firstLine="708"/>
        <w:contextualSpacing/>
        <w:jc w:val="both"/>
        <w:rPr/>
      </w:pPr>
      <w:r>
        <w:rPr/>
        <w:t>În raport de textul citat, pentru a fi în prezenţa unei nereguli trebuie să existe o abatere, care constă în acţiunea/inacţiune beneficiarului prin care s-au încălcat prevederile legale în vigoare şi ale contractului de finanţare, precum şi un prejudiciu ce constă în suma plătită necuvenit.</w:t>
      </w:r>
    </w:p>
    <w:p>
      <w:pPr>
        <w:pStyle w:val="NormalWeb"/>
        <w:spacing w:before="0" w:after="0"/>
        <w:ind w:right="0" w:firstLine="708"/>
        <w:contextualSpacing/>
        <w:jc w:val="both"/>
        <w:rPr/>
      </w:pPr>
      <w:r>
        <w:rPr/>
        <w:t>În cauza de faţă, neregula constă în acţiunea reclamantei de a se abate de la dispoziţiile legale privind implementarea contractului de finanţare, folosirea unor documente nereale, derularea în mod fictiv a unor lucrări, respectiv, folosirea cu ştiinţă a unor a unor documente inexacte, în scopul justificării solicitării la plată a finanţării nerambursabile.</w:t>
      </w:r>
    </w:p>
    <w:p>
      <w:pPr>
        <w:pStyle w:val="NormalWeb"/>
        <w:spacing w:before="0" w:after="0"/>
        <w:ind w:right="0" w:firstLine="708"/>
        <w:contextualSpacing/>
        <w:jc w:val="both"/>
        <w:rPr/>
      </w:pPr>
      <w:r>
        <w:rPr/>
        <w:t>Scopul legiuitorului a fost acela de a atribui în sarcina beneficiarilor fondurilor nerambursabile o răspundere contractuală care nu impune autorităţii care a acordat aceste fonduri alte cerinţe pentru caracterul neeligibil al acestora, cu excepţia constatării unor nereguli, astfel încât în măsura identificării unor astfel de nereguli să rezulte în mod direct existenta unei astfel de legături de cauzalitate între acţiunea neconformă şi posibilitatea producerii unui prejudiciu.</w:t>
      </w:r>
    </w:p>
    <w:p>
      <w:pPr>
        <w:pStyle w:val="NormalWeb"/>
        <w:spacing w:before="0" w:after="0"/>
        <w:ind w:right="0" w:firstLine="708"/>
        <w:contextualSpacing/>
        <w:jc w:val="both"/>
        <w:rPr/>
      </w:pPr>
      <w:r>
        <w:rPr/>
        <w:t>Art. 2 pct. 7 din Regulamentul (CE) nr. 1083/2006 al Consiliului U.E a stabilit ca "neregularitate" înseamnă orice încălcare a unei dispoziţii a dreptului comunitar care rezultă dintr-un act sau dintr-o omisiune a unui operator economic care are sau ar putea avea ca efect un prejudiciu la adresa bugetului general al Uniunii Europene prin imputarea unei cheltuieli necorespunzătoare bugetului general.</w:t>
      </w:r>
    </w:p>
    <w:p>
      <w:pPr>
        <w:pStyle w:val="NormalWeb"/>
        <w:spacing w:before="0" w:after="0"/>
        <w:ind w:right="0" w:firstLine="708"/>
        <w:contextualSpacing/>
        <w:jc w:val="both"/>
        <w:rPr/>
      </w:pPr>
      <w:r>
        <w:rPr/>
        <w:t>Reclamanta a sustinut că aprobarea cererilor de rambursare a fost atributul autorităţilor competente, respectiv pârâţii MDRAP si ADRSV  ..., care anterior au avut si competenta de a verifica documentaţia aferenta cererilor de rambursare, dar si situaţia in fapt a lucrărilor; astfel, prima instanţă a ignorat reţinerea unei nereguli in sarcina autorităţilor competente care au verificat anterior si aprobat la plata cererile de rambursare.</w:t>
      </w:r>
    </w:p>
    <w:p>
      <w:pPr>
        <w:pStyle w:val="NormalWeb"/>
        <w:spacing w:before="0" w:after="0"/>
        <w:ind w:right="0" w:firstLine="708"/>
        <w:contextualSpacing/>
        <w:jc w:val="both"/>
        <w:rPr/>
      </w:pPr>
      <w:r>
        <w:rPr/>
        <w:t>Înalta Curte a constatat că, potrivit prev. art. 4 din O.U.G. nr. 66/2011:</w:t>
      </w:r>
    </w:p>
    <w:p>
      <w:pPr>
        <w:pStyle w:val="NormalWeb"/>
        <w:spacing w:before="0" w:after="0"/>
        <w:ind w:right="0" w:firstLine="708"/>
        <w:contextualSpacing/>
        <w:jc w:val="both"/>
        <w:rPr/>
      </w:pPr>
      <w:r>
        <w:rPr/>
        <w:t>"Entităţile publice care au calitatea de autorităţi cu competenţe în gestionarea fondurilor europene sau de beneficiari ai programelor finanţate integral sau parţial din fonduri europene şi/sau din fonduri publice naţionale aferente acestora au obligaţia organizării şi exercitării activităţii de control intern, de control preventiv şi de identificare şi gestionare a riscurilor, precum şi a exercitării activităţii de audit intern, în conformitate cu prevederile legislaţiei naţionale şi comunitare în vigoare, precum şi cu Standardele internaţionale de audit.".</w:t>
      </w:r>
    </w:p>
    <w:p>
      <w:pPr>
        <w:pStyle w:val="NormalWeb"/>
        <w:spacing w:before="0" w:after="0"/>
        <w:ind w:right="0" w:firstLine="708"/>
        <w:contextualSpacing/>
        <w:jc w:val="both"/>
        <w:rPr/>
      </w:pPr>
      <w:r>
        <w:rPr/>
        <w:t>Pe de altă parte, CJUE a reţinut în Cauza C-465/10 Hotărârea Ministre de l’Intérieur, de l’Outre mer, des Collectivités territoriales et de l’Immigration din 21 decembrie 2011, aplicând prin analogie raţionamentul din Cauza C-94/05 Hotărârea Emsland-Stärke GmbH din 16 martie 2006 că "împrejurarea că autorităţile competente ar fi fost informate de beneficiarul subvenţiei cu privire la alegerea cocontractantului înainte chiar de lansarea procedurii de cerere şi ofertă care avea ca obiect atribuirea contratului de achiziţii publice în cauză, aceasta nu influenţează, ca tare, calificarea drept "abatere" în sensul articolului 1 al doilea paragraf din Regulamentul nr. 2988/95".</w:t>
      </w:r>
    </w:p>
    <w:p>
      <w:pPr>
        <w:pStyle w:val="NormalWeb"/>
        <w:spacing w:before="0" w:after="0"/>
        <w:ind w:right="0" w:firstLine="708"/>
        <w:contextualSpacing/>
        <w:jc w:val="both"/>
        <w:rPr/>
      </w:pPr>
      <w:r>
        <w:rPr/>
        <w:t>Reiterând cele statuate deja în prezentele considerente, faptul că neregula ar fi fost ignorată de autoritatea competentă la momentul acordării cofinanţării nu poate fi reţinut ca un argument în favoarea recurentei şi nu poate duce la exonerarea acesteia. Astfel, chiar dacă a existat o omisiune culpabilă în acordarea finanţării sau rambursării, descoperirea şi dovedirea ulterioară a existenţei neregulii nu poate fi acoperită prin invocarea acestei împrejurări.</w:t>
      </w:r>
    </w:p>
    <w:p>
      <w:pPr>
        <w:pStyle w:val="NormalWeb"/>
        <w:spacing w:before="0" w:after="0"/>
        <w:ind w:right="0" w:firstLine="708"/>
        <w:contextualSpacing/>
        <w:jc w:val="both"/>
        <w:rPr/>
      </w:pPr>
      <w:r>
        <w:rPr/>
        <w:t>În ceea ce priveşte invocarea încălcării principiului proporţionalităţii, conform prev. art. 2 alin. (1) lit. n) din O.U.G. nr. 66/2011, prin principiul proporţionalităţii se înţelege ideea că orice măsură administrativă adoptată trebuie să fie adecvată, necesară şi corespunzătoare scopului urmărit, atât în ceea ce priveşte resursele angajate în constatarea neregulilor, cât şi în ceea ce priveşte stabilirea creanţelor bugetare rezultate din nereguli, ţinând seama de natura şi frecvenţa neregulilor constatate şi de impactul financiar al acestora asupra proiectului/programului respectiv.</w:t>
      </w:r>
    </w:p>
    <w:p>
      <w:pPr>
        <w:pStyle w:val="NormalWeb"/>
        <w:spacing w:before="0" w:after="0"/>
        <w:ind w:right="0" w:firstLine="708"/>
        <w:contextualSpacing/>
        <w:jc w:val="both"/>
        <w:rPr/>
      </w:pPr>
      <w:r>
        <w:rPr/>
        <w:t>De asemenea, conform prev. art. 17 din O.U.G. nr. 66/2011, "orice acţiune întreprinsă în sensul constatării unei nereguli şi al stabilirii creanţelor bugetare rezultate din nereguli se realizează cu aplicarea principiului proporţionalităţii, ţinându-se seama de natura şi de gravitatea neregulii constatate, precum şi de amploarea şi de implicaţiile financiare ale acesteia."</w:t>
      </w:r>
    </w:p>
    <w:p>
      <w:pPr>
        <w:pStyle w:val="NormalWeb"/>
        <w:spacing w:before="0" w:after="0"/>
        <w:ind w:right="0" w:firstLine="708"/>
        <w:contextualSpacing/>
        <w:jc w:val="both"/>
        <w:rPr>
          <w:bCs/>
          <w:iCs/>
        </w:rPr>
      </w:pPr>
      <w:r>
        <w:rPr>
          <w:bCs/>
          <w:iCs/>
        </w:rPr>
        <w:t>Principiul proporţionalităţii presupune că orice măsură luată de o autoritate publică, care afectează drepturile indivizilor, trebuie să fie corespunzătoare atingerii unui scop legitim, necesară în vederea atingerii acelui scop şi în acelaşi timp, cea mai rezonabilă.</w:t>
      </w:r>
    </w:p>
    <w:p>
      <w:pPr>
        <w:pStyle w:val="NormalWeb"/>
        <w:spacing w:before="0" w:after="0"/>
        <w:ind w:right="0" w:firstLine="708"/>
        <w:contextualSpacing/>
        <w:jc w:val="both"/>
        <w:rPr/>
      </w:pPr>
      <w:r>
        <w:rPr>
          <w:bCs/>
          <w:iCs/>
        </w:rPr>
        <w:t>În jurisprudenţa constantă a Curţii de Justiţie a Uniunii Europene s-a statuat că principiul proporţionalităţii face parte dintre principiile generale ale dreptului comunitar şi impune ca mijloacele puse în aplicare printr-o dispoziţie de drept comunitar să fie apte să realizeze obiectivele legitime urmărite de reglementarea în cauză şi să nu depăşească ceea ce este necesar pentru atingerea acestora.</w:t>
      </w:r>
    </w:p>
    <w:p>
      <w:pPr>
        <w:pStyle w:val="NormalWeb"/>
        <w:spacing w:before="0" w:after="0"/>
        <w:ind w:right="0" w:firstLine="708"/>
        <w:contextualSpacing/>
        <w:jc w:val="both"/>
        <w:rPr>
          <w:bCs/>
          <w:iCs/>
        </w:rPr>
      </w:pPr>
      <w:r>
        <w:rPr>
          <w:bCs/>
          <w:iCs/>
        </w:rPr>
        <w:t>În aplicarea acestui principiu, Curtea de Justiţie a Uniunii Europene a stabilit că sancţiunile din dreptul intern trebuie să fie întotdeauna proporţionale cu gravitatea abuzului (cauza C-146/05, Hotărârea din 27 septembrie 2007, Collee KG şi Finanzanet) iar "măsura să nu depăşească ceea ce este necesar pentru că devine improprie scopului urmărit" (cauza C-45/2006).</w:t>
      </w:r>
    </w:p>
    <w:p>
      <w:pPr>
        <w:pStyle w:val="NormalWeb"/>
        <w:spacing w:before="0" w:after="0"/>
        <w:ind w:right="0" w:firstLine="708"/>
        <w:contextualSpacing/>
        <w:jc w:val="both"/>
        <w:rPr/>
      </w:pPr>
      <w:r>
        <w:rPr/>
        <w:t>De asemenea, în Cauza Comissia/Partheon (T7/05, pct. 94 - 107), Curtea de Justiţie a subliniat: "Atunci când se constată o încălcare a dispoziţiilor contractuale de către beneficiarul fondurilor nerambursabile, autoritatea contractantă are o marjă de apreciere în privinţa luării unor decizii cu caracter sancţionator, dacă încălcarea este suficient de gravă".</w:t>
      </w:r>
    </w:p>
    <w:p>
      <w:pPr>
        <w:pStyle w:val="NormalWeb"/>
        <w:spacing w:before="0" w:after="0"/>
        <w:ind w:right="0" w:firstLine="708"/>
        <w:contextualSpacing/>
        <w:jc w:val="both"/>
        <w:rPr/>
      </w:pPr>
      <w:r>
        <w:rPr/>
        <w:t>În acelaşi sens, Regulamentul (CE) nr. 1083/2006 al Consiliului din 11 iulie 2006, menţionat drept temei al adoptării H.G. nr. 678/2015, reglementează principiul proporţionalităţii din perspectiva cuantificării obiectivelor şi a rezultatelor [articolul 37 (1)].</w:t>
      </w:r>
    </w:p>
    <w:p>
      <w:pPr>
        <w:pStyle w:val="NormalWeb"/>
        <w:spacing w:before="0" w:after="0"/>
        <w:ind w:right="0" w:firstLine="708"/>
        <w:contextualSpacing/>
        <w:jc w:val="both"/>
        <w:rPr/>
      </w:pPr>
      <w:r>
        <w:rPr/>
        <w:t>Recurenta a invocat faptul că instanţa a reluat menţiunile din procesele-verbale de creanţa si a stabilit, in mod nelegal, ca fiind neeligibile toate sumele plătite in baza contractului de finanţare, fara sa aibă in vedere criteriile prevăzute la acest articol, respectiv: gravitatea neregularitatii; pierderile efective financiare din fondurile europene, care trebuie sa fie raportate la indicatorii stadiului execuţiei fizice a lucrărilor si calităţii tehnice; interpretarea clauzelor contractului de finanţare, in privinţa cheltuielilor neeligibile.</w:t>
      </w:r>
    </w:p>
    <w:p>
      <w:pPr>
        <w:pStyle w:val="NormalWeb"/>
        <w:spacing w:before="0" w:after="0"/>
        <w:ind w:right="0" w:firstLine="708"/>
        <w:contextualSpacing/>
        <w:jc w:val="both"/>
        <w:rPr/>
      </w:pPr>
      <w:r>
        <w:rPr/>
        <w:t>Înalta Curte a constatat că, aşa cum a reieşit din concluziile expertizei administrate în cauză, proiectul nu este funcţional, indicatorii nu sunt atinşi, lucrările sunt sistate şi prezintă degradări evidente.</w:t>
      </w:r>
    </w:p>
    <w:p>
      <w:pPr>
        <w:pStyle w:val="NormalWeb"/>
        <w:spacing w:before="0" w:after="0"/>
        <w:ind w:right="0" w:firstLine="708"/>
        <w:contextualSpacing/>
        <w:jc w:val="both"/>
        <w:rPr/>
      </w:pPr>
      <w:r>
        <w:rPr/>
        <w:t>Or, cât timp nu au fost realizate obiectivele proiectului în integralitate sau măcar într-o mare parte care să fie considerată esenţială în mod corect a reţinut prima instanţă legalitatea actelor atacate şi faptul că toate cheltuielile aferente proiectului au devenit neeligibile, neputându-se reţine o greşită aplicare a dispoziţiilor art. 2 alin. (1) lit. a) din O.U.G. nr. 66/2011 sau a art. 2 din H.G. nr. 759/2014.</w:t>
      </w:r>
    </w:p>
    <w:p>
      <w:pPr>
        <w:pStyle w:val="NormalWeb"/>
        <w:spacing w:before="0" w:after="0"/>
        <w:ind w:right="0" w:firstLine="708"/>
        <w:contextualSpacing/>
        <w:jc w:val="both"/>
        <w:rPr/>
      </w:pPr>
      <w:r>
        <w:rPr/>
        <w:t>Ca urmare, Înalta Curte a considerat că motivul de casare referitor la greşita aplicare a principiului proporţionalităţii este nefondat.</w:t>
      </w:r>
    </w:p>
    <w:p>
      <w:pPr>
        <w:pStyle w:val="NormalWeb"/>
        <w:spacing w:before="0" w:after="0"/>
        <w:ind w:right="0" w:firstLine="708"/>
        <w:contextualSpacing/>
        <w:jc w:val="both"/>
        <w:rPr/>
      </w:pPr>
      <w:r>
        <w:rPr/>
        <w:t>În ceea ce priveşte susţinerea că prin hotărârea data instanţa de fond a încălcat dispoziţiile art. 2 alin. (1) lit. e), h), j) si i) din O.U.G. nr. 66/2011 si art. 7 alin. (1) din O.U.G. nr. 66/2011 privind activitatea de stabilire a creanţelor bugetare rezultate din nereguli, deoarece verificarea criteriilor de eligibilitate la care se refera instanţa in motivarea hotărârii se realizează anterior aprobării cererilor de rambursare de către autorităţile competente, iar noţiunea de neregula si de abatere in sarcina beneficiarului nu se poate analiza după aprobarea cheltuielilor de către autorităţile competente, Înalta Curte a răspuns deja acestui motiv.</w:t>
      </w:r>
    </w:p>
    <w:p>
      <w:pPr>
        <w:pStyle w:val="NormalWeb"/>
        <w:spacing w:before="0" w:after="0"/>
        <w:ind w:right="0" w:firstLine="708"/>
        <w:contextualSpacing/>
        <w:jc w:val="both"/>
        <w:rPr/>
      </w:pPr>
      <w:r>
        <w:rPr/>
        <w:t>Astfel cum s-a reţinut mai sus, prevederile art. 4 din O.U.G. nr. 66/2011 conduc la concluzia că descoperirea şi dovedirea ulterioară a existenţei neregulii nu poate fi acoperită prin invocarea acestei împrejurări şi nu poate împiedica restituirea sumelor considerate ca fiind cheltuieli neeligibile.</w:t>
      </w:r>
    </w:p>
    <w:p>
      <w:pPr>
        <w:pStyle w:val="NormalWeb"/>
        <w:spacing w:before="0" w:after="0"/>
        <w:ind w:right="0" w:firstLine="708"/>
        <w:contextualSpacing/>
        <w:jc w:val="both"/>
        <w:rPr/>
      </w:pPr>
      <w:r>
        <w:rPr/>
        <w:t>Faptul că prima instanţă a reţinut legalitatea actelor administrative încheiate de aceleaşi autorităţi după rambursarea/plata sumelor către beneficiari către constructori este expresia celor statuate anterior cu privire la necesitatea recuperării fondurilor nelegal cheltuite.</w:t>
      </w:r>
    </w:p>
    <w:p>
      <w:pPr>
        <w:pStyle w:val="NormalWeb"/>
        <w:spacing w:before="0" w:after="0"/>
        <w:ind w:right="0" w:firstLine="708"/>
        <w:contextualSpacing/>
        <w:jc w:val="both"/>
        <w:rPr/>
      </w:pPr>
      <w:r>
        <w:rPr/>
        <w:t>În concluzie, raportat la prevederile contractuale şi legale, atâta timp cât reclamanta a încălcat dispoziţiile legale incidente în implementarea proiectului, bugetul Uniunii Europene şi cel naţional aferent acestuia este prejudiciat, sens în care se impune aplicarea unor corecţii financiare/reduceri procentuale, respectiv stabilirea unor cheltuieli neeligibile (cum este cazul de faţă).</w:t>
      </w:r>
    </w:p>
    <w:p>
      <w:pPr>
        <w:pStyle w:val="NormalWeb"/>
        <w:spacing w:before="0" w:after="0"/>
        <w:ind w:right="0" w:firstLine="708"/>
        <w:contextualSpacing/>
        <w:jc w:val="both"/>
        <w:rPr/>
      </w:pPr>
      <w:r>
        <w:rPr/>
        <w:t>În jurisprudenţa sa, CJUE a statuat că inclusiv abaterile care nu au un impact financiar precis pot efecta interesele financiare a Uniunii - C-465/10 pct. 47 şi C-199/03 pct. 31, statul fiind în măsură să solicite beneficiarului în cauză rambursarea finanţării C-271 pct. 48. C-465/10 pct. 32 regula generală fiind că orice abatere trebuie să ducă la retragerea avantajului obţinut în mod fraudulos C-199/03, pct. 15.</w:t>
      </w:r>
    </w:p>
    <w:p>
      <w:pPr>
        <w:pStyle w:val="NormalWeb"/>
        <w:spacing w:before="0" w:after="0"/>
        <w:ind w:right="0" w:firstLine="708"/>
        <w:contextualSpacing/>
        <w:jc w:val="both"/>
        <w:rPr/>
      </w:pPr>
      <w:r>
        <w:rPr/>
        <w:t>În concluzie, este corectă concluzia potrivit căreia obligaţia de recuperare a fondurilor UE există în toate cazurile de constatare a unor fraude sau nereguli, fără a fi necesară probarea existenţei producerii unui prejudiciu.</w:t>
      </w:r>
    </w:p>
    <w:p>
      <w:pPr>
        <w:pStyle w:val="NormalWeb"/>
        <w:spacing w:before="0" w:after="0"/>
        <w:ind w:right="0" w:firstLine="708"/>
        <w:contextualSpacing/>
        <w:jc w:val="both"/>
        <w:rPr/>
      </w:pPr>
      <w:r>
        <w:rPr/>
        <w:t>În ceea ce priveşte susţinerile recurentei referitoare la responsabilitatea autorităţilor competente pentru managementul şi controlul programelor operaţionale, aceasta responsabilitate se poate manifesta doar în sensul dispoziţiilor O.U.G. nr. 66/2011 şi al prevederilor contractuale, respectiv al recuperării finanţărilor nelegal administrate de către beneficiari.</w:t>
      </w:r>
    </w:p>
    <w:p>
      <w:pPr>
        <w:pStyle w:val="NormalWeb"/>
        <w:spacing w:before="0" w:after="0"/>
        <w:ind w:right="0" w:firstLine="708"/>
        <w:contextualSpacing/>
        <w:jc w:val="both"/>
        <w:rPr/>
      </w:pPr>
      <w:r>
        <w:rPr/>
        <w:t>Cu privire la susţinerea recurentei, în sensul că prima instanţă a făcut o greşită aplicare a art. 27 din O.U.G. nr. 66/2011, Înalta Curte constată că, deşi corecţiile financiare nu sunt sancţiuni, ci măsuri administrative, conform deciziei CJUE în cauza C-260/14, aceasta nu are consecinţa invocată de recurentă (în sensul că nu se răsfrânge asupra tuturor cheltuielilor afectate de neregulă, fie că sunt efectuate deja sau vor fi efectuate pe viitor), ci are ca şi consecinţă faptul că nu se putea reţine o aplicare retroactivă a O.U.G. nr. 66/32011 în cazul unui contract de finanţare încheiat anterior intrării în vigoare a acestui act normativ.</w:t>
      </w:r>
    </w:p>
    <w:p>
      <w:pPr>
        <w:pStyle w:val="NormalWeb"/>
        <w:spacing w:before="0" w:after="0"/>
        <w:ind w:right="0" w:firstLine="708"/>
        <w:contextualSpacing/>
        <w:jc w:val="both"/>
        <w:rPr/>
      </w:pPr>
      <w:r>
        <w:rPr/>
        <w:t>Dimpotrivă, Înalta Curte constată că interesul Uniunii Europene în acordarea fondurilor nerambursabile îl constituie instituirea unui climat de afaceri conform standardelor europene.</w:t>
      </w:r>
    </w:p>
    <w:p>
      <w:pPr>
        <w:pStyle w:val="NormalWeb"/>
        <w:spacing w:before="0" w:after="0"/>
        <w:ind w:right="0" w:firstLine="708"/>
        <w:contextualSpacing/>
        <w:jc w:val="both"/>
        <w:rPr/>
      </w:pPr>
      <w:r>
        <w:rPr/>
        <w:t>Deşi este corectă susţinerea în sensul că nu este suficientă simpla existenţă a unei abateri, ci această abatere trebuie să poată, prin ea însăşi, să producă un prejudiciu determinabil, iar corecţia financiară trebuie să fie o măsură adecvată, necesară şi corespunzătoare scopului urmărit, Înalta Curte reţine că neîndeplinirea obiectivelor stabilite conform contractului de finanţare duce la folosirea acestor fonduri contrar scopului pentru care au fost atribuite.</w:t>
      </w:r>
    </w:p>
    <w:p>
      <w:pPr>
        <w:pStyle w:val="NormalWeb"/>
        <w:spacing w:before="0" w:after="0"/>
        <w:ind w:right="0" w:firstLine="708"/>
        <w:contextualSpacing/>
        <w:jc w:val="both"/>
        <w:rPr/>
      </w:pPr>
      <w:r>
        <w:rPr/>
        <w:t>Astfel, potrivit art. 2 lit. a) din O.U.G. nr. 66/2011, neregula constă în "orice abatere de la legalitate, regularitate şi conformitate în raport cu dispoziţiile naţionale şi/sau europene, precum şi cu prevederile contractelor ori a altor angajamente legal încheiate în baza acestor dispoziţii, ce rezultă dintr-o acţiune sau inacţiune a beneficiarului ori a autorităţii cu competenţe în gestionarea fondurilor europene, care a prejudiciat sau care poate prejudicia bugetul Uniunii Europene/bugetele donatorilor publici internaţionali şi/sau fondurile publice naţionale aferente acestora printr-o sumă plătită necuvenit".</w:t>
      </w:r>
    </w:p>
    <w:p>
      <w:pPr>
        <w:pStyle w:val="NormalWeb"/>
        <w:spacing w:before="0" w:after="0"/>
        <w:ind w:right="0" w:firstLine="708"/>
        <w:contextualSpacing/>
        <w:jc w:val="both"/>
        <w:rPr/>
      </w:pPr>
      <w:r>
        <w:rPr/>
        <w:t>În sensul art. 1 alin. (2) din Regulamentul nr. 2988/1995 privind protecţia intereselor financiare ale Uniunii Europene, "abatere" reprezintă "orice încălcare a unei dispoziţii de drept comunitar, ca urmare a unei acţiuni sau omisiuni a unui agent economic, care poate sau ar putea prejudicia bugetul general al Comunităţilor sau bugetele gestionate de acestea, fie prin diminuarea sau pierderea veniturilor acumulate din resurse proprii, colectate direct în numele Comunităţilor, fie prin cheltuieli nejustificate".</w:t>
      </w:r>
    </w:p>
    <w:p>
      <w:pPr>
        <w:pStyle w:val="NormalWeb"/>
        <w:spacing w:before="0" w:after="0"/>
        <w:ind w:right="0" w:firstLine="708"/>
        <w:contextualSpacing/>
        <w:jc w:val="both"/>
        <w:rPr/>
      </w:pPr>
      <w:r>
        <w:rPr/>
        <w:t>Este adevărat că aceste definiţii includ elementul producerii unui efect vătămător asupra bugetului Uniunii sau asupra fondurilor publice naţionale corespunzătoare, efect constând în existenţa unui impact financiar deja produs sau doar potenţial, dar nu se poate reţine că, în speţă, acest element definitoriu nu este întrunit, de vreme ce neregula constă în obţinerea unei finanţări nerambursabile fărăr atingerea obiectivelor stabilite prin contractul de finanţare semnat.</w:t>
      </w:r>
    </w:p>
    <w:p>
      <w:pPr>
        <w:pStyle w:val="NormalWeb"/>
        <w:spacing w:before="0" w:after="0"/>
        <w:ind w:right="0" w:firstLine="708"/>
        <w:contextualSpacing/>
        <w:jc w:val="both"/>
        <w:rPr/>
      </w:pPr>
      <w:r>
        <w:rPr/>
        <w:t>Faţă de prev. art. 27 alin. (3) din O.U.G. nr. 66/2011, trebuie avută în vedere şi jurisprudenţa Curţii de Justiţie a Uniunii Europene, care a statuat că "inclusiv abaterile care nu au un impact financiar precis pot afecta interesele financiare ale Uniunii" (C- 465/10 pct. 47 şi C- 199/03 pct. 31), statul fiind în măsură să "solicite beneficiarului în cauză rambursarea finanţării" (C-465/10 pct. 32), regula generală fiind că orice abatere trebuie să conducă la retragerea avantajului obţinut prin comiterea unei nereguli (C-199/03, pct. 15).</w:t>
      </w:r>
    </w:p>
    <w:p>
      <w:pPr>
        <w:pStyle w:val="NormalWeb"/>
        <w:spacing w:before="0" w:after="0"/>
        <w:ind w:right="0" w:firstLine="708"/>
        <w:contextualSpacing/>
        <w:jc w:val="both"/>
        <w:rPr/>
      </w:pPr>
      <w:r>
        <w:rPr/>
        <w:t>Prin urmare, instanţa de control judiciar reţine că nefinalizarea şi nerecepţionarea proiectului produc consecinţe în cascadă asupra tuturor cererilor de rambursare depuse de recurentă.</w:t>
      </w:r>
    </w:p>
    <w:p>
      <w:pPr>
        <w:pStyle w:val="NormalWeb"/>
        <w:spacing w:before="0" w:after="0"/>
        <w:ind w:right="0" w:firstLine="708"/>
        <w:contextualSpacing/>
        <w:jc w:val="both"/>
        <w:rPr/>
      </w:pPr>
      <w:r>
        <w:rPr/>
        <w:t>Nu se poate reţine încălcarea prev. art. 31 din O.U.G. nr. 66/2011 care interzice reluarea controlului în lipsa unor date suplimentare noi, cât timp aprobarea iniţială la plată nu se încadrează din punct de vedere al procedurii în noţiunea de verificare; verificarea modalităţii de folosire a fondurilor europene poate fi atât anterior acordării sumelor efective, cât şi ex-post, art. 31 din lege interzicând reluarea verificărilor ex-post fără apariţia unor elemente de fapt noi care să necesite o nouă verificare.</w:t>
      </w:r>
    </w:p>
    <w:p>
      <w:pPr>
        <w:pStyle w:val="NormalWeb"/>
        <w:spacing w:before="0" w:after="0"/>
        <w:ind w:right="0" w:firstLine="708"/>
        <w:contextualSpacing/>
        <w:jc w:val="both"/>
        <w:rPr>
          <w:b/>
          <w:i/>
          <w:i/>
        </w:rPr>
      </w:pPr>
      <w:r>
        <w:rPr>
          <w:b/>
          <w:i/>
        </w:rPr>
        <w:t>4. Contestaţia în anulare exercitată în cauză şi soluţia instanţei:</w:t>
      </w:r>
    </w:p>
    <w:p>
      <w:pPr>
        <w:pStyle w:val="Normal"/>
        <w:spacing w:before="0" w:after="0"/>
        <w:ind w:right="0" w:firstLine="709"/>
        <w:contextualSpacing/>
        <w:jc w:val="both"/>
        <w:rPr/>
      </w:pPr>
      <w:r>
        <w:rPr/>
        <w:t xml:space="preserve">Împotriva deciziei civile nr. </w:t>
      </w:r>
      <w:r>
        <w:rPr>
          <w:b/>
        </w:rPr>
        <w:t>DC1 din data de ...</w:t>
      </w:r>
      <w:r>
        <w:rPr/>
        <w:t xml:space="preserve">, pronunțată de Înalta Curte de Casație si Justiție- Secția ... în dosarul nr. </w:t>
      </w:r>
      <w:r>
        <w:rPr>
          <w:b/>
        </w:rPr>
        <w:t>D2</w:t>
      </w:r>
      <w:r>
        <w:rPr/>
        <w:t xml:space="preserve"> a formulat contestataţie în anulare reclamanta Unitatea Administrativ Teritoriala comuna ...  întemeiată pe dispoziţiile art. 503 alin. 2 pct. 3 Cod procedură civilă, solicitând admiterea cererii, anularea deciziei atacate, admiterea recursului declarat împotriva sentinţei civile nr. SC1, pronunţată de Curtea de Apel ...-Secţia ... şi, în principal, trimiterea cauzei spre rejudecare instanţei de fond, iar în subsidiar, rejudecarea cauzei, cu consecinţa admiterii acţiunii şi anulării actelor administrative contestate.</w:t>
      </w:r>
    </w:p>
    <w:p>
      <w:pPr>
        <w:pStyle w:val="Frspaiere"/>
        <w:spacing w:before="0" w:after="0"/>
        <w:ind w:right="0" w:firstLine="720"/>
        <w:contextualSpacing/>
        <w:jc w:val="both"/>
        <w:rPr/>
      </w:pPr>
      <w:r>
        <w:rPr>
          <w:rFonts w:ascii="Times New Roman" w:hAnsi="Times New Roman" w:cs="Times New Roman"/>
          <w:sz w:val="24"/>
          <w:szCs w:val="24"/>
        </w:rPr>
        <w:t xml:space="preserve">Prin  decizia civila nr. </w:t>
      </w:r>
      <w:r>
        <w:rPr>
          <w:rFonts w:ascii="Times New Roman" w:hAnsi="Times New Roman" w:cs="Times New Roman"/>
          <w:b/>
          <w:sz w:val="24"/>
          <w:szCs w:val="24"/>
        </w:rPr>
        <w:t>DC2 din ...</w:t>
      </w:r>
      <w:r>
        <w:rPr>
          <w:rFonts w:ascii="Times New Roman" w:hAnsi="Times New Roman" w:cs="Times New Roman"/>
          <w:sz w:val="24"/>
          <w:szCs w:val="24"/>
        </w:rPr>
        <w:t xml:space="preserve">, pronunțată de Înalta Curte de Casație si Justiție- Secția ... în dosarul nr. </w:t>
      </w:r>
      <w:r>
        <w:rPr>
          <w:rFonts w:ascii="Times New Roman" w:hAnsi="Times New Roman" w:cs="Times New Roman"/>
          <w:b/>
          <w:sz w:val="24"/>
          <w:szCs w:val="24"/>
        </w:rPr>
        <w:t>D4</w:t>
      </w:r>
      <w:r>
        <w:rPr>
          <w:rFonts w:ascii="Times New Roman" w:hAnsi="Times New Roman" w:cs="Times New Roman"/>
          <w:sz w:val="24"/>
          <w:szCs w:val="24"/>
        </w:rPr>
        <w:t>, s-a respins contestaţia în anulare formulată de contestatoarea Unitatea Administrativ Teritoriala .</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Pentru a se pronunţa astfel, Înalta Curte de Casație si Justiție- Secția ... a reţinut următoarele:</w:t>
      </w:r>
    </w:p>
    <w:p>
      <w:pPr>
        <w:pStyle w:val="Normal"/>
        <w:autoSpaceDE w:val="false"/>
        <w:ind w:right="0" w:firstLine="708"/>
        <w:jc w:val="both"/>
        <w:rPr/>
      </w:pPr>
      <w:r>
        <w:rPr/>
        <w:t>Calea extraordinară de atac pe care a promovat-o UAT comuna ... a fost întemeiată pe dispoziţiile art. 503, alin. (2) pct. 3 C. procedură civilă, potrivit cărora, „Hotărârile instanţelor de recurs mai pot fi atacate cu contestaţie în anulare atunci când instanţa de recurs, respingând recursul sau admiţându-1 în parte, a omis să cerceteze vreunul dintre motivele de casare invocate de recurent în termen".</w:t>
      </w:r>
    </w:p>
    <w:p>
      <w:pPr>
        <w:pStyle w:val="Normal"/>
        <w:autoSpaceDE w:val="false"/>
        <w:ind w:right="0" w:firstLine="708"/>
        <w:jc w:val="both"/>
        <w:rPr/>
      </w:pPr>
      <w:r>
        <w:rPr/>
        <w:t>În cuprinsul contestaţiei în anulare a susţinut UAT comuna ... că nu s-a pronunţat instanţa de recurs asupra motivelor de casare prevăzute de art. 488 pct. 5, 6 şi 8 C. procedură civilă.</w:t>
      </w:r>
    </w:p>
    <w:p>
      <w:pPr>
        <w:pStyle w:val="Normal"/>
        <w:autoSpaceDE w:val="false"/>
        <w:ind w:right="0" w:firstLine="708"/>
        <w:jc w:val="both"/>
        <w:rPr/>
      </w:pPr>
      <w:r>
        <w:rPr/>
        <w:t>În privinţa criticilor subsumate temeiului de drept regăsit la art. 488 pct. 5 C. procedură civilă, contestatoarea a arătat că instanţa de recurs nu a analizat efectiv acest motiv distinct, fondul cauzei fiind doar aparent analizat, prin înglobarea criticilor în cazul prevăzut de art. 488 pct. 8 C. procedură civilă.</w:t>
      </w:r>
    </w:p>
    <w:p>
      <w:pPr>
        <w:pStyle w:val="Normal"/>
        <w:autoSpaceDE w:val="false"/>
        <w:ind w:right="0" w:firstLine="708"/>
        <w:jc w:val="both"/>
        <w:rPr/>
      </w:pPr>
      <w:r>
        <w:rPr/>
        <w:t>Sub un prim aspect, în calea contestaţiei în anulare nu se poate cenzura soluţia instanţei de recurs de reîncadrare a criticilor într-un alt temei de drept decât cel indicat de titularul căii de atac, urmând a se verifica doar dacă hotărârea dată în recurs a fost pronunţată cu omisiunea de a cerceta sau nu un anumit motiv de casare. O astfel de reîncadrare nu echivalează cu o atitudine omisivă a instanţei de control judiciar, care să determine o retractare într-o astfel de cale de atac precum cea a contestaţiei în anulare.</w:t>
      </w:r>
    </w:p>
    <w:p>
      <w:pPr>
        <w:pStyle w:val="Normal"/>
        <w:autoSpaceDE w:val="false"/>
        <w:ind w:right="0" w:firstLine="708"/>
        <w:jc w:val="both"/>
        <w:rPr/>
      </w:pPr>
      <w:r>
        <w:rPr/>
        <w:t>In decizia contestată se regăsesc argumentele avute în vedere de instanţa de recurs, care a arătat că, în raport de prevederile art. 488 pct. 8 C. procedură civilă, a analizat şi criticile formulate în cadrul motivelor de casare de la art. 488 alin. (1) pct. 5 şi 6 C. procedură civilă, ce nu fuseseră anterior cercetate, fiind expusă motivarea instanţei în referire la pretinsa încălcare a principiului contradictorialităţii, prin faptul că nu a lămurit instanţa de fond obiectivul nr. 1 al expertizei, la încălcarea dreptului la apărare, prin necomunicarea către recurentă a raportului de expertiză extrajudiciară nr. ...1/2015, precum şi la modalitatea de administrare a probei cu expertiza tehnică şi la prevalenta sub aspect probator a acestui raport, comparativ cu alte înscrisuri.</w:t>
      </w:r>
    </w:p>
    <w:p>
      <w:pPr>
        <w:pStyle w:val="Normal"/>
        <w:autoSpaceDE w:val="false"/>
        <w:ind w:right="0" w:firstLine="708"/>
        <w:jc w:val="both"/>
        <w:rPr/>
      </w:pPr>
      <w:r>
        <w:rPr/>
        <w:t>Nu se poate reţine vreo omisiune a instanţei de recurs de a se pronunţa pe criticile ce au fost subsumate unui anume motiv de casare, atunci când acestea au fost luate în considerare şi respinse motivat, chiar în noua reîncadrare făcută în calea controlului judiciar.</w:t>
      </w:r>
    </w:p>
    <w:p>
      <w:pPr>
        <w:pStyle w:val="Normal"/>
        <w:autoSpaceDE w:val="false"/>
        <w:jc w:val="both"/>
        <w:rPr/>
      </w:pPr>
      <w:r>
        <w:rPr/>
        <w:t>Simpla nemulţumire a părţii faţă de soluţia pronunţată în recurs şi de argumentele avute în vedere de instanţă nu îndreptăţeşte pe cel interesat să uzeze de calea contestaţiei în anulare prin care urmăreşte, în realitate, repunerea în discuţie a unor chestiuni tranşate printr-o hotărâre judecătorească deja pronunţată în recurs.</w:t>
      </w:r>
    </w:p>
    <w:p>
      <w:pPr>
        <w:pStyle w:val="Normal"/>
        <w:autoSpaceDE w:val="false"/>
        <w:ind w:right="0" w:firstLine="708"/>
        <w:jc w:val="both"/>
        <w:rPr/>
      </w:pPr>
      <w:r>
        <w:rPr/>
        <w:t>Referitor la pretinsa omisiune de a cerceta motivul de casare subsumat prevederilor art. 488 alin. (1) pct. 6 C. procedură civilă, a susţinut contestatoarea UAT comuna ... că a invocat în recurs, în esenţă, motivarea incompletă, înlăturarea nemotivată a motivelor de nelegalitate invocate de recurentă şi a celorlalte obiective ale expertizei tehnice judiciare, precum şi motivarea contradictorie a primei instanţe, referitor la cuantificarea financiară a cheltuielilor neeligibile.</w:t>
      </w:r>
    </w:p>
    <w:p>
      <w:pPr>
        <w:pStyle w:val="Normal"/>
        <w:autoSpaceDE w:val="false"/>
        <w:ind w:right="0" w:firstLine="708"/>
        <w:jc w:val="both"/>
        <w:rPr/>
      </w:pPr>
      <w:r>
        <w:rPr/>
        <w:t>Verificând considerentele hotărârii ce formează obiectul prezentei contestaţii în anulare, se observă că instanţa de recurs a sistematizat criticile recurentei UAT comuna ... referitoare la preluarea de către prima instanţă a menţiunilor din actele administrative emise de pârât şi redarea răspunsului la obiectivul nr. 1 din conţinutul raportului de expertiză tehnică efectuat în cauză, cu ignorarea celorlalte obiective, răspunsuri, motive de nelegalitate a actelor administrative şi obiecţiunile susţinute de recurenta UAT comuna ..., precum şi criticile şi dispoziţiile legale încălcate de pârât în activitatea de verificare şi stabilire a cheltuielilor neeligibile şi la emiterea actelor administrative.</w:t>
      </w:r>
    </w:p>
    <w:p>
      <w:pPr>
        <w:pStyle w:val="Normal"/>
        <w:autoSpaceDE w:val="false"/>
        <w:ind w:right="0" w:firstLine="708"/>
        <w:jc w:val="both"/>
        <w:rPr/>
      </w:pPr>
      <w:r>
        <w:rPr/>
        <w:t>Subsecvent acestei sistematizări, instanţa de recurs a analizat din perspectiva cerinţelor reglementate de art. 425 C. procedură civilă criticile referitoare la nemotivarea/motivarea contradictorie a hotărârii primei instanţe, iar aspectele reîncadrate în temeiul de casare prevăzut de art. 488 alin. (1) pct. 8 C. procedură civilă au fost avute în vedere în cuprinsul hotărârii pronunţate în recurs, fiind expuse considerente referitoare la evaluarea materialului probator, precum şi la examinarea noţiunii de neregulă din perspectiva textelor legale incidente.</w:t>
      </w:r>
    </w:p>
    <w:p>
      <w:pPr>
        <w:pStyle w:val="Normal"/>
        <w:autoSpaceDE w:val="false"/>
        <w:ind w:right="0" w:firstLine="708"/>
        <w:jc w:val="both"/>
        <w:rPr/>
      </w:pPr>
      <w:r>
        <w:rPr/>
        <w:t>In mod cert, nu se relevă o omisiune a instanţei de recurs de a cerceta vreun motiv de casare, ci doar nemulţumiri ale contestatoarei privind soluţia pronunţată în recurs, pe care încearcă să o reformeze prin exercitarea unei căi extraordinare de atac al cărei temei de drept indicat în cauză nu se regăseşte în argumentele dezvoltate în prezenta contestaţie în anulare.</w:t>
      </w:r>
    </w:p>
    <w:p>
      <w:pPr>
        <w:pStyle w:val="Normal"/>
        <w:autoSpaceDE w:val="false"/>
        <w:ind w:right="0" w:firstLine="708"/>
        <w:jc w:val="both"/>
        <w:rPr/>
      </w:pPr>
      <w:r>
        <w:rPr/>
        <w:t>A mai susţinut contestatoarea UAT comuna ... că a avut loc o omisiune a instanţei de recurs de a se pronunţa asupra unor critici referitoare la nelegalitatea hotărârii primei instanţe şi a actelor administrative ca efect al încălcării şi aplicării greşite a dispoziţiilor art. 21 raportat la art. 20 din OUG nr. 66/2011, privind incompatibilitatea autorităţii care a aprobat cheltuielile la plată si a efectuat ulterior acţiunile de verificare si control, instanţa de recurs afirmând doar că aspectele privind incompatibilitatea reprezintă chestiuni noi invocate în recurs.</w:t>
      </w:r>
    </w:p>
    <w:p>
      <w:pPr>
        <w:pStyle w:val="Normal"/>
        <w:autoSpaceDE w:val="false"/>
        <w:ind w:right="0" w:firstLine="708"/>
        <w:jc w:val="both"/>
        <w:rPr/>
      </w:pPr>
      <w:r>
        <w:rPr/>
        <w:t>Deşi contestatoarea afirmă că aceste argumente au fost prezentate în cererea conexă, iar instanţa de control judiciar a omis a le analiza, faptul că această instanţă le-a avut în vedere, chiar si în maniera de a le considera motive invocate pentru prima dată în recurs, exclude de la aplicare prevederile art. 503, alin. (2) pct. 3 C. procedură civilă, neputând fi vorba despre o omisiune de a cerceta un motiv de recurs, ci de existenţa unor considerente ce sprijină o soluţie nefavorabilă părţii, pe care UAT comuna ... insistă să o reformeze prin exercitarea unui nou control judiciar asupra unei hotărâri pronunţate în recurs.</w:t>
      </w:r>
    </w:p>
    <w:p>
      <w:pPr>
        <w:pStyle w:val="Normal"/>
        <w:autoSpaceDE w:val="false"/>
        <w:ind w:right="0" w:firstLine="708"/>
        <w:jc w:val="both"/>
        <w:rPr/>
      </w:pPr>
      <w:r>
        <w:rPr/>
        <w:t>A mai afirmat contestatoarea că a omis instanţa de recurs să se pronunţe asupra unor critici privind interpretarea şi aplicarea greşită a dispoziţiilor art. 2 alin. (1) lit. a) din OUG nr. 66/2011 privind noţiunea de neregulă, a prevederilor art. 70 pct. 1 din Regulamentul nr. 1083/2006, simpla motivare a deciziei din recurs în care s-a arătat că responsabilitatea autorităţilor competente se poate manifesta doar în sensul dispoziţiilor OUG nr. 66/2011 şi al prevederilor contractuale, respectiv al recuperării finanţărilor nu reprezintă analiza motivului de recurs prin incidenţa prevederilor art. 70 pct. 1 din Regulamentul nr. 1083/2006.</w:t>
      </w:r>
    </w:p>
    <w:p>
      <w:pPr>
        <w:pStyle w:val="Normal"/>
        <w:autoSpaceDE w:val="false"/>
        <w:ind w:right="0" w:firstLine="708"/>
        <w:jc w:val="both"/>
        <w:rPr/>
      </w:pPr>
      <w:r>
        <w:rPr/>
        <w:t>Contestatoarea UAT comuna ... invocă în mod consecvent aspecte care ţin de modalitatea în care instanţa de recurs s-a pronunţat şi a expus considerentele care susţin soluţia pronunţată, iar nu în referire la o omisiune de a examina vreun motiv de recurs. Omisiunea presupune a trece cu vederea, a nu observa un motiv de casare, însă, în prezenta contestaţie în anulare, partea nemulţumită de respingerea recursului pe care 1-a declarat, încearcă să repună în discuţie felul în care instanţa de control judiciar şi-a fundamentat soluţia adoptată, prin considerente care, deşi răspund criticilor recurentei, nu sunt în sensul urmărit de titulara căii de atac, fără a fi vorba de o simplă omisiune, ipoteză ce se situează în afara ariei de incidenţă a prevederilor art. 503 alin. (2) pct. 3 C. procedură civilă.</w:t>
      </w:r>
    </w:p>
    <w:p>
      <w:pPr>
        <w:pStyle w:val="Normal"/>
        <w:autoSpaceDE w:val="false"/>
        <w:ind w:right="0" w:firstLine="708"/>
        <w:jc w:val="both"/>
        <w:rPr/>
      </w:pPr>
      <w:r>
        <w:rPr/>
        <w:t xml:space="preserve">S-a mai afirmat de contestatoarea UAT comuna ... că instanţa de fond nu s-a pronunţat asupra unor critici privind nelegalitatea hotărârii primei instanţe referitoare la încălcarea dispoziţiilor legale ce instituie aplicarea criteriilor prevăzute de art. 98 pct. 2 din Regulamentul nr. 1083/2006, stabilind, în mod nelegal, ca fiind neeligibile toate sumele plătite în baza contractului de finanţare, fară a avea în vedere prevederile anterior menţionate, precum şi cele ale art. 2 lit.n) din OUG nr. 66/2011, art. 4 (1) din Regulamentul Euratom nr. </w:t>
      </w:r>
    </w:p>
    <w:p>
      <w:pPr>
        <w:pStyle w:val="Normal"/>
        <w:autoSpaceDE w:val="false"/>
        <w:jc w:val="both"/>
        <w:rPr/>
      </w:pPr>
      <w:r>
        <w:rPr/>
        <w:t>2988/95.</w:t>
      </w:r>
    </w:p>
    <w:p>
      <w:pPr>
        <w:pStyle w:val="Normal"/>
        <w:autoSpaceDE w:val="false"/>
        <w:ind w:right="0" w:firstLine="708"/>
        <w:jc w:val="both"/>
        <w:rPr/>
      </w:pPr>
      <w:r>
        <w:rPr/>
        <w:t>Însăşi contestatoarea recunoaşte că a existat o pronunţare a instanţei de recurs asupra acestor critici, pe care o apreciază ca fiind sumară, întrucât nu a examinat criteriile prevăzute de art. 98 pct. 2 din Regulamentul nr. 1083/2006.</w:t>
      </w:r>
    </w:p>
    <w:p>
      <w:pPr>
        <w:pStyle w:val="Normal"/>
        <w:autoSpaceDE w:val="false"/>
        <w:ind w:right="0" w:firstLine="708"/>
        <w:jc w:val="both"/>
        <w:rPr/>
      </w:pPr>
      <w:r>
        <w:rPr/>
        <w:t>Înalta Curte reţine că reglementarea motivului de contestaţie în anulare pe care 1-a invocat UAT comuna ... nu se referă la omisiunea de a cerceta fiecare normă legală enunţată în susţinerea criticilor formulate în calea de atac, fiind sancţionată doar lipsa oricărei examinări a unui motiv de recurs, în scopul de a da posibilitatea părţii prejudiciate prin această omisiune să supună controlului judiciar respectivul motiv omis, pentru respectarea garanţiilor aferente unui proces echitabil.</w:t>
      </w:r>
    </w:p>
    <w:p>
      <w:pPr>
        <w:pStyle w:val="Normal"/>
        <w:autoSpaceDE w:val="false"/>
        <w:ind w:right="0" w:firstLine="708"/>
        <w:jc w:val="both"/>
        <w:rPr/>
      </w:pPr>
      <w:r>
        <w:rPr/>
        <w:t>În acest context, nici pretinsa omisiune a instanţei de recurs de a examina criticile privind aplicarea greşită a dispoziţiilor art. 6, 7 şi 9 din OUG nr. 66/2011, art. 2 din HG nr. 759/2004 şi ale art. 4(1) din Regulamentul nr. 2988/95 nu poate fi considerată drept omisiune de pronunţare asupra unui motiv de recurs, întrucât instanţa de recurs a examinat chestiunea privind calificarea corecţiilor financiare ca măsuri administrative, iar nu ca sancţiuni, precum şi cea referitoare la aplicarea în timp a OUG nr. 66/2011, fară a fi necesar să existe o analiză expresă asupra fiecărui text de lege invocat în cuprinsul unei cereri de recurs.</w:t>
      </w:r>
    </w:p>
    <w:p>
      <w:pPr>
        <w:pStyle w:val="Normal"/>
        <w:autoSpaceDE w:val="false"/>
        <w:ind w:right="0" w:firstLine="708"/>
        <w:jc w:val="both"/>
        <w:rPr/>
      </w:pPr>
      <w:r>
        <w:rPr/>
        <w:t>Instanţa de control judiciar se poate pronunţa asupra unui motiv de casare prin gruparea tuturor argumentelor şi temeiurilor pretins încălcate în cadrul unor motive de casare dintre cele prevăzute la art. 488, ulterior fiind luate în examinare aceste motive, iar nu asupra fiecărui argument utilizat de parte pentru a susţine motivul respectiv.</w:t>
      </w:r>
    </w:p>
    <w:p>
      <w:pPr>
        <w:pStyle w:val="Normal"/>
        <w:autoSpaceDE w:val="false"/>
        <w:ind w:right="0" w:firstLine="708"/>
        <w:jc w:val="both"/>
        <w:rPr/>
      </w:pPr>
      <w:r>
        <w:rPr/>
        <w:t>Totodată, omisiunea de a se pronunţa asupra unui motiv de casare, ca temei de drept în calea contestaţiei în anulare, nu se poate confunda cu acţiunea deliberată a instanţei de recurs de a răspunde unor motive de casare prin examinarea reunită a tuturor argumentelor care se circumscriu unei noţiuni a cărei analiză se solicită, raportat la cazul de casare pe care se întemeiază.</w:t>
      </w:r>
    </w:p>
    <w:p>
      <w:pPr>
        <w:pStyle w:val="Normal"/>
        <w:autoSpaceDE w:val="false"/>
        <w:ind w:right="0" w:firstLine="708"/>
        <w:jc w:val="both"/>
        <w:rPr/>
      </w:pPr>
      <w:r>
        <w:rPr/>
        <w:t>Cât priveşte nepronunţarea instanţei de recurs asupra ordonanţei de clasare emisă la data de ... în dosarul penal nr. D5, acest aspect nu  vizează un motiv de recurs din cadrul celor formulate în calea de atac depusă la  dosar la data de 28 martie 2019, fiind amintită respectiva ordonanţă de clasare în cuprinsul solicitării de probatorii depuse la dosar de recurenta-reclamantă la data de 19.10.2019.</w:t>
      </w:r>
    </w:p>
    <w:p>
      <w:pPr>
        <w:pStyle w:val="Normal"/>
        <w:autoSpaceDE w:val="false"/>
        <w:ind w:right="0" w:firstLine="708"/>
        <w:jc w:val="both"/>
        <w:rPr/>
      </w:pPr>
      <w:r>
        <w:rPr/>
        <w:t>Pentru aceste considerente, întrucât nu au fost identificate în calea extraordinară a contestaţiei în anulare omisiuni ale instanţei de recurs de a se pronunţa asupra vreunuia dintre motivele de casare invocate în calea de atac te declarată de parte, Înalta Curte a respins ca nefondată contestaţia formulată de recurenta UAT comuna ... împotriva deciziei nr. DC1/... pronunţată de aceeaşi instanţă în dosarul nr. D2.</w:t>
      </w:r>
    </w:p>
    <w:p>
      <w:pPr>
        <w:pStyle w:val="Normal"/>
        <w:spacing w:before="0" w:after="0"/>
        <w:contextualSpacing/>
        <w:jc w:val="both"/>
        <w:rPr/>
      </w:pPr>
      <w:r>
        <w:rPr/>
        <w:tab/>
      </w:r>
      <w:r>
        <w:rPr>
          <w:b/>
          <w:i/>
        </w:rPr>
        <w:t xml:space="preserve">5. Revizuirea </w:t>
      </w:r>
    </w:p>
    <w:p>
      <w:pPr>
        <w:pStyle w:val="NormalWeb"/>
        <w:spacing w:before="0" w:after="0"/>
        <w:ind w:right="0" w:firstLine="708"/>
        <w:contextualSpacing/>
        <w:jc w:val="both"/>
        <w:rPr/>
      </w:pPr>
      <w:r>
        <w:rPr>
          <w:b/>
        </w:rPr>
        <w:t>5.1</w:t>
      </w:r>
      <w:r>
        <w:rPr/>
        <w:t xml:space="preserve"> Prin cererea înregistrată la data de 18.11.2021 pe rolul Curţii de Apel ...-Secţia ...., sub nr. </w:t>
      </w:r>
      <w:r>
        <w:rPr>
          <w:b/>
        </w:rPr>
        <w:t>D1</w:t>
      </w:r>
      <w:r>
        <w:rPr/>
        <w:t xml:space="preserve"> reclamanta Unitatea Administrativ Teritoriala comuna ... în contradictoriu cu pârâtul Ministerul Dezvoltării Lucrărilor Publice si Administrației- denumit M.D.L.P.A. a formulat cerere de revizuire împotriva sentinţei civile nr. SC1, pronunțată de Curtea de Apel ..- Sectia ... în dosarul nr. D2.</w:t>
      </w:r>
    </w:p>
    <w:p>
      <w:pPr>
        <w:pStyle w:val="NormalWeb"/>
        <w:spacing w:before="0" w:after="0"/>
        <w:ind w:right="0" w:firstLine="708"/>
        <w:contextualSpacing/>
        <w:jc w:val="both"/>
        <w:rPr/>
      </w:pPr>
      <w:r>
        <w:rPr/>
        <w:t>Revizuirea a fost întemeiată pe disp. art. 509 pct. 5 C.proc.civ, revizuenta solicitând admiterea cererii de revizuire, schimbarea in tot a sentinței civile nr.SC1, pronunțată de Curtea de Apel ..- Sectia ..., pe fond admiterea acțiunii formulata de reclamanta si anularea actelor administrative emise de parat-procesul verbal de creanțe nr. ....8/25.08.2016, decizia nr....4/15.11.2016, procesul verbal de creanțe nr....0/6.03.2017 si decizia nr....6/12.05.2017.</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În susţinerea cererii de revizuire arată că, prin sentința civila nr. SC1, pronunțată de Curtea de Apel ..- Sectia ..., s-a respins ca neîntemeiată acțiunea in anularea actelor administrative procesul verbal de creanțe nr.....8/25.08.2016, decizia nr. ...4/15.11.201, procesul verbal de creanțe nr....0/6.03.2017, decizia nr....6/12.05.2017, emise de paratul Ministerul Dezvoltării Regionale Administrației Publice si Fondurilor Europene- actual Ministerul Dezvoltării Lucrărilor Publice si Administrației- denumit M.D.L.P.A.</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Sentința civila nr. SC1, pronunțată de Curtea de Apel ... a rămas definitiva la data de ... prin decizia civila nr.DC1/..., pronunțată de Înalta Curte de Casație si Justiție- Secția ...</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II) Înscrisuri noi - după pronunțarea sentinței civile nr.SC1</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1.Ordonanta din ... a Parchetului de pe lângă Înalta Curte de Casație si Justiție-Direcția Națională Anticorupție Serviciul Teritorial ...-dosar penal nr.D5.</w:t>
      </w:r>
    </w:p>
    <w:p>
      <w:pPr>
        <w:pStyle w:val="Frspaiere"/>
        <w:ind w:right="0" w:firstLine="720"/>
        <w:jc w:val="both"/>
        <w:rPr/>
      </w:pPr>
      <w:r>
        <w:rPr>
          <w:rFonts w:ascii="Times New Roman" w:hAnsi="Times New Roman" w:cs="Times New Roman"/>
          <w:sz w:val="24"/>
          <w:szCs w:val="24"/>
        </w:rPr>
        <w:t>Prin Ordonanța din ... a Parchetului de pe lângă I.C.C.J. D.N.A.- Serviciul Teritorial ...- dosar penal nr.D5, s-a dispus clasarea cauzei cu privire la cercetarea faptelor prevăzute de art. 18</w:t>
      </w:r>
      <w:r>
        <w:rPr>
          <w:rFonts w:ascii="Times New Roman" w:hAnsi="Times New Roman" w:cs="Times New Roman"/>
          <w:sz w:val="24"/>
          <w:szCs w:val="24"/>
          <w:vertAlign w:val="superscript"/>
        </w:rPr>
        <w:t>1</w:t>
      </w:r>
      <w:r>
        <w:rPr>
          <w:rFonts w:ascii="Times New Roman" w:hAnsi="Times New Roman" w:cs="Times New Roman"/>
          <w:sz w:val="24"/>
          <w:szCs w:val="24"/>
        </w:rPr>
        <w:t xml:space="preserve"> alin. 1 din Legea nr. 78/2000, referitor la documentația tehnica, situațiile de lucrări, devizele, facturile, dispozițiile de șantier, cererile de rambursare si cererile de plata in derularea contractului de finanțare nr. ...9/2010 si contractului de execuție lucrări nr. ....2/2011 pentru execuția proiectului obiectivului ”Campus Școlar Școala de Arte si Meserii comuna ... jud....”, care au stat la baza emiterii procesului verbal de creanțe nr. ....8/25.08.2016 si procesului verbal de creanțe nr. ...0/06.03.2017.</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1.1.Efectele ordonanței si constatărilor penale in privința nelegalității proceselor verbale de creanța si hotărârii supuse revizuirii.</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Din conținutul ordonanței penale rezulta, nemijlocit, nelegalitatea actelor administrative contestate.</w:t>
      </w:r>
    </w:p>
    <w:p>
      <w:pPr>
        <w:pStyle w:val="Frspaiere"/>
        <w:ind w:right="0" w:firstLine="720"/>
        <w:jc w:val="both"/>
        <w:rPr/>
      </w:pPr>
      <w:r>
        <w:rPr>
          <w:rFonts w:ascii="Times New Roman" w:hAnsi="Times New Roman" w:cs="Times New Roman"/>
          <w:sz w:val="24"/>
          <w:szCs w:val="24"/>
        </w:rPr>
        <w:t>In cadrul cercetărilor penale s-a constatat ca nu se pot retine nereguli sau abateri in implementarea proiectului in analiza cererilor de plata nr. 3 si nr. 4 (reținute in procesele verbale si hotărâre - p.20 ), deoarece lucrările pentru care sau constatat cheltuieli neeligibile nu au fost achitate de către parat, deficientele descrise nu reprezintă nereguli - abateri de la legislație sau neconformități ale documentației tehnice in sensul nerespectării dispozițiilor art. 2 din H.G. nr. 759/2007 si art. 18</w:t>
      </w:r>
      <w:r>
        <w:rPr>
          <w:rFonts w:ascii="Times New Roman" w:hAnsi="Times New Roman" w:cs="Times New Roman"/>
          <w:sz w:val="24"/>
          <w:szCs w:val="24"/>
          <w:vertAlign w:val="superscript"/>
        </w:rPr>
        <w:t>1</w:t>
      </w:r>
      <w:r>
        <w:rPr>
          <w:rFonts w:ascii="Times New Roman" w:hAnsi="Times New Roman" w:cs="Times New Roman"/>
          <w:sz w:val="24"/>
          <w:szCs w:val="24"/>
        </w:rPr>
        <w:t xml:space="preserve"> din Legea nr. 78/2000 (reținute in procesele verbale si hotărâre p. nr. 27).</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De asemenea, prin aceeași ordonanță s-a constatat ca nu exista cheltuieli nejustificate sau fonduri acordate fără drept din bugetul general al Uniunii Europene, bugetele administrate de acestea sau in numele lor , contrar mențiunilor greșite reținute in motivarea hotărârii in ce privește legalitatea proceselor verbale de creanțe.</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In motivarea Ordonanței nr. D5 s-a reținut ca documentația tehnica ce a stat la baza executării obiectivului Campus Școlar Școala de Arte si Meserii comuna ... jud... a determinant pe parcursul executării lucrărilor schimbări de soluții tehnice implicând, in subsidiar, renunțări la articole si cantități de lucrări , respectiv comenzi suplimentare de articole si cantități de lucrări (p.59 ordonanța).</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Inadvertentele intre, pe de o parte, proiectul tehnic, detaliile de execuție, piesele desenate, devizul general, transpus in devizele oferta si pe de alta parte realitatea din teren, constatata cu ocazia derulării contractului de executare a lucrărilor, coroborate cu condițiile meteorologice manifestate pe anumite perioade de timp ( ger si ploi) si amplasamentul obiectivului ( zona inundabila ) care au si cauzat întreruperea lucrărilor in mai multe rânduri au determinat  succesive ale termenului de finalizare a investiției. (p.60 -ordonanța )</w:t>
      </w:r>
    </w:p>
    <w:p>
      <w:pPr>
        <w:pStyle w:val="Frspaiere"/>
        <w:ind w:right="0" w:firstLine="720"/>
        <w:jc w:val="both"/>
        <w:rPr/>
      </w:pPr>
      <w:r>
        <w:rPr>
          <w:rFonts w:ascii="Times New Roman" w:hAnsi="Times New Roman" w:cs="Times New Roman"/>
          <w:sz w:val="24"/>
          <w:szCs w:val="24"/>
        </w:rPr>
        <w:t>Paratul , prin organismul intermediar OI A.D.R.S.V  ... a exclus încă din faza de autorizare a cererilor de rambursare/de plata contravaloarea unor cantități de articole si lucrări pe care nu le-a plătit. ( p. 67-69 ordonanța);</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In aceste condiții stabilirea cuantumului unui prejudiciu raportat la particularitățile cauzei, inclusiv sub aspectul analizării naturii si consecințelor schimbărilor tehnice de soluții si a posibilității elaborării proiectului as-built, in contextul in care nu se poate stabili cu certitudine nici ponderea lucrărilor si cantităților de articole care fie nu au fost plătite de beneficiar, fie au fost stornate de constructor, fie au fost considerate neeligibile de către OI A.D.R.S.V.  ..., nu este posibila fără a include aici o doza apreciabila de arbitrar.(p.69-ordonanta)</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Prin Ordonanța nr. D5 s-a constatat, din probele administrate in cauza , ca nu au rezultat încălcări de legislație primara de către diriginții de șantier sau de către funcționari din cadrul Primăriei comunei ... pe parcursul derulării proiectului pentru realizarea obiectivului Campus Școlar Școala de Arte si Meserii din com. ....</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Concluzionând, referitor la aceleași nereguli si deficiente menționate in procesele verbale de creanță si in hotărârea supusa revizuirii, in cauza penala s-au constatat contrar mențiunilor din procesele verbale de creanță si hotărârii inexistenta unor nereguli sau abateri de la legislația primara privind executarea lucrărilor- astfel cum sunt definite de art.2 alin. 1 lit. a) din O.U.G. nr. 66/2011, inexistenta unui prejudiciu sau potențial prejudiciu care sa definească noțiunea de neregula sau abatere in ce privește aplicarea dispozițiilor art.1 din Regulamentul CE Euratom nr.2988/95, inexistenta de fonduri nerambursabile din contractul de finanțare. acordate fără drept, inexistenta unui avantaj primit in mod nejustificat printr-o practica nelegala, contrar motivării hotărârii supuse revizuirii ( p.29-30 hotărâre).</w:t>
      </w:r>
    </w:p>
    <w:p>
      <w:pPr>
        <w:pStyle w:val="Frspaiere"/>
        <w:ind w:right="0" w:firstLine="720"/>
        <w:jc w:val="both"/>
        <w:rPr/>
      </w:pPr>
      <w:r>
        <w:rPr>
          <w:rFonts w:ascii="Times New Roman" w:hAnsi="Times New Roman" w:cs="Times New Roman"/>
          <w:sz w:val="24"/>
          <w:szCs w:val="24"/>
        </w:rPr>
        <w:t>Constatările din cauza penala cu privire la inexistenta faptelor- nereguli sau abateri, urmarea acestora -cheltuieli nejustificate sau fonduri fără drept, prejudiciu/potențial prejudiciu sunt determinante in ce privește nelegalitatea proceselor verbale de creanță si a hotărârii supuse revizuirii in care s-au reținut ca temeiuri art.2 din H.G. nr.759/2007, art.2 alin.1 lit.a) din O.U.G. nr. 66/2011, art.2 alin.4 din O.U.G. nr.66/2011, art.18</w:t>
      </w:r>
      <w:r>
        <w:rPr>
          <w:rFonts w:ascii="Times New Roman" w:hAnsi="Times New Roman" w:cs="Times New Roman"/>
          <w:sz w:val="24"/>
          <w:szCs w:val="24"/>
          <w:vertAlign w:val="superscript"/>
        </w:rPr>
        <w:t>1</w:t>
      </w:r>
      <w:r>
        <w:rPr>
          <w:rFonts w:ascii="Times New Roman" w:hAnsi="Times New Roman" w:cs="Times New Roman"/>
          <w:sz w:val="24"/>
          <w:szCs w:val="24"/>
        </w:rPr>
        <w:t xml:space="preserve"> din Legea nr.78/2000 H.G. nr. 875/2011.</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1.2.Efectele constatărilor penale in privința modului abuziv-arbitrar-al emiterii proceselor verbale de creanță.</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Referitor la anumite remedii ale deficientelor asupra cărora paratul efectuase verificări anterior aprobărilor cererilor de plata, prin Ordonanța penala din data de ... s-a constatat ca paratul M.D.L.P.A. dar si organismul intermediar A.D.R.S.V.  ... au exclus la plata cheltuielile neeligibile , care nu au fost achitate in baza contractului de finanțare . Toate cheltuielile declarate neeligibile sunt menționate in rubricile aprobărilor de plata, emise de paratul Ministerul Dezvoltării Lucrărilor Publice si Administrației, iar acestea au fost extrase si reeditate parțial si in mod arbitrar atat in procesele verbale de creanță, dar si in considerentele hotărârii (p. 21-27)</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Masurile întreprinse de U.A.T. comuna ..., jud... la care se face trimitere in ordonanța penală, in acest scop , se reflecta in solicitările pentru recepția lucrărilor adresate părților contractului de execuție lucrări, proiectantului si dirigintelui de șantier, reclamanta fiind in imposibilitate de a efectua in continuare acte de conservare si administrare ale investiției sau de finalizare a lucrărilor ramase de executat datorita blocării activității de către paratul M.D.L. P.A.</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Aceste masuri întreprinse de U.A.T se regăsesc si anterior in conținutul adreselor nr. ...0/13.09.2016, nr....0/26.09.2016, nr....7/04.04.2017, nr....8/04.04.2017, prin care a comunicat părților contractului de execuție lucrări emiterea procesului verbal de creanță nr. .......8/25.08.2016 si a solicitat remedierea lucrărilor.</w:t>
      </w:r>
    </w:p>
    <w:p>
      <w:pPr>
        <w:pStyle w:val="Frspaiere"/>
        <w:ind w:right="0" w:firstLine="720"/>
        <w:jc w:val="both"/>
        <w:rPr/>
      </w:pPr>
      <w:r>
        <w:rPr>
          <w:rFonts w:ascii="Times New Roman" w:hAnsi="Times New Roman" w:cs="Times New Roman"/>
          <w:sz w:val="24"/>
          <w:szCs w:val="24"/>
        </w:rPr>
        <w:t>Caracterul arbitrar al încheierii proceselor verbale de creanțe in conținutul cărora s-a menționat imposibilitatea evaluării lucrărilor si accesului in corpurile imobilului sau punerii la dispoziție a documentelor rezulta, nemijlocit , din conținutul ordonanței penale nr. D5 si din procesul verbal întocmit la fata locului in data de 17.10.2017 de către organele de cercetare penala in cauza penala nr.D5 in prezenta reprezentanților constructorilor, care au avut la dispoziție toata documentația proiectului si accesul neîngrădit in toate spatiile obiectivului.( mențiuni arbitrare in procesul verbal de creanțe si in hotărâre- p.30-31)</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Fără temei legal si suport probatoriu instanța a menționat obligația de restituire a unui avantaj primit, in mod nejustificat , printr-o practica nelegala, in condițiile in care frauda penala la care s-a referit anterior in motivarea hotărârii a fost cercetata in cauza penala nr.D5 atât sub aspectul laturii obiective elementul material - nereguli, abateri- documentație tehnica , lucrări si urmarea-cheltuieli sau fonduri fără drept, dar si sub aspectul laturii civile si s-a constatat ca nu exista nereguli sau fonduri acordate fără drept, cheltuieli nejustificate sau avantaj primit in mod nejustificat.</w:t>
      </w:r>
    </w:p>
    <w:p>
      <w:pPr>
        <w:pStyle w:val="Frspaiere"/>
        <w:ind w:right="0" w:firstLine="720"/>
        <w:jc w:val="both"/>
        <w:rPr/>
      </w:pPr>
      <w:bookmarkStart w:name="_Hlk120469966" w:id="0"/>
      <w:bookmarkEnd w:id="0"/>
      <w:r>
        <w:rPr>
          <w:rFonts w:ascii="Times New Roman" w:hAnsi="Times New Roman" w:cs="Times New Roman"/>
          <w:sz w:val="24"/>
          <w:szCs w:val="24"/>
        </w:rPr>
        <w:t>2. Înscrisuri noi- sentinta civila nr.SC2</w:t>
      </w:r>
      <w:r>
        <w:rPr>
          <w:rFonts w:ascii="Times New Roman" w:hAnsi="Times New Roman" w:cs="Times New Roman"/>
          <w:color w:val="C00000"/>
          <w:sz w:val="24"/>
          <w:szCs w:val="24"/>
        </w:rPr>
        <w:t xml:space="preserve"> ...</w:t>
      </w:r>
      <w:r>
        <w:rPr>
          <w:rFonts w:ascii="Times New Roman" w:hAnsi="Times New Roman" w:cs="Times New Roman"/>
          <w:sz w:val="24"/>
          <w:szCs w:val="24"/>
        </w:rPr>
        <w:t xml:space="preserve"> , pronunțată in dosarul civil nr. D6, rămasă definitiva după pronunțarea sentinței civile nr. SC1, având ca obiect creanțe -contract execuție lucrări nr. ...2/2011, care a stat la baza emiterii proceselor verbale de creanță- notificări recepție lucrări 07.05.2021.</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In anul 2021, după parcurgerea procedurilor judiciare civile referitoare la remedierea unor lucrări, reclamanta a procedat si la notificarea părților contractului de execuție lucrări, proiectantului si dirigintelui de șantier pentru recepția lucrărilor.</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Masurile întreprinse se regăsesc in conținutul notificărilor- recepția lucrărilor- nr....4/07.05.2021- către diriginte șantier PF ..., nr. ...5/07.05.2021- către diriginte șantier SC B1 SRL, nr. ...6/07.05.2021- catre proiectant SC B2 SRL, nr. ...7/07.05.2021- catre SC B3 SRL- societate in insolventa- dosar civil nr. D7, nr. ...8/07.05.2021- catre SC B4 SRL nr. ...9/07.05.2021- catre SC B5 SRL -societate in insolventa- dosar civil nr. D8.</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S-a constatat in ordonanța penala ca anumite deficiente ale lucrărilor intre recepția la terminarea lucrărilor si recepția finala reprezintă aspecte de natura civila ale contractului de execuție lucrări, etapa denumita as-built in care poate interveni readaptarea proiectului tehnic, iar acestea se soluționează in instanța civila in cazul in care părțile nu au ajuns la un consens.</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Printr-o procedura nelegala si abuziva de emitere a proceselor verbale de creanță, paratul M.D.L.P.A. a blocat atât execuția proiectului, efectuarea oricăror lucrări de conservare si administrare dar a adus si prejudicii financiare in patrimoniul U.A.T. Comuna ... deoarece încă din perioada derulării contractului de finanțare dar si după declanșarea procedurii de verificare si constatare care s-a extins pe o perioada de aproximativ 18 luni, acesta a solicitat reclamantei sa achite in continuare cheltuielile neeligibile către părțile contractului de execuție lucrări inclusiv prin contractarea unui împrumut cu Ministerul Finanțelor Publice, deși pretindea in comunicările oficiale ca efectuează verificări pentru suspiciuni de frauda care au format obiectul cercetărilor penale.</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Contractul de împrumut se derulează si in prezent pe o perioada de 10 ani-adresa nr. ...1/08.07.2015.</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Caracterul abuziv si arbitrar al proceselor verbale de creanță, rezultat din ordonanța penala, masurile întreprinse de revizuenta si procedurile efectuării recepției lucrărilor, dupa pronunțarea hotărârii se reflecta si in masurile întreprinse anterior. Încă din perioada 2014-2015, U.A.T comuna ... jud... s-a adresat către organismul intermediar A.D.R.S.V.  ... AM- POR ... — Departamentul Implementare pentru deblocarea amânării verificărilor lucrărilor aferente cererilor de plata,  situație care rezulta din adresele nr....7/17.10.2014, nr. ...2/28.11.2014, nr. ...4/17.12.2014 si nr. ...7/16.07.2015.</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După încheierea procesului verbal de creanță nr....8/2016 , reclamanta a convocat părțile contractului de execuție lucrări referitor la constatările paratului , situație consemnata in notificările nr. ...0/26.09.2016- catre Sc B3 SRL ,nr. ...0/13.09.2016-catre SC B4 SRL, nr. ...2/05.04.2017catre S.C. B5 SRL.</w:t>
      </w:r>
    </w:p>
    <w:p>
      <w:pPr>
        <w:pStyle w:val="Frspaiere"/>
        <w:ind w:right="0" w:firstLine="720"/>
        <w:jc w:val="both"/>
        <w:rPr/>
      </w:pPr>
      <w:r>
        <w:rPr>
          <w:rFonts w:ascii="Times New Roman" w:hAnsi="Times New Roman" w:cs="Times New Roman"/>
          <w:sz w:val="24"/>
          <w:szCs w:val="24"/>
        </w:rPr>
        <w:t>Cu toate acestea, prin procedura abuziva de emitere a proceselor verbale de creanțe si prin comunicările ( presiunile ) repetate ale pârâtului M.D.L.A.P. către reclamanta de a achita cheltuieli neeligibile din fonduri proprii către părțile contractului de execuție lucrări, U.A.T Comuna ... jud... a fost acționată in instanța de cele doua societăți aflate in procedura insolventei SC B5 SRL si SC B3 SRL, care au solicitat plata creanțelor in continuare si executarea silita pentru creanțe , care deși au fost respinse la plata, in derularea contractului de finanțare, s-a reținut ca sunt lucrări ascunse si nu au legătură cu procedura verificărilor finalizate prin procesele verbale de creanțe neeligibile- in acest sunt sentința civila nr.SC3, pronunțată de Tribunalul... in dosarul civil nr. D6 şi actele de executare silita in dosarul de executare nr.DE1.</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3. Încheierea din data de ...- înscris nou</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La data de 25.10.2021 a fost comunicata către U.A.T. comuna ... jud... , încheierea din data de ... pronunțată in dosarul civil nr. D9 - reclamanta SC B3 SRL- parata U.A.T. comuna ... jud, ..., având ca obiect creanțe din executarea contractului nr....2/2011, care a stat la baza încheierii proceselor verbale de creanță . Din actele de procedura premergătoare încheierii din 19.10.202 rezulta ca recepția finala a lucrărilor obiectivului nu a fost realizata din partea constructorilor.</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Pentru aceste motive, având in vedere ca înscrisurile noi sunt determinante in stabilirea caracterului nelegal si arbitrar al proceselor verbale de creanță nr. ....8/25.08.2016 si nr. ...0/6.03.2017, dar si al netemeiniciei si nelegalității sentinței civile nr. SC1, pronunțată de Curtea de Apel ...- Secția ..., in temeiul art. 513 c.proc. civ., solicită admiterea cererii de revizuire, schimbarea in tot a sentinței civile nr.SC1, pronunțată de Curtea de Apel ...- Secția ..., pe fond admiterea acțiunii formulata de reclamanta si anularea actelor administrative emise de parat, respective procesul verbal de creanțe nr.....8/25.08.2016, decizia nr....4/15.11.2016, procesul verbal de creanțe nr....0/6.03.2017 şi decizia nr....6/12.05.2017.</w:t>
      </w:r>
    </w:p>
    <w:p>
      <w:pPr>
        <w:pStyle w:val="Frspaiere"/>
        <w:ind w:right="0" w:firstLine="720"/>
        <w:jc w:val="both"/>
        <w:rPr>
          <w:rFonts w:ascii="Times New Roman" w:hAnsi="Times New Roman" w:cs="Times New Roman"/>
          <w:sz w:val="24"/>
          <w:szCs w:val="24"/>
        </w:rPr>
      </w:pPr>
      <w:bookmarkStart w:name="_Hlk120469966" w:id="1"/>
      <w:bookmarkEnd w:id="1"/>
      <w:r>
        <w:rPr>
          <w:rFonts w:ascii="Times New Roman" w:hAnsi="Times New Roman" w:cs="Times New Roman"/>
          <w:sz w:val="24"/>
          <w:szCs w:val="24"/>
        </w:rPr>
        <w:t>In susținerea cererii de revizuire a depus, in copie, următoarele înscrisuri : sentința civila nr. SC1, pronunțată de Curtea de Apel ... in dosarul nr.D2, extras din ordonanța penala nr.OP1 din data de ..., adresa nr....0/13.09.2016, nr. ...0/26.09.2016, nr....7/04.04.2017, nr.....8/04.04.2017, notificările recepția lucrărilor- nr....4/07.05.2021, nr....5/07.05.2021, nr....6/07.05.2021, nr....7/07.05.2021, nr. ...8/07.05.2021, nr. ...9/07.05.2021, adresele nr. ...7/17.10.2014, nr. ...2/28.11.2014, nr. ...4/17.12.2014, nr. ...7/16.07.2015, notificările nr. ...0/26.09.2016, nr. ...0/ 13.09.2016, nr. ...2/05.04.2017, procesul verbal întocmit la fata locului in data de 17.10.2017 de către organele de cercetare penala in cauza penala nr. D5, sentința civila nr. SC3, pronunțată de Tribunalul... in dosarul civil nr. D6, actele de executare silita in dosarul nr. DE1,incheierea din data de ..., pronunțată de Tribunalul... in dosarul civil nr. D9.</w:t>
      </w:r>
    </w:p>
    <w:p>
      <w:pPr>
        <w:pStyle w:val="NormalWeb"/>
        <w:spacing w:before="0" w:after="0"/>
        <w:ind w:right="0" w:firstLine="708"/>
        <w:contextualSpacing/>
        <w:jc w:val="both"/>
        <w:rPr/>
      </w:pPr>
      <w:r>
        <w:rPr>
          <w:b/>
        </w:rPr>
        <w:t xml:space="preserve">5.2 </w:t>
      </w:r>
      <w:r>
        <w:rPr>
          <w:i/>
        </w:rPr>
        <w:t xml:space="preserve">Prin cererea înregistrată la data de 15.04.2022, pe rolul Curţii de Apel ...-Secţia ..., sub nr. </w:t>
      </w:r>
      <w:r>
        <w:rPr>
          <w:b/>
          <w:i/>
        </w:rPr>
        <w:t>D10</w:t>
      </w:r>
      <w:r>
        <w:rPr>
          <w:i/>
        </w:rPr>
        <w:t>, reclamanta Unitatea Administrativ Teritoriala comuna ... în contradictoriu cu pârâtul Ministerul Dezvoltării Lucrărilor Publice si Administrației- denumit M.D.L.P.A. a formulat cerere de revizuire împotriva sentinţei civile nr. SC1, pronunțată de Curtea de Apel ...- Sectia ... în dosarul nr. D2, în temeiul art. 513 pct 4 Cpc.</w:t>
      </w:r>
    </w:p>
    <w:p>
      <w:pPr>
        <w:pStyle w:val="Normal"/>
        <w:spacing w:before="0" w:after="0"/>
        <w:ind w:left="14" w:right="23" w:firstLine="694"/>
        <w:contextualSpacing/>
        <w:jc w:val="both"/>
        <w:rPr/>
      </w:pPr>
      <w:r>
        <w:rPr/>
        <w:t>În susținerea cererii de revizuire, revizuenta arată că, prin hotărârea pronunțata in cauza nr. D2, in analiza si aplicarea dreptului Uniunii Europene si practicii judiciare a Curții de Justiție a Uniunii Europene- CJUE, instanța a încălcat principiul priorității dreptului Uniunii Europene.</w:t>
      </w:r>
    </w:p>
    <w:p>
      <w:pPr>
        <w:pStyle w:val="Normal"/>
        <w:spacing w:before="0" w:after="0"/>
        <w:ind w:left="4" w:right="4" w:firstLine="704"/>
        <w:contextualSpacing/>
        <w:jc w:val="both"/>
        <w:rPr/>
      </w:pPr>
      <w:r>
        <w:rPr/>
        <w:t>Revizuenta apreciază că instanța nu a analizat, nu a aplicat si nu a dat prioritate practicii C.J.U.E. in aplicarea normelor de drept național raportat Ia elementele de nelegalitate ale actelor administrative in implementarea proiectului contractului de finanțare nr. 649/2010 , prin prisma principiilor protecției încrederii legitime, securității raporturilor juridice, principiilor economiei, eficientei , eficacității .</w:t>
      </w:r>
    </w:p>
    <w:p>
      <w:pPr>
        <w:pStyle w:val="Normal"/>
        <w:spacing w:before="0" w:after="0"/>
        <w:ind w:left="14" w:right="14" w:firstLine="694"/>
        <w:contextualSpacing/>
        <w:jc w:val="both"/>
        <w:rPr/>
      </w:pPr>
      <w:r>
        <w:rPr/>
        <w:t xml:space="preserve">De asemenea, susține că instanța a încălcat normele de drept european si principiile obligatorii generate de acestea, puse in aplicare in legislația interna referitoare Ia responsabilitatea </w:t>
      </w:r>
      <w:r>
        <w:rPr>
          <w:lang w:val="en-US" w:eastAsia="en-US"/>
        </w:rPr>
        <w:t>autorităţilor</w:t>
      </w:r>
      <w:r>
        <w:rPr/>
        <w:t xml:space="preserve"> competente pentru managementul și controlul programelor operaționale- art. 70 pct.l din Regulamentul nr. 1083/2006 al Consiliului din II iulie 2006 si la principiul proporționalității - art. 98 pct. 2 din Regulamentul nr. 1083/2006 al Consiliului din 11 iulie 2006, rezumate astfel:</w:t>
      </w:r>
    </w:p>
    <w:p>
      <w:pPr>
        <w:pStyle w:val="Normal"/>
        <w:spacing w:before="0" w:after="0"/>
        <w:ind w:left="14" w:right="14" w:firstLine="694"/>
        <w:contextualSpacing/>
        <w:jc w:val="both"/>
        <w:rPr/>
      </w:pPr>
      <w:bookmarkStart w:name="_Hlk120146314" w:id="2"/>
      <w:bookmarkEnd w:id="2"/>
      <w:r>
        <w:rPr/>
        <w:t>I. Principiile generale aplicabile dreptului european si normelor nationale in implementarea dreptului european: 1 Protectia increderii legitime- practica C.J.U.E.; 2.PrincipiuI securitatii raporturilor juridice - practica C.J.U.E. ; 3.PrincipiiIe economiei, eficientei si eficacitatii- art. 30 din Regulamentul nr. 966/2012 din Regulamentul UE Euratom nr. 966/2012 al Parlamentului european si al Consiliului din 25 octombrie 2012 privind normele financiare aplicabile bugetului general al Uniunii şi 4.Principiul previzibilitatii - practica C.J.U.E. cauza C-325</w:t>
      </w:r>
    </w:p>
    <w:p>
      <w:pPr>
        <w:pStyle w:val="Normal"/>
        <w:spacing w:before="0" w:after="0"/>
        <w:ind w:left="4" w:right="4" w:firstLine="704"/>
        <w:contextualSpacing/>
        <w:jc w:val="both"/>
        <w:rPr/>
      </w:pPr>
      <w:r>
        <w:rPr/>
        <w:t xml:space="preserve">II. Principiile din domeniul fondurilor europene aplicabile dreptului european si normelor nationale in implementarea dreptului european: Principiul responsabilității statelor şi Principiul proportionalitatii </w:t>
      </w:r>
    </w:p>
    <w:p>
      <w:pPr>
        <w:pStyle w:val="Normal"/>
        <w:spacing w:before="0" w:after="0"/>
        <w:ind w:left="4" w:right="4" w:firstLine="704"/>
        <w:contextualSpacing/>
        <w:jc w:val="both"/>
        <w:rPr>
          <w:i/>
          <w:i/>
        </w:rPr>
      </w:pPr>
      <w:bookmarkStart w:name="_Hlk120146314" w:id="3"/>
      <w:bookmarkEnd w:id="3"/>
      <w:r>
        <w:rPr>
          <w:i/>
        </w:rPr>
        <w:t>La data de 29.04.2022, pârâtul Ministerul Dezvoltării Lucrărilor Publice şi Administraţiei a formulat întâmpinare,  solicitând respingerea în principal, ca inadmisibilă şi în subsidiar, ca tardivă cererea de revizuire aşa cum a fost formulată, cu menţinerea ca temeinice şi legale a hotărârilor pronunţate în cauză.</w:t>
      </w:r>
    </w:p>
    <w:p>
      <w:pPr>
        <w:pStyle w:val="Normal"/>
        <w:spacing w:before="0" w:after="0"/>
        <w:ind w:left="4" w:right="4" w:firstLine="704"/>
        <w:contextualSpacing/>
        <w:jc w:val="both"/>
        <w:rPr>
          <w:i/>
          <w:i/>
        </w:rPr>
      </w:pPr>
      <w:r>
        <w:rPr>
          <w:i/>
        </w:rPr>
        <w:t>Prin încheierea de şedinţă nr. ... din data ..., pronunţată în dosarul nr. D10, instanţa a dispus conexarea dosarului nr. D10 la dosarul nr. D1 al Curţii de Apel ....</w:t>
      </w:r>
    </w:p>
    <w:p>
      <w:pPr>
        <w:pStyle w:val="Frspaiere"/>
        <w:ind w:right="0" w:firstLine="720"/>
        <w:jc w:val="both"/>
        <w:rPr>
          <w:rFonts w:ascii="Times New Roman" w:hAnsi="Times New Roman" w:cs="Times New Roman"/>
          <w:b/>
          <w:i/>
          <w:i/>
          <w:sz w:val="24"/>
          <w:szCs w:val="24"/>
        </w:rPr>
      </w:pPr>
      <w:r>
        <w:rPr>
          <w:rFonts w:ascii="Times New Roman" w:hAnsi="Times New Roman" w:cs="Times New Roman"/>
          <w:b/>
          <w:i/>
          <w:sz w:val="24"/>
          <w:szCs w:val="24"/>
        </w:rPr>
        <w:t>6. Apărările formulate în cauză</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La data de 03.12.2021, pârâtul MINISTERUL DEZVOLTĂRII, LUCRĂRILOR PUBLICE Șl ADMINISTRAȚIEI (MDLPA) a depus ÎNTÂMPINARE la cererea de revizuire a Sentinței civile nr. SC1 pronunțate de către Curtea de Apel ..., cerere pe care o apreciază în principal ca inadmisibilă și în subsidiar ca tardivă, pentru următoarele considerente:</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Prin cererea înaintată Curții de Apel ..., revizuenta solicită ”admiterea cererii de revizuire, schimbarea în tot a sentinței civile nr. SC1, pe fond admiterea acțiunii și anularea actelor administrative emise de pârât".</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Potrivit dispozițiilor art. 509 alin.1 pct 5 Cpc invocate de către revizuentă, ” revizuirea unei hotărâri pronunțate asupra fondului sau care evocă fondul poate fi cerută dacă; 5, după darea hotărârii, s-au descoperit înscrisuri doveditoare, reținute de partea potrivnică sau care nu au putut fi înfățișate dintr-o împrejurare mai presus de voința părților”</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Așa cum a arătat mai sus, motivul de revizuire invocat poartă asupra unor înscrisuri doveditoare, descoperite după pronunțarea hotărârii a cărei revizuire se solicită, "reținute de partea potrivnică sau care nu au putut fi înfățișate dintr-o împrejurare mai presus de voința părților".</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Față de înscrisurile prezentate de către revizuentă, apreciază că acestea nu constituie „înscris nou" în înțelesul dispozițiilor procedurale.</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Susţine că în ansamblul și filosofia normelor legale ce interesează cazul de revizuire al art. 509 alin. (1) pct. 5 CPC, noțiunea de „descoperire” este mai degrabă atașată faptelor juridice (care presupun ajungerea pe orice căi de fapt a unei persoanei în posesia înscrisurilor noi) decât actelor juridice cum ar fi cel al unei comunicări oficiale. Lipsa oricărei condiționări legale asupra împrejurărilor ce au condus partea la intrarea in posesia unor înscrisuri noi justifică întrutotul concluzia că sintagma „descoperirea înscrisurilor” nu se poate identifica decât cu momentul la care înscrisurile au ajuns, pe orice cale, pentru prima dată în posesia acesteia, orice altă „descoperire ulterioară", chiar oficială fiind, neputând prezenta vreo relevanță sub aspectul aplicării dispozițiilor legale. [ICCJ, Secția I civită, Decizia nr. 42 din 20 ianuarie 2016, www.scj.ro]</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Textul de lege menționat de către revizuentă cuprinde două ipoteze, cererea acesteia fiind în mod evident circumscrisă ipotezei care are in vedere situația în care la data pronunțării hotărârii atacate instanța nu a avut în vedere anumite înscrisuri deoarece aceste înscrisuri nu au putut fi înfățișate de părți instanței din motive independente de voința tor, înscrisuri care în mod vădit erau de natură a schimba soluția dată.</w:t>
      </w:r>
    </w:p>
    <w:p>
      <w:pPr>
        <w:pStyle w:val="Frspaiere"/>
        <w:ind w:right="0" w:firstLine="720"/>
        <w:jc w:val="both"/>
        <w:rPr/>
      </w:pPr>
      <w:r>
        <w:rPr>
          <w:rFonts w:ascii="Times New Roman" w:hAnsi="Times New Roman" w:cs="Times New Roman"/>
          <w:sz w:val="24"/>
          <w:szCs w:val="24"/>
        </w:rPr>
        <w:t>Apreciază, așadar, că nu se poate cere revizuirea unei hotărâri pe baza unor înscrisuri apărute după pronunțarea acesteia, textul reoferindu-se exclusiv la situația în care înscrisul exista în momentul judecării pricinii finalizate prin hotărârea atacată, concluzie desprinsă din împrejurarea că art.509 alin.(1) pct. 5 CPC vorbește de descoperirea înscrisului care a fost reținut de adversar sau care nu a putut fi înfățișat dintr-o cauză mai presus de voința părții interesate.</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Această cerință este esențială, deoarece astfel un proces definitiv câștigat ar putea fi supus revizuirii pe bază de acte și dovezi postertor confecționate și autoritatea de lucru judecat ar deveni iluzorie. Această cerință este desprinsă și din expresia folosită în art. 509 alin.1 punctul 5 înscrisurile sunt „ descoperite” după darea hotărârii. Pe de altă parte, numai un înscris care a existat la data pronunțării hotărârii a putut fi reținut de adversar cealaltă parte fiind în imposibilitate de a-l prezenta (ICCJ, Secția Civilă, Decizia nr. 974/1999).</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Astfel, condiția impusă de legiuitor în sensul ca înscrisul invocat să fi existat la data când a fost pronunțată hotărârea ce se cere a fi revizuită, este expres prevăzută de lege și esențială, iar în prezenta cauză înscrisurile invocate nu întrunesc cerințele prevăzute de art. 509 alin.1 punctul 5 CPC, fiind emise după pronunțarea sentinței a cărei anulare se solicită.</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De altfel, textul legal are în vedere înscrisurile doveditoare existente (a data judecării cauzei, iar nu pe cele ulterioare. Înscrisul trebuie să existe in materialitatea lui la data judecării procesului.(C.A. Timișoara, secția civilă, decizia nr. 960/R/ 1998).</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Anterioritatea înscrisului invocat în revizuire față de data pronunțării hotărârii este prevăzută de lege în termeni nesusceptibili de interpretare (Tribunalul Brașov, secția civită, decizia nr. 253/R/ 1994).</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Practica judiciară în materie a statuat că nu poate constitui înscris doveditor, apt să contribuie la admiterea cererii de revizuire, actul unei autorități emis după pronunțarea hotărârii chiar dacă în el se confirmă o situație fundamental deosebită de aceea care a fost reținută de instanță ca determinantă în darea soluției (Trib. Satu Mare, secția civilă, decizia nr.458/1971, în nr. 7/1972, p. 155). S-a mai statuat, de asemenea, că actul de constatare a unei situații de fapt anterioare pronunțării hotărârii a cărei revizuire se cere dar întocmit ulterior acestei hotărâri nu justifică revizuirea potrivit art. 509 alin.1 punctul 5 CPC, deoarece nu constituie un înscris doveditor reținut de partea potrivnică sau care nu a putut fi înfățișat dintr-o împrejurare mai presus de voința părții (Trib. Maramureș, secția civilă, decizia nr.215/1977 în R.R.D. nr. 12/1977, p. 48).</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Așadar, față de dispoziția cuprinsă în art. 509 alin.1 punctul 5 Cpc, nu poate fi admisă cererea de revizuire pe baza unui înscris eliberat după pronunțarea hotărârii ce se atacă pe această cale (Trib. București, secția a IV-a civilă, decizia nr. 289/1991 in C.P.J.C. 1991, p, 186, nr. 209, Tribunalul Gorj, Decizia 313/2016, portal. just.ro) chiar dacă sunt îndeplinite celelalte condiții prevăzute de lege.</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Solicită respingerea cererii de revizuire ca inadmisibilă.</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Totodată, menţionează faptul că, înscrisurile la care revizuenta face referire au fost avute in vedere și analizate de către Înalta Curte de Casație și Justiție care, prin Decizia nr. DC1/..., a respins recursul declarat de către UAT comuna ....</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2. Excepția tardivității</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 xml:space="preserve">Potrivit dispozițiilor art. 511 Cpc, „Termenul de revizuire este de o lună și se va socoti </w:t>
      </w:r>
    </w:p>
    <w:p>
      <w:pPr>
        <w:pStyle w:val="Frspaiere"/>
        <w:ind w:right="0" w:firstLine="720"/>
        <w:jc w:val="both"/>
        <w:rPr>
          <w:rFonts w:ascii="Times New Roman" w:hAnsi="Times New Roman" w:cs="Times New Roman"/>
          <w:sz w:val="24"/>
          <w:szCs w:val="24"/>
        </w:rPr>
      </w:pPr>
      <w:r>
        <w:rPr>
          <w:rFonts w:ascii="Times New Roman" w:hAnsi="Times New Roman" w:eastAsia="Times New Roman" w:cs="Times New Roman"/>
          <w:sz w:val="24"/>
          <w:szCs w:val="24"/>
        </w:rPr>
        <w:t xml:space="preserve"> </w:t>
      </w:r>
      <w:r>
        <w:rPr>
          <w:rFonts w:ascii="Times New Roman" w:hAnsi="Times New Roman" w:cs="Times New Roman"/>
          <w:sz w:val="24"/>
          <w:szCs w:val="24"/>
        </w:rPr>
        <w:t>5. în cazul prevăzut la art. 509 alin. (1) pct. 5, din ziua în care s-au descoperit înscrisurile ce se invocă".</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Raportat la datele la care primete două înscrisuri invocate au fost emise (... - Ordonanța Parchetului de pe lângă ÎCCJ, ... - sentința civilă nr. SC4), solicită să se constate faptul că cererea de revizuire a fost tardiv introdusă și să se respingă în consecință.</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Totodată, arată faptul că Ordonanța din data de ... nu poate avea consecințe asupra cauzei civile, soluționate definitiv de către Înalta Curte de Casație Și Justiție prin Decizia nr. DC1/..., în cadrul căreia a fost avut în vedere și acest document,</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În ceea ce privește Încheierea din data de ... arată următoarele:</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Obiectul prezentei cauze îl constituie solicitarea UAT comuna ... de anulare a Deciziei nr. ...4/15.11.2016 și a Procesului verbal de constatare și de stabilire a creanțelor bugetare nr. ....8/25.08.2016.</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Actele administrative atacate au fost emise de către instituție în urma executării culpabile, de către revizuentă, a contractului de finanțare nr. ...9/2010.</w:t>
      </w:r>
    </w:p>
    <w:p>
      <w:pPr>
        <w:pStyle w:val="Frspaiere"/>
        <w:ind w:right="0" w:firstLine="720"/>
        <w:jc w:val="both"/>
        <w:rPr/>
      </w:pPr>
      <w:r>
        <w:rPr>
          <w:rFonts w:ascii="Times New Roman" w:hAnsi="Times New Roman" w:cs="Times New Roman"/>
          <w:sz w:val="24"/>
          <w:szCs w:val="24"/>
        </w:rPr>
        <w:t>Pentru a sintetiza cele expuse pe parcursul judecării prezentei cauze, procesul verbal nr. ....8/25.08.2016 a fost emis întrucât, în urma controalelor efectuate și a raportului de expertiză întocmit, s-a constatat faptul că lucrările în cadrul proiectului au fost sistate începând data de 22.04.2015, acestea prezentând degradări accentuate.</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Astfel, având în vedere faptul că proiectul nu era funcțional și indicatorii nu au fost atinși, toate cheltuielile aferente proiectul cod ...7 cu titlul de „Campus de arte și, Meserii ” ,beneficiar Unitatea administrativ-teritorială ..., județul ... Axa 3, Domeniul major de intervenţie 3.4, au fost apreciate ca fiind neeligibile.</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Revenind la Încheierea din data de ..., constată că, potrivit susținerilor revizuentei, ”din actele de procedură premergătoare încheierii din ... rezultă că recepția finală a lucrărilor obiectivului nu a fost realizată din partea constructorilor",</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Raportat la obiectul acțiunii, mai sus amintit, solicită că Încheierea invocată nu poate influența soluția din prezenta cauză, sens în care nu poate fi avută în vedere cu titlul de ”înscris nou".</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Pentru toate considerentele expuse anterior, solicită respingerea în principal ca inadmisibilă și in subsidiar ca tardivă a cererii de revizuire așa cum a fost formulată, cu consecința menținerea ca temeinice și legale a hotărârilor pronunţate în cauză.</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În drept cererea este întemeiată pe dispoziţiile art.513 pct. 2 C.pr.civ..</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În conformitate cu dispozițiile art.411 coroborat cu art.223 Cod procedură civilă, solicită judecarea cauzei și în lipsa părților.</w:t>
      </w:r>
    </w:p>
    <w:p>
      <w:pPr>
        <w:pStyle w:val="Frspaiere"/>
        <w:ind w:right="0" w:firstLine="720"/>
        <w:jc w:val="both"/>
        <w:rPr>
          <w:rFonts w:ascii="Times New Roman" w:hAnsi="Times New Roman" w:cs="Times New Roman"/>
          <w:b/>
          <w:sz w:val="24"/>
          <w:szCs w:val="24"/>
        </w:rPr>
      </w:pPr>
      <w:r>
        <w:rPr>
          <w:rFonts w:ascii="Times New Roman" w:hAnsi="Times New Roman" w:cs="Times New Roman"/>
          <w:b/>
          <w:sz w:val="24"/>
          <w:szCs w:val="24"/>
        </w:rPr>
        <w:t>II 1. Soluţia Curţii de Apel ... asupra cererilor de revizuire.</w:t>
      </w:r>
    </w:p>
    <w:p>
      <w:pPr>
        <w:pStyle w:val="Frspaiere"/>
        <w:spacing w:before="0" w:after="0"/>
        <w:ind w:right="0" w:firstLine="720"/>
        <w:contextualSpacing/>
        <w:jc w:val="both"/>
        <w:rPr>
          <w:rFonts w:ascii="Times New Roman" w:hAnsi="Times New Roman" w:eastAsia="Times New Roman" w:cs="Times New Roman"/>
          <w:sz w:val="24"/>
          <w:szCs w:val="24"/>
          <w:lang w:eastAsia="ro-RO"/>
        </w:rPr>
      </w:pPr>
      <w:r>
        <w:rPr>
          <w:rFonts w:ascii="Times New Roman" w:hAnsi="Times New Roman" w:eastAsia="Times New Roman" w:cs="Times New Roman"/>
          <w:sz w:val="24"/>
          <w:szCs w:val="24"/>
          <w:lang w:eastAsia="ro-RO"/>
        </w:rPr>
        <w:t>Asupra excepţiei inadmisibilităţii, excepţie de fond, Curtea urmează a se pronunţa, analizând condiţiile de exercitare a căii de atac extraordinare.</w:t>
      </w:r>
    </w:p>
    <w:p>
      <w:pPr>
        <w:pStyle w:val="Frspaiere"/>
        <w:spacing w:before="0" w:after="0"/>
        <w:ind w:right="0" w:firstLine="720"/>
        <w:contextualSpacing/>
        <w:jc w:val="both"/>
        <w:rPr/>
      </w:pPr>
      <w:r>
        <w:rPr>
          <w:rFonts w:ascii="Times New Roman" w:hAnsi="Times New Roman" w:eastAsia="Times New Roman" w:cs="Times New Roman"/>
          <w:sz w:val="24"/>
          <w:szCs w:val="24"/>
          <w:lang w:eastAsia="ro-RO"/>
        </w:rPr>
        <w:t xml:space="preserve"> </w:t>
      </w:r>
      <w:r>
        <w:rPr>
          <w:rFonts w:ascii="Times New Roman" w:hAnsi="Times New Roman" w:eastAsia="Times New Roman" w:cs="Times New Roman"/>
          <w:sz w:val="24"/>
          <w:szCs w:val="24"/>
          <w:lang w:eastAsia="ro-RO"/>
        </w:rPr>
        <w:t xml:space="preserve">Cu titlu prealabil se retine faptul că, cererile  de revizuire au fost întemeiate in drept pe prevederile art. 509 alin. pct. 5 Cod procedura civilă care stipulează faptul că, revizuirea unei hotărâri pronunțate asupra fondului sau care evoca fondul poate fi cerută dacă: după darea hotărârii, s-au descoperit înscrisuri doveditoare, reținute de partea potrivnica sau care nu au putut fi înfățișate dintr-o împrejurare mai presus de voința parților și </w:t>
      </w:r>
      <w:r>
        <w:rPr>
          <w:rStyle w:val="rvts3"/>
          <w:rFonts w:ascii="Times New Roman" w:hAnsi="Times New Roman" w:cs="Times New Roman"/>
          <w:sz w:val="24"/>
          <w:szCs w:val="24"/>
        </w:rPr>
        <w:t xml:space="preserve"> pe dispozițiile art. 21 alin. (1) din Legea nr. 554/2004 potrivit cărora "Constituie motiv de revizuire, care se adaugă la cele prevăzute de C. proc. civ., pronunțarea hotărârilor rămase definitive prin încălcarea principiului priorității dreptului Uniunii Europene, reglementat la art. 148 alin. (2) coroborat cu art. 20 alin. (2) din Constituția României …".</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Cu privire la excepția tardivității aceasta este nefondată .</w:t>
      </w:r>
    </w:p>
    <w:p>
      <w:pPr>
        <w:pStyle w:val="Frspaiere"/>
        <w:ind w:right="0" w:firstLine="720"/>
        <w:jc w:val="both"/>
        <w:rPr>
          <w:rFonts w:ascii="Times New Roman" w:hAnsi="Times New Roman" w:cs="Times New Roman"/>
          <w:sz w:val="24"/>
          <w:szCs w:val="24"/>
        </w:rPr>
      </w:pPr>
      <w:r>
        <w:rPr>
          <w:rFonts w:ascii="Times New Roman" w:hAnsi="Times New Roman" w:cs="Times New Roman"/>
          <w:sz w:val="24"/>
          <w:szCs w:val="24"/>
        </w:rPr>
        <w:t>Potrivit dispozițiilor art. 511 Cpc, „Termenul de revizuire este de o lună și se va socoti (..) 5. în cazul prevăzut la art. 509 alin. (1) pct. 5, din ziua în care s-au descoperit înscrisurile ce se invocă".</w:t>
      </w:r>
    </w:p>
    <w:p>
      <w:pPr>
        <w:pStyle w:val="Frspaiere"/>
        <w:spacing w:before="0" w:after="0"/>
        <w:ind w:right="0" w:firstLine="720"/>
        <w:contextualSpacing/>
        <w:jc w:val="both"/>
        <w:rPr/>
      </w:pPr>
      <w:r>
        <w:rPr>
          <w:rFonts w:ascii="Times New Roman" w:hAnsi="Times New Roman" w:cs="Times New Roman"/>
          <w:sz w:val="24"/>
          <w:szCs w:val="24"/>
        </w:rPr>
        <w:t xml:space="preserve">Observând considerentele  </w:t>
      </w:r>
      <w:bookmarkStart w:name="4736902" w:id="4"/>
      <w:bookmarkEnd w:id="4"/>
      <w:r>
        <w:rPr>
          <w:rStyle w:val="rvts1"/>
          <w:rFonts w:ascii="Times New Roman" w:hAnsi="Times New Roman" w:cs="Times New Roman"/>
          <w:sz w:val="24"/>
          <w:szCs w:val="24"/>
        </w:rPr>
        <w:t>DECIZIEI  Nr. 3 din 6 martie 2017 în Recurs în Interesul legii, argumentele se mențin și în ceea ce privește termenul defipt pentru acest motiv de revizuire.</w:t>
      </w:r>
    </w:p>
    <w:p>
      <w:pPr>
        <w:pStyle w:val="Frspaiere"/>
        <w:spacing w:before="0" w:after="0"/>
        <w:ind w:right="0" w:firstLine="720"/>
        <w:contextualSpacing/>
        <w:jc w:val="both"/>
        <w:rPr/>
      </w:pPr>
      <w:r>
        <w:rPr>
          <w:rFonts w:ascii="Times New Roman" w:hAnsi="Times New Roman" w:cs="Times New Roman"/>
          <w:sz w:val="24"/>
          <w:szCs w:val="24"/>
        </w:rPr>
        <w:t>Astfel Înalta Curte constată în interesul legii (paragraful 46) „ </w:t>
      </w:r>
      <w:r>
        <w:rPr>
          <w:rFonts w:ascii="Times New Roman" w:hAnsi="Times New Roman" w:eastAsia="Times New Roman" w:cs="Times New Roman"/>
          <w:sz w:val="24"/>
          <w:szCs w:val="24"/>
        </w:rPr>
        <w:t>momentul subiectiv </w:t>
      </w:r>
      <w:r>
        <w:rPr>
          <w:rFonts w:ascii="Times New Roman" w:hAnsi="Times New Roman" w:cs="Times New Roman"/>
          <w:sz w:val="24"/>
          <w:szCs w:val="24"/>
        </w:rPr>
        <w:t>este acela în care partea interesată în revizuirea hotărârii civile ia cunoştinţă, în orice mod, de împrejurările invocate, în raport de care se apreciază că revizuirea este în termen.</w:t>
      </w:r>
    </w:p>
    <w:p>
      <w:pPr>
        <w:pStyle w:val="Frspaiere"/>
        <w:spacing w:before="0" w:after="0"/>
        <w:ind w:right="0" w:firstLine="720"/>
        <w:contextualSpacing/>
        <w:jc w:val="both"/>
        <w:rPr/>
      </w:pPr>
      <w:r>
        <w:rPr>
          <w:rStyle w:val="rvts13"/>
          <w:rFonts w:ascii="Times New Roman" w:hAnsi="Times New Roman" w:cs="Times New Roman"/>
          <w:i/>
          <w:iCs/>
          <w:sz w:val="24"/>
          <w:szCs w:val="24"/>
        </w:rPr>
        <w:t>Relativ la motivul de revizuire prevăzut art. 21 alin. (1) din Legea nr. 554/2004</w:t>
      </w:r>
      <w:r>
        <w:rPr>
          <w:rStyle w:val="rvts13"/>
          <w:rFonts w:ascii="Times New Roman" w:hAnsi="Times New Roman" w:cs="Times New Roman"/>
          <w:sz w:val="24"/>
          <w:szCs w:val="24"/>
        </w:rPr>
        <w:t>, după cum s-a statuat prin Decizia nr. 45 din 12 decembrie 2016 de către Înalta Curte de Casaţie şi Justiţie, Completul pentru dezlegarea unor chestiuni de drept a statuat posibilitatea formulării unei cereri de revizuire "în baza unor decizii ale C.J.U.E., indiferent de momentul pronunţării acestora şi de împrejurarea invocării sau nu, în litigiul de bază, a dispoziţiilor de drept european preexistente, încălcate prin hotărârea a cărei revizuire se cere."(subl. ns). Mai mult, s-a arătat în considerentele deciziei precitate, că,,§.78 Nu este necesar ca partea să fi invocat în cursul soluţionării procesului încălcarea vreunui text din dreptul european, însă trebuie să fi invocat dreptul subiectiv ocrotit de dreptul european, chiar dacă nu s-a referit la incompatibilitatea normei interne cu dreptul european.".</w:t>
      </w:r>
    </w:p>
    <w:p>
      <w:pPr>
        <w:pStyle w:val="Frspaiere"/>
        <w:spacing w:before="0" w:after="0"/>
        <w:ind w:right="0" w:firstLine="720"/>
        <w:contextualSpacing/>
        <w:jc w:val="both"/>
        <w:rPr/>
      </w:pPr>
      <w:r>
        <w:rPr>
          <w:rStyle w:val="rvts3"/>
          <w:rFonts w:ascii="Times New Roman" w:hAnsi="Times New Roman" w:eastAsia="Times New Roman" w:cs="Times New Roman"/>
          <w:sz w:val="24"/>
          <w:szCs w:val="24"/>
        </w:rPr>
        <w:t xml:space="preserve"> </w:t>
      </w:r>
      <w:r>
        <w:rPr>
          <w:rStyle w:val="rvts3"/>
          <w:rFonts w:ascii="Times New Roman" w:hAnsi="Times New Roman" w:cs="Times New Roman"/>
          <w:sz w:val="24"/>
          <w:szCs w:val="24"/>
        </w:rPr>
        <w:t>Pe de altă parte, relativ la motivul de revizuire invocat în cauză, respectiv dispoziţiile art. 21 alin. (1) din Legea nr. 554/2004, din perspectiva art. 6 alin. (1) din Convenţia pentru apărarea Drepturilor Omului şi a Libertăţilor fundamentale, jurisprudenţa CEDO este unanimă în ceea ce priveşte necesitatea respectării principiului securităţii raporturilor juridice.</w:t>
      </w:r>
      <w:bookmarkStart w:name="6988408" w:id="5"/>
      <w:bookmarkEnd w:id="5"/>
    </w:p>
    <w:p>
      <w:pPr>
        <w:pStyle w:val="Frspaiere"/>
        <w:spacing w:before="0" w:after="0"/>
        <w:ind w:right="0" w:firstLine="720"/>
        <w:contextualSpacing/>
        <w:jc w:val="both"/>
        <w:rPr/>
      </w:pPr>
      <w:r>
        <w:rPr>
          <w:rStyle w:val="rvts13"/>
          <w:rFonts w:ascii="Times New Roman" w:hAnsi="Times New Roman" w:cs="Times New Roman"/>
          <w:sz w:val="24"/>
          <w:szCs w:val="24"/>
        </w:rPr>
        <w:t>Astfel, în cauza Lungu ş.a. împotriva României "37. Curtea a concluzionat în mai multe rânduri în sensul încălcării art. 6 ca urmare a casării, printr-o cale de atac extraordinară, fără motive substanţiale şi imperative, a unor hotărâri judecătoreşti definitive [a se vedea, printre altele, hotărârile Brumărescu împotriva României (MC), nr. 28342/95, pct. 61, CEDO 1999-VII şi Riabyk împotriva Rusiei, nr. 52854/99, pct. 52 şi 56, CEDO 2003-IX, citate anterior]. De asemenea, în mai multe cauze a considerat că, fie şi în absenţa casării unei hotărâri, repunerea în cauză a soluţiei adoptate într-un litigiu printr-o hotărâre judecătorească definitivă în cadrul unei alte proceduri judiciare poate aduce atingere art. 6, în măsura în care poate să facă iluzoriu dreptul de acces la o instanţă şi să încalce principiul securităţii juridice (D. şi alţii, citată anterior, pct. 67-70; Gök şi alţii împotriva Turciei, nr. 71867/01, 71869/01, 73319/01 şi 74858/01, pct. 57-62, 27 iulie 2006, şi Esertas împotriva Lituaniei, nr. 50208/06, pct. 23-32, 31 mai 2012)." (subl. ns.)</w:t>
      </w:r>
    </w:p>
    <w:p>
      <w:pPr>
        <w:pStyle w:val="Frspaiere"/>
        <w:spacing w:before="0" w:after="0"/>
        <w:ind w:right="0" w:firstLine="720"/>
        <w:contextualSpacing/>
        <w:jc w:val="both"/>
        <w:rPr/>
      </w:pPr>
      <w:r>
        <w:rPr>
          <w:rStyle w:val="rvts5"/>
          <w:rFonts w:ascii="Times New Roman" w:hAnsi="Times New Roman" w:cs="Times New Roman"/>
          <w:sz w:val="24"/>
          <w:szCs w:val="24"/>
        </w:rPr>
        <w:t>Potrivit art. 21 alin. (2) din Legea nr. 554/2004 a contenciosului administrativ "</w:t>
      </w:r>
      <w:r>
        <w:rPr>
          <w:rStyle w:val="rvts8"/>
          <w:rFonts w:ascii="Times New Roman" w:hAnsi="Times New Roman" w:cs="Times New Roman"/>
          <w:sz w:val="24"/>
          <w:szCs w:val="24"/>
        </w:rPr>
        <w:t>Constituie </w:t>
      </w:r>
      <w:r>
        <w:rPr>
          <w:rStyle w:val="rvts7"/>
          <w:rFonts w:ascii="Times New Roman" w:hAnsi="Times New Roman" w:cs="Times New Roman"/>
          <w:sz w:val="24"/>
          <w:szCs w:val="24"/>
        </w:rPr>
        <w:t>motiv de revizuire</w:t>
      </w:r>
      <w:r>
        <w:rPr>
          <w:rStyle w:val="rvts8"/>
          <w:rFonts w:ascii="Times New Roman" w:hAnsi="Times New Roman" w:cs="Times New Roman"/>
          <w:sz w:val="24"/>
          <w:szCs w:val="24"/>
        </w:rPr>
        <w:t>, care se adaugă la cele prevăzute de Codul de procedură civilă, </w:t>
      </w:r>
      <w:r>
        <w:rPr>
          <w:rStyle w:val="rvts7"/>
          <w:rFonts w:ascii="Times New Roman" w:hAnsi="Times New Roman" w:cs="Times New Roman"/>
          <w:sz w:val="24"/>
          <w:szCs w:val="24"/>
        </w:rPr>
        <w:t>pronunţarea hotărârilor rămase definitive şi irevocabile prin încălcarea principiului priorităţii dreptului UE</w:t>
      </w:r>
      <w:r>
        <w:rPr>
          <w:rStyle w:val="rvts8"/>
          <w:rFonts w:ascii="Times New Roman" w:hAnsi="Times New Roman" w:cs="Times New Roman"/>
          <w:sz w:val="24"/>
          <w:szCs w:val="24"/>
        </w:rPr>
        <w:t>, reglementat de art. 148 alin. (2), coroborat cu art. 20 alin. (2) din Constituţia României, republicată. </w:t>
      </w:r>
      <w:r>
        <w:rPr>
          <w:rStyle w:val="rvts5"/>
          <w:rFonts w:ascii="Times New Roman" w:hAnsi="Times New Roman" w:cs="Times New Roman"/>
          <w:sz w:val="24"/>
          <w:szCs w:val="24"/>
        </w:rPr>
        <w:t>(…)". [s.n.]  În legătură cu acest text de lege, Curtea Constituţională a României a reţinut, în considerentele deciziei nr. 1609/2010, că prin intermediul normei juridice "</w:t>
      </w:r>
      <w:r>
        <w:rPr>
          <w:rStyle w:val="rvts8"/>
          <w:rFonts w:ascii="Times New Roman" w:hAnsi="Times New Roman" w:cs="Times New Roman"/>
          <w:sz w:val="24"/>
          <w:szCs w:val="24"/>
        </w:rPr>
        <w:t>a fost introdus un nou motiv pentru care părţile interesate pot ataca pe calea revizuirii hotărârile rămase definitive şi irevocabile pronunţate de instanţele de contencios administrativ. </w:t>
      </w:r>
      <w:r>
        <w:rPr>
          <w:rStyle w:val="rvts7"/>
          <w:rFonts w:ascii="Times New Roman" w:hAnsi="Times New Roman" w:cs="Times New Roman"/>
          <w:sz w:val="24"/>
          <w:szCs w:val="24"/>
        </w:rPr>
        <w:t>Acest nou motiv este reprezentat de încălcarea de către instanţă, cu prilejul pronunţării hotărârii, a principiului priorităţii dreptului UE</w:t>
      </w:r>
      <w:r>
        <w:rPr>
          <w:rStyle w:val="rvts8"/>
          <w:rFonts w:ascii="Times New Roman" w:hAnsi="Times New Roman" w:cs="Times New Roman"/>
          <w:sz w:val="24"/>
          <w:szCs w:val="24"/>
        </w:rPr>
        <w:t>. Legiuitorul român a considerat necesară sancţionarea unei astfel de ipoteze, ţinând cont de prevederile </w:t>
      </w:r>
      <w:r>
        <w:rPr>
          <w:rStyle w:val="rvts7"/>
          <w:rFonts w:ascii="Times New Roman" w:hAnsi="Times New Roman" w:cs="Times New Roman"/>
          <w:sz w:val="24"/>
          <w:szCs w:val="24"/>
        </w:rPr>
        <w:t>art. 148 alin. (2) din Constituţie </w:t>
      </w:r>
      <w:r>
        <w:rPr>
          <w:rStyle w:val="rvts8"/>
          <w:rFonts w:ascii="Times New Roman" w:hAnsi="Times New Roman" w:cs="Times New Roman"/>
          <w:sz w:val="24"/>
          <w:szCs w:val="24"/>
        </w:rPr>
        <w:t>care </w:t>
      </w:r>
      <w:r>
        <w:rPr>
          <w:rStyle w:val="rvts7"/>
          <w:rFonts w:ascii="Times New Roman" w:hAnsi="Times New Roman" w:cs="Times New Roman"/>
          <w:sz w:val="24"/>
          <w:szCs w:val="24"/>
        </w:rPr>
        <w:t>instituie un mecanism eficient de rezolvare a conflictelor dintre legea naţională şi legislaţia Uniunii Europene, prin acordarea priorităţii de aplicare prevederilor tratatelor constitutive ale Uniunii Europene, precum şi celorlalte reglementări europene cu caracter obligatoriu, faţă de dispoziţiile contrare din legile interne</w:t>
      </w:r>
      <w:r>
        <w:rPr>
          <w:rStyle w:val="rvts8"/>
          <w:rFonts w:ascii="Times New Roman" w:hAnsi="Times New Roman" w:cs="Times New Roman"/>
          <w:sz w:val="24"/>
          <w:szCs w:val="24"/>
        </w:rPr>
        <w:t>. Prin consacrarea în cuprinsul Legii contenciosului administrativ nr. 554/2004 a dreptului de a cere revizuirea unei hotărâri pronunţate cu nesocotirea acestui principiu, </w:t>
      </w:r>
      <w:r>
        <w:rPr>
          <w:rStyle w:val="rvts7"/>
          <w:rFonts w:ascii="Times New Roman" w:hAnsi="Times New Roman" w:cs="Times New Roman"/>
          <w:sz w:val="24"/>
          <w:szCs w:val="24"/>
        </w:rPr>
        <w:t>s-a conferit eficacitate prevederii constituţionale menţionate</w:t>
      </w:r>
      <w:r>
        <w:rPr>
          <w:rStyle w:val="rvts8"/>
          <w:rFonts w:ascii="Times New Roman" w:hAnsi="Times New Roman" w:cs="Times New Roman"/>
          <w:sz w:val="24"/>
          <w:szCs w:val="24"/>
        </w:rPr>
        <w:t>, instituindu-se o modalitate concretă de asigurare a aducerii la îndeplinire a obligaţiilor pe care statul român şi le-a asumat prin actul de aderare la Uniunea Europeană, inclusiv în ceea ce priveşte menţinerea unităţii şi stabilităţii ordinii normative europene.</w:t>
      </w:r>
      <w:r>
        <w:rPr>
          <w:rStyle w:val="rvts5"/>
          <w:rFonts w:ascii="Times New Roman" w:hAnsi="Times New Roman" w:cs="Times New Roman"/>
          <w:sz w:val="24"/>
          <w:szCs w:val="24"/>
        </w:rPr>
        <w:t>" [s.n.]. </w:t>
      </w:r>
    </w:p>
    <w:p>
      <w:pPr>
        <w:pStyle w:val="Frspaiere"/>
        <w:spacing w:before="0" w:after="0"/>
        <w:ind w:right="0" w:firstLine="720"/>
        <w:contextualSpacing/>
        <w:jc w:val="both"/>
        <w:rPr/>
      </w:pPr>
      <w:r>
        <w:rPr>
          <w:rStyle w:val="rvts5"/>
          <w:rFonts w:ascii="Times New Roman" w:hAnsi="Times New Roman" w:cs="Times New Roman"/>
          <w:sz w:val="24"/>
          <w:szCs w:val="24"/>
        </w:rPr>
        <w:t> </w:t>
      </w:r>
      <w:r>
        <w:rPr>
          <w:rStyle w:val="rvts5"/>
          <w:rFonts w:ascii="Times New Roman" w:hAnsi="Times New Roman" w:eastAsia="Times New Roman" w:cs="Times New Roman"/>
          <w:sz w:val="24"/>
          <w:szCs w:val="24"/>
        </w:rPr>
        <w:t xml:space="preserve"> </w:t>
      </w:r>
      <w:r>
        <w:rPr>
          <w:rStyle w:val="rvts5"/>
          <w:rFonts w:ascii="Times New Roman" w:hAnsi="Times New Roman" w:cs="Times New Roman"/>
          <w:sz w:val="24"/>
          <w:szCs w:val="24"/>
        </w:rPr>
        <w:t>Ulterior, prin decizia nr. 1039/2012 Curtea Constituţională a României a arătat că:  "(…) </w:t>
      </w:r>
      <w:r>
        <w:rPr>
          <w:rStyle w:val="rvts8"/>
          <w:rFonts w:ascii="Times New Roman" w:hAnsi="Times New Roman" w:cs="Times New Roman"/>
          <w:sz w:val="24"/>
          <w:szCs w:val="24"/>
        </w:rPr>
        <w:t>reglementarea unui </w:t>
      </w:r>
      <w:r>
        <w:rPr>
          <w:rStyle w:val="rvts7"/>
          <w:rFonts w:ascii="Times New Roman" w:hAnsi="Times New Roman" w:cs="Times New Roman"/>
          <w:sz w:val="24"/>
          <w:szCs w:val="24"/>
        </w:rPr>
        <w:t>mijloc procedural care să permită reformarea unei hotărâri judecătoreşti definitive şi irevocabile pronunţate de o instanţă judecătorească, cu încălcarea dreptului Uniunii Europene, astfel cum a constatat Curtea de Justiţie a Uniunii Europene</w:t>
      </w:r>
      <w:r>
        <w:rPr>
          <w:rStyle w:val="rvts8"/>
          <w:rFonts w:ascii="Times New Roman" w:hAnsi="Times New Roman" w:cs="Times New Roman"/>
          <w:sz w:val="24"/>
          <w:szCs w:val="24"/>
        </w:rPr>
        <w:t>, nu este de natură să încalce nici dreptul la un proces echitabil şi nici principiul securităţii raporturilor juridice. </w:t>
      </w:r>
      <w:r>
        <w:rPr>
          <w:rStyle w:val="rvts7"/>
          <w:rFonts w:ascii="Times New Roman" w:hAnsi="Times New Roman" w:cs="Times New Roman"/>
          <w:sz w:val="24"/>
          <w:szCs w:val="24"/>
        </w:rPr>
        <w:t>O hotărâre judecătorească, deşi definitivă şi irevocabilă, nu poate fi considerată legală atât timp cât se întemeiază pe un act normativ contrar prevederilor dreptului Uniunii Europene, acestea din urmă beneficiind, în virtutea art. 148 alin. (2) din Constituţie, de aplicare prioritară faţă de dispoziţiile contrare din legile interne</w:t>
      </w:r>
      <w:r>
        <w:rPr>
          <w:rStyle w:val="rvts8"/>
          <w:rFonts w:ascii="Times New Roman" w:hAnsi="Times New Roman" w:cs="Times New Roman"/>
          <w:sz w:val="24"/>
          <w:szCs w:val="24"/>
        </w:rPr>
        <w:t>. Curtea a reţinut în jurisprudenţa sa că principiul stabilităţii raporturilor juridice nu poate implica promovarea unui drept prin intermediul unei ilegalităţi (a se vedea, în acest sens, Decizia nr. 404 din 10 aprilie 2008, publicată în Monitorul Oficial al României, Partea I, nr. 347 din 6 mai 2008). Aşadar, în această situaţie, </w:t>
      </w:r>
      <w:r>
        <w:rPr>
          <w:rStyle w:val="rvts7"/>
          <w:rFonts w:ascii="Times New Roman" w:hAnsi="Times New Roman" w:cs="Times New Roman"/>
          <w:sz w:val="24"/>
          <w:szCs w:val="24"/>
        </w:rPr>
        <w:t>posibilitatea revizuirii unei hotărâri judecătoreşti pronunţate cu încălcarea dreptului Uniunii Europene constituie singura modalitate de contracarare a efectelor principiului potrivit căruia fraus omnia corrumpit</w:t>
      </w:r>
      <w:r>
        <w:rPr>
          <w:rStyle w:val="rvts8"/>
          <w:rFonts w:ascii="Times New Roman" w:hAnsi="Times New Roman" w:cs="Times New Roman"/>
          <w:sz w:val="24"/>
          <w:szCs w:val="24"/>
        </w:rPr>
        <w:t>. Nu în ultimul rând, dreptul la un proces echitabil presupune eo ipso prezumţia de conformitate a actelor normative interpretate şi aplicate de instanţa judecătorească în actul de înfăptuire a justiţiei cu legislaţia prioritară a Uniunii Europene.</w:t>
      </w:r>
      <w:r>
        <w:rPr>
          <w:rStyle w:val="rvts5"/>
          <w:rFonts w:ascii="Times New Roman" w:hAnsi="Times New Roman" w:cs="Times New Roman"/>
          <w:sz w:val="24"/>
          <w:szCs w:val="24"/>
        </w:rPr>
        <w:t>"; </w:t>
      </w:r>
    </w:p>
    <w:p>
      <w:pPr>
        <w:pStyle w:val="Frspaiere"/>
        <w:spacing w:before="0" w:after="0"/>
        <w:ind w:right="0" w:firstLine="720"/>
        <w:contextualSpacing/>
        <w:jc w:val="both"/>
        <w:rPr/>
      </w:pPr>
      <w:r>
        <w:rPr>
          <w:rStyle w:val="rvts8"/>
          <w:rFonts w:ascii="Times New Roman" w:hAnsi="Times New Roman" w:cs="Times New Roman"/>
          <w:sz w:val="24"/>
          <w:szCs w:val="24"/>
        </w:rPr>
        <w:t>În acelaşi sens, art. 4 alin. (3) din Tratatul privind Uniunea Europeană, publicat în Jurnalul Oficial al Uniunii Europene seria C nr. 83 din 30 martie 2010, reglementează </w:t>
      </w:r>
      <w:r>
        <w:rPr>
          <w:rStyle w:val="rvts7"/>
          <w:rFonts w:ascii="Times New Roman" w:hAnsi="Times New Roman" w:cs="Times New Roman"/>
          <w:sz w:val="24"/>
          <w:szCs w:val="24"/>
        </w:rPr>
        <w:t>principiul cooperării loiale dintre Uniune şi statele membre şi prevede</w:t>
      </w:r>
      <w:r>
        <w:rPr>
          <w:rStyle w:val="rvts8"/>
          <w:rFonts w:ascii="Times New Roman" w:hAnsi="Times New Roman" w:cs="Times New Roman"/>
          <w:sz w:val="24"/>
          <w:szCs w:val="24"/>
        </w:rPr>
        <w:t>, totodată, </w:t>
      </w:r>
      <w:r>
        <w:rPr>
          <w:rStyle w:val="rvts7"/>
          <w:rFonts w:ascii="Times New Roman" w:hAnsi="Times New Roman" w:cs="Times New Roman"/>
          <w:sz w:val="24"/>
          <w:szCs w:val="24"/>
        </w:rPr>
        <w:t>obligaţia pozitivă a statelor membre de a adopta orice măsură generală sau specială pentru asigurarea îndeplinirii obligaţiilor care decurg din tratate sau care rezultă din actele instituţiilor Uniunii</w:t>
      </w:r>
      <w:r>
        <w:rPr>
          <w:rStyle w:val="rvts8"/>
          <w:rFonts w:ascii="Times New Roman" w:hAnsi="Times New Roman" w:cs="Times New Roman"/>
          <w:sz w:val="24"/>
          <w:szCs w:val="24"/>
        </w:rPr>
        <w:t>. Acelaşi text consacră şi </w:t>
      </w:r>
      <w:r>
        <w:rPr>
          <w:rStyle w:val="rvts7"/>
          <w:rFonts w:ascii="Times New Roman" w:hAnsi="Times New Roman" w:cs="Times New Roman"/>
          <w:sz w:val="24"/>
          <w:szCs w:val="24"/>
        </w:rPr>
        <w:t>obligaţia negativă a statelor membre de a se abţine de la orice măsură care ar putea pune în pericol realizarea obiectivelor Uniunii</w:t>
      </w:r>
      <w:r>
        <w:rPr>
          <w:rStyle w:val="rvts8"/>
          <w:rFonts w:ascii="Times New Roman" w:hAnsi="Times New Roman" w:cs="Times New Roman"/>
          <w:sz w:val="24"/>
          <w:szCs w:val="24"/>
        </w:rPr>
        <w:t>. Cât priveşte </w:t>
      </w:r>
      <w:r>
        <w:rPr>
          <w:rStyle w:val="rvts7"/>
          <w:rFonts w:ascii="Times New Roman" w:hAnsi="Times New Roman" w:cs="Times New Roman"/>
          <w:sz w:val="24"/>
          <w:szCs w:val="24"/>
        </w:rPr>
        <w:t>competenţa de asigurare a interpretării dreptului Uniunii în scopul aplicării unitare la nivelul tuturor statelor membre, aceasta aparţine Curţii de Justiţie a Uniunii Europene</w:t>
      </w:r>
      <w:r>
        <w:rPr>
          <w:rStyle w:val="rvts8"/>
          <w:rFonts w:ascii="Times New Roman" w:hAnsi="Times New Roman" w:cs="Times New Roman"/>
          <w:sz w:val="24"/>
          <w:szCs w:val="24"/>
        </w:rPr>
        <w:t>, care, în calitate de autoritate de jurisdicţie a Uniunii, în temeiul art. 19 alin. (3) lit. b) din Tratat, hotărăşte cu titlu preliminar, la solicitarea instanţelor judecătoreşti naţionale, cu privire la interpretarea dreptului Uniunii sau la validitatea actelor adoptate de instituţii.</w:t>
      </w:r>
      <w:r>
        <w:rPr>
          <w:rStyle w:val="rvts5"/>
          <w:rFonts w:ascii="Times New Roman" w:hAnsi="Times New Roman" w:cs="Times New Roman"/>
          <w:sz w:val="24"/>
          <w:szCs w:val="24"/>
        </w:rPr>
        <w:t>". [s.n.]  Din lectura atentă a celor două decizii menţionate, se observă că în viziunea Curţii Constituţionale a României motivul de revizuire prevăzut de art. 21 alin. (2) din Legea nr. 554/2004 constituie un remediu eficient şi efectiv de reformare a unei hotărâri judecătoreşti definitive şi irevocabile pronunţate de o instanţă judecătorească, cu încălcarea dreptului Uniunii Europene. În acest din urmă sens, este vorba despre o hotărâre judecătorească definitivă şi irevocabilă ce se întemeiază pe un act normativ contrar prevederilor dreptului Uniunii Europene, acestea din urmă beneficiind, în virtutea art. 148 alin. (2) din Constituţie, de aplicare prioritară faţă de dispoziţiile contrare din legile interne. Obiectivul esenţial al unui astfel de mijloc procedural constă în pronunţarea unei hotărâri legale şi temeinice care să reflecte adevărul, prin revenirea la starea de legalitate conformă cu principiul în discuţie. În sfârşit, Curtea Constituţională a României a recunoscut în beneficiul Curţii de Justiţie a Uniunii Europene competenţa de asigurare a interpretării dreptului Uniunii în scopul aplicării unitare la nivelul tuturor statelor membre. </w:t>
      </w:r>
    </w:p>
    <w:p>
      <w:pPr>
        <w:pStyle w:val="NormalWeb"/>
        <w:spacing w:before="0" w:after="0"/>
        <w:ind w:right="0" w:firstLine="708"/>
        <w:contextualSpacing/>
        <w:jc w:val="both"/>
        <w:rPr/>
      </w:pPr>
      <w:r>
        <w:rPr>
          <w:rStyle w:val="rvts5"/>
        </w:rPr>
        <w:t xml:space="preserve"> </w:t>
      </w:r>
      <w:r>
        <w:rPr>
          <w:rStyle w:val="rvts5"/>
        </w:rPr>
        <w:t>Astfel, în prezenta cerere de revizuire, problema repusă în discuţie de una dintre părţi relativ la interpretarea dreptului Uniunii Europene, privind p</w:t>
      </w:r>
      <w:r>
        <w:rPr/>
        <w:t>rincipiile generale aplicabile dreptului european si normelor nationale in implementarea dreptului european: 1 Protectia increderii legitime- practica C.J.U.E.; 2.PrincipiuI securitatii raporturilor juridice - practica C.J.U.E. ; 3.PrincipiiIe economiei, eficientei si eficacitatii- art. 30 din Regulamentul nr. 966/2012 din Regulamentul UE Euratom nr. 966/2012 al Parlamentului european si al Consiliului din 25 octombrie 2012 privind normele financiare aplicabile bugetului general al Uniunii şi 4.Principiul previzibilitatii - practica C.J.U.E. cauza C-325, principiile din domeniul fondurilor europene aplicabile dreptului european si normelor nationale in implementarea dreptului european: 1.Principiul responsabilității statelor şi .Principiul proportionalitatii , a fost  deja examinată, de Curtea de Apel şi Inalta Curte.</w:t>
      </w:r>
    </w:p>
    <w:p>
      <w:pPr>
        <w:pStyle w:val="NormalWeb"/>
        <w:spacing w:before="0" w:after="0"/>
        <w:ind w:right="0" w:firstLine="708"/>
        <w:contextualSpacing/>
        <w:jc w:val="both"/>
        <w:rPr/>
      </w:pPr>
      <w:r>
        <w:rPr>
          <w:rStyle w:val="rvts5"/>
        </w:rPr>
        <w:t xml:space="preserve">In recurs, </w:t>
      </w:r>
      <w:r>
        <w:rPr>
          <w:rStyle w:val="rvts5"/>
          <w:i/>
        </w:rPr>
        <w:t xml:space="preserve">Inalta Curte </w:t>
      </w:r>
      <w:r>
        <w:rPr>
          <w:rStyle w:val="rvts5"/>
        </w:rPr>
        <w:t xml:space="preserve">verificând apărările revizuentei, a reţinut că  </w:t>
      </w:r>
      <w:r>
        <w:rPr/>
        <w:t>art. 2 pct. 7 din Regulamentul (CE) nr. 1083/2006 al Consiliului U.E a stabilit ca "neregularitate" înseamnă orice încălcare a unei dispoziţii a dreptului comunitar care rezultă dintr-un act sau dintr-o omisiune a unui operator economic care are sau ar putea avea ca efect un prejudiciu la adresa bugetului general al Uniunii Europene prin imputarea unei cheltuieli necorespunzătoare bugetului general.</w:t>
      </w:r>
    </w:p>
    <w:p>
      <w:pPr>
        <w:pStyle w:val="NormalWeb"/>
        <w:spacing w:before="0" w:after="0"/>
        <w:ind w:right="0" w:firstLine="708"/>
        <w:contextualSpacing/>
        <w:jc w:val="both"/>
        <w:rPr/>
      </w:pPr>
      <w:r>
        <w:rPr/>
        <w:t>În ceea ce priveşte invocarea încălcării principiului proporţionalităţii, conform prev. art. 2 alin. (1) lit. n) din O.U.G. nr. 66/2011, prin principiul proporţionalităţii se înţelege ideea că orice măsură administrativă adoptată trebuie să fie adecvată, necesară şi corespunzătoare scopului urmărit, atât în ceea ce priveşte resursele angajate în constatarea neregulilor, cât şi în ceea ce priveşte stabilirea creanţelor bugetare rezultate din nereguli, ţinând seama de natura şi frecvenţa neregulilor constatate şi de impactul financiar al acestora asupra proiectului/programului respectiv.</w:t>
      </w:r>
    </w:p>
    <w:p>
      <w:pPr>
        <w:pStyle w:val="NormalWeb"/>
        <w:spacing w:before="0" w:after="0"/>
        <w:ind w:right="0" w:firstLine="708"/>
        <w:contextualSpacing/>
        <w:jc w:val="both"/>
        <w:rPr/>
      </w:pPr>
      <w:r>
        <w:rPr/>
        <w:t>Principiul proporţionalităţii presupune că orice măsură luată de o autoritate publică, care afectează drepturile indivizilor, trebuie să fie corespunzătoare atingerii unui scop legitim, necesară în vederea atingerii acelui scop şi în acelaşi timp, cea mai rezonabilă.</w:t>
      </w:r>
    </w:p>
    <w:p>
      <w:pPr>
        <w:pStyle w:val="NormalWeb"/>
        <w:spacing w:before="0" w:after="0"/>
        <w:ind w:right="0" w:firstLine="708"/>
        <w:contextualSpacing/>
        <w:jc w:val="both"/>
        <w:rPr/>
      </w:pPr>
      <w:r>
        <w:rPr/>
        <w:t>În jurisprudenţa constantă a Curţii de Justiţie a Uniunii Europene s-a statuat că principiul proporţionalităţii face parte dintre principiile generale ale dreptului comunitar şi impune ca mijloacele puse în aplicare printr-o dispoziţie de drept comunitar să fie apte să realizeze obiectivele legitime urmărite de reglementarea în cauză şi să nu depăşească ceea ce este necesar pentru atingerea acestora.</w:t>
      </w:r>
    </w:p>
    <w:p>
      <w:pPr>
        <w:pStyle w:val="NormalWeb"/>
        <w:spacing w:before="0" w:after="0"/>
        <w:ind w:right="0" w:firstLine="708"/>
        <w:contextualSpacing/>
        <w:jc w:val="both"/>
        <w:rPr/>
      </w:pPr>
      <w:r>
        <w:rPr/>
        <w:t>În aplicarea acestui principiu, Curtea de Justiţie a Uniunii Europene a stabilit că sancţiunile din dreptul intern trebuie să fie întotdeauna proporţionale cu gravitatea abuzului (cauza C-146/05, Hotărârea din 27 septembrie 2007, Collee KG şi Finanzanet) iar "măsura să nu depăşească ceea ce este necesar pentru că devine improprie scopului urmărit" (cauza C-45/2006).</w:t>
      </w:r>
    </w:p>
    <w:p>
      <w:pPr>
        <w:pStyle w:val="NormalWeb"/>
        <w:spacing w:before="0" w:after="0"/>
        <w:ind w:right="0" w:firstLine="708"/>
        <w:contextualSpacing/>
        <w:jc w:val="both"/>
        <w:rPr/>
      </w:pPr>
      <w:r>
        <w:rPr/>
        <w:t>De asemenea, în Cauza Comissia/Partheon (T7/05, pct. 94 - 107), Curtea de Justiţie a subliniat: "Atunci când se constată o încălcare a dispoziţiilor contractuale de către beneficiarul fondurilor nerambursabile, autoritatea contractantă are o marjă de apreciere în privinţa luării unor decizii cu caracter sancţionator, dacă încălcarea este suficient de gravă".</w:t>
      </w:r>
    </w:p>
    <w:p>
      <w:pPr>
        <w:pStyle w:val="NormalWeb"/>
        <w:spacing w:before="0" w:after="0"/>
        <w:ind w:right="0" w:firstLine="708"/>
        <w:contextualSpacing/>
        <w:jc w:val="both"/>
        <w:rPr/>
      </w:pPr>
      <w:r>
        <w:rPr/>
        <w:t>În acelaşi sens, Regulamentul (CE) nr. 1083/2006 al Consiliului din 11 iulie 2006, menţionat drept temei al adoptării H.G. nr. 678/2015, reglementează principiul proporţionalităţii din perspectiva cuantificării obiectivelor şi a rezultatelor [articolul 37 (1)].</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Principiile evocate astfel de revizuentă ca fundament al acestei cereri de revizuire conexată au fost deja suspuse examinării în cadrul recursului de Inalta Curte.</w:t>
      </w:r>
    </w:p>
    <w:p>
      <w:pPr>
        <w:pStyle w:val="Frspaiere"/>
        <w:spacing w:before="0" w:after="0"/>
        <w:contextualSpacing/>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rPr>
        <w:t>In acest context, trebuie reamintit ca instanța de contencios european a drepturilor omului a statuat, in mod constant, in jurisprudența sa, ca revizuirea, cale extraordinara de atac de retractare, nu se poate transforma într-un recurs deghizat, prin care sa se tinda la obținerea unei rejudecări a cauzei, pentru ca, in sens contrar, s-ar aduce atingere prezumției de validitate de care trebuie sa se bucure hotărârile judecătorești irevocabile si principiului securității raporturilor juridice (Cauza Mitrea contra României, Hotărârea din 29 iulie 2008).</w:t>
      </w:r>
    </w:p>
    <w:p>
      <w:pPr>
        <w:pStyle w:val="NormalWeb"/>
        <w:spacing w:before="0" w:after="0"/>
        <w:ind w:right="0" w:firstLine="708"/>
        <w:contextualSpacing/>
        <w:jc w:val="both"/>
        <w:rPr/>
      </w:pPr>
      <w:r>
        <w:rPr/>
        <w:t>In ceea ce priveşte principiul securităţii raporturilor juridice, acesta va fi analizat  şi din perspectiva motivului de revizuire subsecvent.</w:t>
      </w:r>
    </w:p>
    <w:p>
      <w:pPr>
        <w:pStyle w:val="Frspaiere"/>
        <w:spacing w:before="0" w:after="0"/>
        <w:ind w:right="0" w:firstLine="720"/>
        <w:contextualSpacing/>
        <w:jc w:val="both"/>
        <w:rPr/>
      </w:pPr>
      <w:r>
        <w:rPr>
          <w:rFonts w:ascii="Times New Roman" w:hAnsi="Times New Roman" w:cs="Times New Roman"/>
          <w:i/>
          <w:iCs/>
          <w:sz w:val="24"/>
          <w:szCs w:val="24"/>
        </w:rPr>
        <w:t>Cu privire la revizuirea întemeiată in drept pe prevederile art. 509 alin. pct. 5 Cod</w:t>
      </w:r>
      <w:r>
        <w:rPr>
          <w:rFonts w:ascii="Times New Roman" w:hAnsi="Times New Roman" w:cs="Times New Roman"/>
          <w:sz w:val="24"/>
          <w:szCs w:val="24"/>
        </w:rPr>
        <w:t xml:space="preserve"> procedura civila care stipulează faptul ca, revizuirea unei hotărâri pronunțate asupra fondului sau care evoca fondul poate fi ceruta daca: 5. după darea hotărârii, s-au descoperit înscrisuri doveditoare, reținute de partea potrivnica sau care nu au putut fi înfățișate dintr-o împrejurare mai presus de voința parților</w:t>
      </w:r>
    </w:p>
    <w:p>
      <w:pPr>
        <w:pStyle w:val="Frspaiere"/>
        <w:spacing w:before="0" w:after="0"/>
        <w:ind w:right="0" w:firstLine="720"/>
        <w:contextualSpacing/>
        <w:jc w:val="both"/>
        <w:rPr/>
      </w:pPr>
      <w:r>
        <w:rPr>
          <w:rFonts w:ascii="Times New Roman" w:hAnsi="Times New Roman" w:eastAsia="Times New Roman" w:cs="Times New Roman"/>
          <w:sz w:val="24"/>
          <w:szCs w:val="24"/>
          <w:lang w:eastAsia="ro-RO"/>
        </w:rPr>
        <w:t>Acest motiv tipic de revizuire se refera la descoperirea de înscrisuri doveditoare, deci când partea care a pierdut procesul dovedește existenta unor înscrisuri care nu fost reținute de partea adversa sau care nu au putut fi prezentate dintr-o împrejurare mai presus de voința ei.</w:t>
      </w:r>
      <w:r>
        <w:rPr>
          <w:rFonts w:ascii="Times New Roman" w:hAnsi="Times New Roman" w:cs="Times New Roman"/>
          <w:sz w:val="24"/>
          <w:szCs w:val="24"/>
        </w:rPr>
        <w:t xml:space="preserve"> ( In Decizia nr. 3145/2014 ICCJ arată că admisibilitatea cererii de revizuire este condiționată nu numai de descoperirea ulterior judecății a unor acte noi și de imposibilitatea înfățișării lor în instanță datorită unor împrejurări mai presus de voința pârții, dar și de caracterul determinant al acestor înscrisuri.)</w:t>
      </w:r>
    </w:p>
    <w:p>
      <w:pPr>
        <w:pStyle w:val="Frspaiere"/>
        <w:spacing w:before="0" w:after="0"/>
        <w:ind w:right="0" w:firstLine="720"/>
        <w:contextualSpacing/>
        <w:jc w:val="both"/>
        <w:rPr>
          <w:rFonts w:ascii="Times New Roman" w:hAnsi="Times New Roman" w:eastAsia="Times New Roman" w:cs="Times New Roman"/>
          <w:sz w:val="24"/>
          <w:szCs w:val="24"/>
          <w:lang w:eastAsia="ro-RO"/>
        </w:rPr>
      </w:pPr>
      <w:r>
        <w:rPr>
          <w:rFonts w:ascii="Times New Roman" w:hAnsi="Times New Roman" w:eastAsia="Times New Roman" w:cs="Times New Roman"/>
          <w:sz w:val="24"/>
          <w:szCs w:val="24"/>
          <w:lang w:eastAsia="ro-RO"/>
        </w:rPr>
        <w:t xml:space="preserve"> </w:t>
      </w:r>
      <w:r>
        <w:rPr>
          <w:rFonts w:ascii="Times New Roman" w:hAnsi="Times New Roman" w:eastAsia="Times New Roman" w:cs="Times New Roman"/>
          <w:sz w:val="24"/>
          <w:szCs w:val="24"/>
          <w:lang w:eastAsia="ro-RO"/>
        </w:rPr>
        <w:t xml:space="preserve">Statuând ca se poate cere revizuirea pentru motivul mai sus arătat, legiuitorul s-a referit la acele înscrisuri care, nefiind cunoscute, nu au putut fi verificate de instanța care a judecat, fapt care a permis săvârșirea unei erori de fapt involuntare ce se impune a fi corectata si care este de natura sa conducă la schimbarea soluției pronunțate. </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În jurisprudența CEDO s-a reținut în mod constant ca revizuirea unei hotărâri irevocabile poate interveni numai pentru un "defect fundamental", care a devenit cunoscut numai după terminarea procesului, în situația în care el este/devine cunoscut în cursul procesului, atunci pârțile au la îndemâna căile ordinare de atac (cauza Popescu Stanca contra României, hotărâre publicata).</w:t>
      </w:r>
    </w:p>
    <w:p>
      <w:pPr>
        <w:pStyle w:val="Frspaiere"/>
        <w:spacing w:before="0" w:after="0"/>
        <w:ind w:right="0" w:firstLine="720"/>
        <w:contextualSpacing/>
        <w:jc w:val="both"/>
        <w:rPr/>
      </w:pPr>
      <w:r>
        <w:rPr>
          <w:rFonts w:ascii="Times New Roman" w:hAnsi="Times New Roman" w:eastAsia="Times New Roman" w:cs="Times New Roman"/>
          <w:sz w:val="24"/>
          <w:szCs w:val="24"/>
          <w:lang w:eastAsia="ro-RO"/>
        </w:rPr>
        <w:t xml:space="preserve">In sensul textului legal enunțat, poate fi invocat ca act nou pentru revizuirea hotărârii numai un înscris </w:t>
      </w:r>
      <w:r>
        <w:rPr>
          <w:rFonts w:ascii="Times New Roman" w:hAnsi="Times New Roman" w:eastAsia="Times New Roman" w:cs="Times New Roman"/>
          <w:b/>
          <w:bCs/>
          <w:sz w:val="24"/>
          <w:szCs w:val="24"/>
          <w:u w:val="single"/>
          <w:lang w:eastAsia="ro-RO"/>
        </w:rPr>
        <w:t>care a existat la data când s-a pronunțat hotărârea a cărei revizuire se cere</w:t>
      </w:r>
      <w:r>
        <w:rPr>
          <w:rFonts w:ascii="Times New Roman" w:hAnsi="Times New Roman" w:eastAsia="Times New Roman" w:cs="Times New Roman"/>
          <w:sz w:val="24"/>
          <w:szCs w:val="24"/>
          <w:lang w:eastAsia="ro-RO"/>
        </w:rPr>
        <w:t xml:space="preserve"> si pe care partea nu l-a putut prezenta instanței pentru ca a fost reținut de partea adversa ori nu au putut fi prezentate dintr-o împrejurare mai presus de voința parților (forța majora) si care este apt sa conducă, prin el însuși, la anularea deciziei atacate, întrucât confirma o situație fundamental deosebita de aceea care a fost reținuta de instanța ca determinanta in darea soluției.</w:t>
      </w:r>
    </w:p>
    <w:p>
      <w:pPr>
        <w:pStyle w:val="Frspaiere"/>
        <w:spacing w:before="0" w:after="0"/>
        <w:ind w:right="0" w:firstLine="720"/>
        <w:contextualSpacing/>
        <w:jc w:val="both"/>
        <w:rPr>
          <w:rFonts w:ascii="Times New Roman" w:hAnsi="Times New Roman" w:eastAsia="Times New Roman" w:cs="Times New Roman"/>
          <w:sz w:val="24"/>
          <w:szCs w:val="24"/>
          <w:lang w:eastAsia="ro-RO"/>
        </w:rPr>
      </w:pPr>
      <w:r>
        <w:rPr>
          <w:rFonts w:ascii="Times New Roman" w:hAnsi="Times New Roman" w:eastAsia="Times New Roman" w:cs="Times New Roman"/>
          <w:sz w:val="24"/>
          <w:szCs w:val="24"/>
          <w:lang w:eastAsia="ro-RO"/>
        </w:rPr>
        <w:t xml:space="preserve">Admisibilitatea cererii de revizuire este condiționata nu numai de descoperirea ulterior judecații a unor acte noi ci si de imposibilitatea înfățișării lor in instanța datorita unor împrejurări mai presus de voința parții, dar si de caracterul determinant al acestor înscrisuri . Pentru ca înscrisurile sa fie ``înscrisuri determinante`` in sensul dispozițiilor art. 509 alin. 1 pct. 5 Cod procedura civila este necesar ca ele, daca ar fi fost cunoscute de instanța cu ocazia judecării pricinii, sa fi putut duce la alta soluție decât cea pronunțata. </w:t>
      </w:r>
    </w:p>
    <w:p>
      <w:pPr>
        <w:pStyle w:val="Frspaiere"/>
        <w:spacing w:before="0" w:after="0"/>
        <w:ind w:right="0" w:firstLine="720"/>
        <w:contextualSpacing/>
        <w:jc w:val="both"/>
        <w:rPr>
          <w:rFonts w:ascii="Times New Roman" w:hAnsi="Times New Roman" w:eastAsia="Times New Roman" w:cs="Times New Roman"/>
          <w:sz w:val="24"/>
          <w:szCs w:val="24"/>
          <w:lang w:eastAsia="ro-RO"/>
        </w:rPr>
      </w:pPr>
      <w:r>
        <w:rPr>
          <w:rFonts w:ascii="Times New Roman" w:hAnsi="Times New Roman" w:eastAsia="Times New Roman" w:cs="Times New Roman"/>
          <w:sz w:val="24"/>
          <w:szCs w:val="24"/>
          <w:lang w:eastAsia="ro-RO"/>
        </w:rPr>
        <w:t>In speța, simplul fapt ca partea a descoperit ulterior pronunțării hotărârii anumite înscrisuri probatorii, fără a dovedi ca o împrejurare mai presus de voința sa a împiedicat-o sa le procure in timpul procesului, nu este de natura sa justifice admiterea cererii de revizuire deoarece, in caz contrar, un proces definitiv câștigat ar putea fi supus revizuirii pe baza de acte si dovezi posterior confecționate, iar autoritatea de lucru judecat ar deveni iluzorie.</w:t>
      </w:r>
    </w:p>
    <w:p>
      <w:pPr>
        <w:pStyle w:val="Frspaiere"/>
        <w:spacing w:before="0" w:after="0"/>
        <w:ind w:right="0" w:firstLine="720"/>
        <w:contextualSpacing/>
        <w:jc w:val="both"/>
        <w:rPr/>
      </w:pPr>
      <w:r>
        <w:rPr>
          <w:rFonts w:ascii="Times New Roman" w:hAnsi="Times New Roman" w:cs="Times New Roman"/>
          <w:sz w:val="24"/>
          <w:szCs w:val="24"/>
        </w:rPr>
        <w:t>Pe de altă parte, susţinerile revizuentei în ceea ce privește efectele ordonanței si constatărilor penale in privința nelegalității proceselor verbale de creanța si hotărârii supuse revizuirii, în sensul că nu se pot retine nereguli sau abateri in implementarea proiectului in analiza cererilor de plata nr. 3 si nr. 4, deoarece lucrările pentru care  s-au constatat cheltuieli neeligibile nu au fost achitate de către parat, deficientele descrise nu reprezintă nereguli - abateri de la legislație sau neconformități ale documentației tehnice in sensul nerespectării dispozițiilor art. 2 din H.G. nr. 759/2007 si art. 18</w:t>
      </w:r>
      <w:r>
        <w:rPr>
          <w:rFonts w:ascii="Times New Roman" w:hAnsi="Times New Roman" w:cs="Times New Roman"/>
          <w:sz w:val="24"/>
          <w:szCs w:val="24"/>
          <w:vertAlign w:val="superscript"/>
        </w:rPr>
        <w:t>1</w:t>
      </w:r>
      <w:r>
        <w:rPr>
          <w:rFonts w:ascii="Times New Roman" w:hAnsi="Times New Roman" w:cs="Times New Roman"/>
          <w:sz w:val="24"/>
          <w:szCs w:val="24"/>
        </w:rPr>
        <w:t xml:space="preserve"> din Legea nr. 78/2000, nu pot constitui fundament al revizuirii.</w:t>
      </w:r>
    </w:p>
    <w:p>
      <w:pPr>
        <w:pStyle w:val="Frspaiere"/>
        <w:spacing w:before="0" w:after="0"/>
        <w:ind w:right="0" w:firstLine="708"/>
        <w:contextualSpacing/>
        <w:jc w:val="both"/>
        <w:rPr>
          <w:rFonts w:ascii="Times New Roman" w:hAnsi="Times New Roman" w:cs="Times New Roman"/>
          <w:sz w:val="24"/>
          <w:szCs w:val="24"/>
        </w:rPr>
      </w:pPr>
      <w:r>
        <w:rPr>
          <w:rFonts w:ascii="Times New Roman" w:hAnsi="Times New Roman" w:cs="Times New Roman"/>
          <w:sz w:val="24"/>
          <w:szCs w:val="24"/>
        </w:rPr>
        <w:t>Autoritatea (puterea) de lucru judecat este un principiu unanim recunoscut si aplicat ca atare in dreptul procesual – penal si civil, reprezentând caracteristica hotărârilor judecătorești definitive de a capătă puterea lucrului judecat, in sensul de a nu mai putea fi atacate, decât prin căile de atac extraordinare (in condițiile limitative si speciale ale legii procesuale), bucurându-se, astfel, de o prezumție absoluta de adevăr juridic.</w:t>
      </w:r>
    </w:p>
    <w:p>
      <w:pPr>
        <w:pStyle w:val="Frspaiere"/>
        <w:spacing w:before="0" w:after="0"/>
        <w:ind w:right="0" w:firstLine="720"/>
        <w:contextualSpacing/>
        <w:jc w:val="both"/>
        <w:rPr/>
      </w:pPr>
      <w:r>
        <w:rPr>
          <w:rFonts w:ascii="Times New Roman" w:hAnsi="Times New Roman" w:cs="Times New Roman"/>
          <w:sz w:val="24"/>
          <w:szCs w:val="24"/>
        </w:rPr>
        <w:t>In concepția si interpretarea actualului Cod de procedura penala, autoritatea de lucru judecat vizează, in mod tradițional, hotărârile judecătorești definitive, pronunțate in cauze in care sesizarea instanței se face prin rechizitoriu, conform art. 262 al. 1 pct. 1 lit. a, b si art. 264 C. pr. pen. ori prin plângerea persoanei interesate, in cazul special,  prevăzut de art. 278</w:t>
      </w:r>
      <w:r>
        <w:rPr>
          <w:rFonts w:ascii="Times New Roman" w:hAnsi="Times New Roman" w:cs="Times New Roman"/>
          <w:sz w:val="24"/>
          <w:szCs w:val="24"/>
          <w:vertAlign w:val="superscript"/>
        </w:rPr>
        <w:t>1</w:t>
      </w:r>
      <w:r>
        <w:rPr>
          <w:rFonts w:ascii="Times New Roman" w:hAnsi="Times New Roman" w:cs="Times New Roman"/>
          <w:sz w:val="24"/>
          <w:szCs w:val="24"/>
        </w:rPr>
        <w:t xml:space="preserve"> al. 9 C. pr. pen.</w:t>
      </w:r>
    </w:p>
    <w:p>
      <w:pPr>
        <w:pStyle w:val="Frspaiere"/>
        <w:spacing w:before="0" w:after="0"/>
        <w:ind w:right="0" w:firstLine="720"/>
        <w:contextualSpacing/>
        <w:jc w:val="both"/>
        <w:rPr/>
      </w:pPr>
      <w:r>
        <w:rPr>
          <w:rFonts w:ascii="Times New Roman" w:hAnsi="Times New Roman" w:cs="Times New Roman"/>
          <w:sz w:val="24"/>
          <w:szCs w:val="24"/>
        </w:rPr>
        <w:t xml:space="preserve">De partea cealaltă, este unanim recunoscut – pe cale doctrinara si jurisprudențiala, deoarece nu avem o reglementare expresa in acest sens – ca nu au autoritate de lucru judecat soluțiile pronunțate in cursul urmăririi penale – ordonanțele si rezoluțiile procurorului, emise in baza art. 242-248 C. pr. pen. (încetarea urmăririi penale) si art. 249–249 </w:t>
      </w:r>
      <w:r>
        <w:rPr>
          <w:rFonts w:ascii="Times New Roman" w:hAnsi="Times New Roman" w:cs="Times New Roman"/>
          <w:sz w:val="24"/>
          <w:szCs w:val="24"/>
          <w:vertAlign w:val="superscript"/>
        </w:rPr>
        <w:t>1</w:t>
      </w:r>
      <w:r>
        <w:rPr>
          <w:rFonts w:ascii="Times New Roman" w:hAnsi="Times New Roman" w:cs="Times New Roman"/>
          <w:sz w:val="24"/>
          <w:szCs w:val="24"/>
        </w:rPr>
        <w:t xml:space="preserve"> C. pr. pen. (scoaterea de sub urmărire penala).</w:t>
      </w:r>
    </w:p>
    <w:p>
      <w:pPr>
        <w:pStyle w:val="Frspaiere"/>
        <w:spacing w:before="0" w:after="0"/>
        <w:ind w:right="0" w:firstLine="720"/>
        <w:contextualSpacing/>
        <w:jc w:val="both"/>
        <w:rPr/>
      </w:pPr>
      <w:r>
        <w:rPr>
          <w:rFonts w:ascii="Times New Roman" w:hAnsi="Times New Roman" w:cs="Times New Roman"/>
          <w:sz w:val="24"/>
          <w:szCs w:val="24"/>
        </w:rPr>
        <w:t xml:space="preserve">Potrivit art. 278 </w:t>
      </w:r>
      <w:r>
        <w:rPr>
          <w:rFonts w:ascii="Times New Roman" w:hAnsi="Times New Roman" w:cs="Times New Roman"/>
          <w:sz w:val="24"/>
          <w:szCs w:val="24"/>
          <w:vertAlign w:val="superscript"/>
        </w:rPr>
        <w:t xml:space="preserve">1 </w:t>
      </w:r>
      <w:r>
        <w:rPr>
          <w:rFonts w:ascii="Times New Roman" w:hAnsi="Times New Roman" w:cs="Times New Roman"/>
          <w:sz w:val="24"/>
          <w:szCs w:val="24"/>
        </w:rPr>
        <w:t>C. pr. pen. “După respingerea plângerii făcute conform art. 275-278 împotriva rezoluției de neîncepere a urmăririi penale sau a ordonanței ori, după caz, a rezoluției de clasare, de scoatere de sub urmărire penala sau de încetare a urmăririi penale, date de procuror, persoana vătămata, precum si orice alte persoane ale căror interese legitime sunt vătămate pot face plângere, in termen de 20 de zile de la data comunicării de către procuror a modului de rezolvare, potrivit art. 277 si 278, la judecătorul de la instanța căreia i-ar reveni, potrivit legii, competenta sa judece cauza in prima instanța.</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Acest tip de hotărâre ocupa un loc intermediar intre hotărârile date in cauze in care sesizarea se face in modul clasic, prin rechizitoriu, iar instanța se pronunța cu adevărat “pe fondul cauzei” si situația in care soluționarea raportului penal de conflict se face printr-un act al procurorului, dispunând-se încetarea ori scoaterea de sub urmărire penala.</w:t>
      </w:r>
    </w:p>
    <w:p>
      <w:pPr>
        <w:pStyle w:val="Frspaiere"/>
        <w:spacing w:before="0" w:after="0"/>
        <w:ind w:right="0" w:firstLine="720"/>
        <w:contextualSpacing/>
        <w:jc w:val="both"/>
        <w:rPr/>
      </w:pPr>
      <w:r>
        <w:rPr>
          <w:rFonts w:ascii="Times New Roman" w:hAnsi="Times New Roman" w:cs="Times New Roman"/>
          <w:sz w:val="24"/>
          <w:szCs w:val="24"/>
        </w:rPr>
        <w:t>Ordonanta penala  din ... a Parchetului de pe lângă Înalta Curte de Casație si Justiție-Direcția Națională Anticorupție Serviciul Teritorial ...-dosar penal nr.D5  nu se poate bucura de o autoritate de lucru judecat deplina, întrucât nu se circumscrie unei judecați pe fond, ea nefiind emisa de o instanța de judecata.</w:t>
      </w:r>
    </w:p>
    <w:p>
      <w:pPr>
        <w:pStyle w:val="Frspaiere"/>
        <w:spacing w:before="0" w:after="0"/>
        <w:ind w:right="0" w:firstLine="720"/>
        <w:contextualSpacing/>
        <w:jc w:val="both"/>
        <w:rPr/>
      </w:pPr>
      <w:r>
        <w:rPr>
          <w:rFonts w:ascii="Times New Roman" w:hAnsi="Times New Roman" w:cs="Times New Roman"/>
          <w:sz w:val="24"/>
          <w:szCs w:val="24"/>
        </w:rPr>
        <w:t>2. Cu privire la înscrisuri noi- sentinta civila nr.SC2 ... , pronunțată in dosarul civil nr. D6</w:t>
      </w:r>
      <w:bookmarkStart w:name="_Hlk120469994" w:id="6"/>
      <w:r>
        <w:rPr>
          <w:rFonts w:ascii="Times New Roman" w:hAnsi="Times New Roman" w:cs="Times New Roman"/>
          <w:sz w:val="24"/>
          <w:szCs w:val="24"/>
        </w:rPr>
        <w:t xml:space="preserve"> </w:t>
      </w:r>
      <w:r>
        <w:rPr>
          <w:rFonts w:ascii="Times New Roman" w:hAnsi="Times New Roman" w:eastAsia="Times New Roman" w:cs="Times New Roman"/>
          <w:sz w:val="24"/>
          <w:szCs w:val="24"/>
          <w:lang w:eastAsia="ro-RO"/>
        </w:rPr>
        <w:t>,  partea nu a dovedit ca acesta are aptitudinea sa conducă, prin ea însăşi, la anularea deciziei atacate, întrucât confirma o situație fundamental deosebita de aceea care a fost reținuta de instanța ca determinanta in darea soluției.</w:t>
      </w:r>
    </w:p>
    <w:p>
      <w:pPr>
        <w:pStyle w:val="Frspaiere"/>
        <w:spacing w:before="0" w:after="0"/>
        <w:ind w:right="0" w:firstLine="720"/>
        <w:contextualSpacing/>
        <w:jc w:val="both"/>
        <w:rPr/>
      </w:pPr>
      <w:r>
        <w:rPr>
          <w:rFonts w:ascii="Times New Roman" w:hAnsi="Times New Roman" w:eastAsia="Times New Roman" w:cs="Times New Roman"/>
          <w:sz w:val="24"/>
          <w:szCs w:val="24"/>
        </w:rPr>
        <w:t xml:space="preserve"> </w:t>
      </w:r>
      <w:r>
        <w:rPr>
          <w:rFonts w:ascii="Times New Roman" w:hAnsi="Times New Roman" w:cs="Times New Roman"/>
          <w:sz w:val="24"/>
          <w:szCs w:val="24"/>
        </w:rPr>
        <w:t>Încheierea din data de ...</w:t>
      </w:r>
      <w:bookmarkEnd w:id="6"/>
      <w:r>
        <w:rPr>
          <w:rFonts w:ascii="Times New Roman" w:hAnsi="Times New Roman" w:cs="Times New Roman"/>
          <w:sz w:val="24"/>
          <w:szCs w:val="24"/>
        </w:rPr>
        <w:t xml:space="preserve"> nu </w:t>
      </w:r>
      <w:r>
        <w:rPr>
          <w:rFonts w:ascii="Times New Roman" w:hAnsi="Times New Roman" w:eastAsia="Times New Roman" w:cs="Times New Roman"/>
          <w:sz w:val="24"/>
          <w:szCs w:val="24"/>
          <w:lang w:eastAsia="ro-RO"/>
        </w:rPr>
        <w:t xml:space="preserve">poate fi invocată ca act nou pentru revizuirea hotărârii , întrucât nu  </w:t>
      </w:r>
      <w:r>
        <w:rPr>
          <w:rFonts w:ascii="Times New Roman" w:hAnsi="Times New Roman" w:eastAsia="Times New Roman" w:cs="Times New Roman"/>
          <w:b/>
          <w:bCs/>
          <w:sz w:val="24"/>
          <w:szCs w:val="24"/>
          <w:u w:val="single"/>
          <w:lang w:eastAsia="ro-RO"/>
        </w:rPr>
        <w:t>a existat la data când s-a pronunțat hotărârea a cărei revizuire se cere</w:t>
      </w:r>
      <w:r>
        <w:rPr>
          <w:rFonts w:ascii="Times New Roman" w:hAnsi="Times New Roman" w:eastAsia="Times New Roman" w:cs="Times New Roman"/>
          <w:sz w:val="24"/>
          <w:szCs w:val="24"/>
          <w:lang w:eastAsia="ro-RO"/>
        </w:rPr>
        <w:t xml:space="preserve"> .</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CEDO a apreciat ca reprezintă defect fundamental, care justifica revizuirea unei hotărâri intrata în puterea lucrului judecat, numai "circumstanțele nou descoperite", iar nu "circumstanțele noi". Circumstanțele care au legătura cu cazul, existaseră în cursul procesului si nu fuseseră dezvăluite judecătorului, devenind cunoscute numai după terminarea procesului, sunt "nou descoperite", în timp ce circumstanțele care privesc cazul, dar au luat naștere după proces, sunt "noi".</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CURTEA, analizând apărările părţilor prin prisma dispozițiilor legale incidente constată că revizuirea, fiind o cale extraordinara de atac de retractare a unei hotărâri judecătorești definitive care se vădește a fi greșita in raport cu unele împrejurări de fapt survenite după pronunțarea acesteia, constituie un remediu procesual numai in cazurile strict determinate de lege.</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rPr>
        <w:t>Fiind o cale de retractare si nu de cenzura judiciara, revizuirea nu poate fi exercitata pentru alte motive decât cele prevăzute de lege, fiind inadmisibila repunerea in discuție a unor probleme de fond ce au fost soluționate printr-o decizie definitiva.</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Potrivit art.509 punct 5 din Noul Cod de procedura civila, revizuirea unei hotărâri pronunțate asupra fondului sau care evoca fondul poate fi ceruta daca, după darea hotărârii, s-au descoperit înscrisuri doveditoare, reținute de partea potrivnica sau care nu au putut fi înfățișate dintr-o împrejurare mai presus de voința parților.</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rPr>
        <w:t xml:space="preserve">Rezulta ca pentru a se putea invoca ipoteza prevăzută de aceasta dispoziție legala si a se admite cererea de revizuire, trebuie întrunite cumulativ următoarele condiții: partea interesata sa se bazeze pe un înscris nou, care nu a fost folosit in procesul in care s-a pronunțat hotărârea atacata; înscrisul invocat sa fi existat la data când a fost pronunțata hotărârea ce se cere a fi revizuita; înscrisul sa nu fi putut fi produs in procesul in care s-a pronunțat hotărârea atacata fie pentru ca a fost reținut de partea potrivnica, fie dintr-o împrejurare mai presus de voința parții; înscrisul invocat pentru revizuire sa fie determinant, in sensul ca daca ar fi fost cunoscut de instanța cu ocazia judecării pricinii soluția ar fi putut fi alta decât cea pronunțata. </w:t>
        <w:br/>
        <w:t>             Fiind vorba despre condiții cumulative de admisibilitate a revizuirii, neîndeplinirea chiar si numai a uneia dintre acestea are drept consecința respingerea cererii de revizuire.</w:t>
      </w:r>
    </w:p>
    <w:p>
      <w:pPr>
        <w:pStyle w:val="Frspaiere"/>
        <w:spacing w:before="0" w:after="0"/>
        <w:ind w:right="0" w:firstLine="720"/>
        <w:contextualSpacing/>
        <w:jc w:val="both"/>
        <w:rPr/>
      </w:pPr>
      <w:r>
        <w:rPr>
          <w:rFonts w:ascii="Times New Roman" w:hAnsi="Times New Roman" w:cs="Times New Roman"/>
          <w:sz w:val="24"/>
          <w:szCs w:val="24"/>
        </w:rPr>
        <w:t xml:space="preserve">In cauzele Mitrea contra României (nr. 26105/03/2008) si Stanca Popescu contra României (nr. 8727/03/2009), Curtea europeana statuează ca in lipsa unei circumstanțe substanțiale si imperative, de natura sa justifice redeschiderea procesului judecat irevocabil, admiterea unei contestații in anulare sau a unei revizuiri, </w:t>
      </w:r>
      <w:r>
        <w:rPr>
          <w:rFonts w:ascii="Times New Roman" w:hAnsi="Times New Roman" w:cs="Times New Roman"/>
          <w:i/>
          <w:sz w:val="24"/>
          <w:szCs w:val="24"/>
        </w:rPr>
        <w:t xml:space="preserve">constituie o încălcare a principiului securității raporturilor juridice si, prin aceasta, o încălcare a dreptului la un proces echitabil in sensul art. 6  din Convenția Europeana a Drepturilor Omului. </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Deci, contrar celor susținute de revizuent situația de fata nu se circumscrie normei legale invocate si este conforma jurisprudenței in materie. </w:t>
      </w:r>
    </w:p>
    <w:p>
      <w:pPr>
        <w:pStyle w:val="Frspaiere"/>
        <w:spacing w:before="0" w:after="0"/>
        <w:ind w:right="0"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Fata de cele ce preced, Curtea, in temeiul art.513 Cod de procedura civila vor respinge ca neîntemeiate cererile  de revizuire. </w:t>
      </w:r>
    </w:p>
    <w:p>
      <w:pPr>
        <w:pStyle w:val="Frspaiere"/>
        <w:ind w:right="0" w:firstLine="720"/>
        <w:jc w:val="both"/>
        <w:rPr>
          <w:rFonts w:ascii="Times New Roman" w:hAnsi="Times New Roman" w:cs="Times New Roman"/>
          <w:b/>
          <w:i/>
          <w:i/>
          <w:sz w:val="24"/>
          <w:szCs w:val="24"/>
        </w:rPr>
      </w:pPr>
      <w:r>
        <w:rPr>
          <w:rFonts w:ascii="Times New Roman" w:hAnsi="Times New Roman" w:cs="Times New Roman"/>
          <w:b/>
          <w:i/>
          <w:sz w:val="24"/>
          <w:szCs w:val="24"/>
        </w:rPr>
      </w:r>
    </w:p>
    <w:p>
      <w:pPr>
        <w:pStyle w:val="Normal"/>
        <w:jc w:val="center"/>
        <w:rPr/>
      </w:pPr>
      <w:r>
        <w:rPr/>
        <w:t>PENTRU ACESTE MOTIVE,</w:t>
        <w:br/>
        <w:t>ÎN NUMELE LEGII</w:t>
      </w:r>
    </w:p>
    <w:p>
      <w:pPr>
        <w:pStyle w:val="Normal"/>
        <w:jc w:val="center"/>
        <w:rPr/>
      </w:pPr>
      <w:r>
        <w:rPr/>
      </w:r>
      <w:r>
        <w:rPr/>
      </w:r>
      <w:r>
        <w:rPr/>
      </w:r>
      <w:r>
        <w:rPr/>
        <w:t>HOTĂRĂŞTE</w:t>
      </w:r>
      <w:r>
        <w:rPr/>
      </w:r>
      <w:r>
        <w:rPr/>
      </w:r>
    </w:p>
    <w:p>
      <w:pPr>
        <w:pStyle w:val="Normal"/>
        <w:rPr/>
      </w:pPr>
      <w:r>
        <w:rPr/>
      </w:r>
    </w:p>
    <w:p>
      <w:pPr>
        <w:pStyle w:val="Normal"/>
        <w:spacing w:before="0" w:after="0"/>
        <w:ind w:right="0" w:firstLine="709"/>
        <w:contextualSpacing/>
        <w:jc w:val="both"/>
        <w:rPr/>
      </w:pPr>
      <w:r>
        <w:rPr/>
        <w:t>Respinge cererile de revizuire formulate de contestatoarea Unitatea Administrativ Teritorială Comuna ... cu sediul în loc. ..., jud... împotriva sentinței civile nr. SC1, pronunțată de Curtea de Apel ...- Sectia .... în dosarul nr. D2 în contradictoriu cu intimatul MINISTERUL DEZVOLTĂRII REGIONALE,ADMINISTRAŢIEI PUBLICE ŞI FONDURILOR EUROPENE- ACTUAL MDLPA cu sediul în ....</w:t>
      </w:r>
    </w:p>
    <w:p>
      <w:pPr>
        <w:pStyle w:val="Normal"/>
        <w:spacing w:before="0" w:after="0"/>
        <w:ind w:right="0" w:firstLine="709"/>
        <w:contextualSpacing/>
        <w:jc w:val="both"/>
        <w:rPr/>
      </w:pPr>
      <w:r>
        <w:rPr/>
        <w:t>Cu drept de a exercita recurs în termen de 15 zile de la comunicare.</w:t>
      </w:r>
    </w:p>
    <w:p>
      <w:pPr>
        <w:pStyle w:val="Normal"/>
        <w:spacing w:before="0" w:after="0"/>
        <w:ind w:right="0" w:firstLine="709"/>
        <w:contextualSpacing/>
        <w:jc w:val="both"/>
        <w:rPr/>
      </w:pPr>
      <w:r>
        <w:rPr/>
        <w:t>Recursul se depune la sediul Curţii de Apel ...</w:t>
      </w:r>
    </w:p>
    <w:p>
      <w:pPr>
        <w:pStyle w:val="Normal"/>
        <w:ind w:right="0" w:firstLine="709"/>
        <w:jc w:val="both"/>
        <w:rPr/>
      </w:pPr>
      <w:r>
        <w:rPr/>
        <w:t>Pronunţată azi, ... prin punerea soluţiei la dispoziţia părţilor prin grefa Curţii.</w:t>
      </w:r>
    </w:p>
    <w:p>
      <w:pPr>
        <w:pStyle w:val="Normal"/>
        <w:ind w:right="0" w:firstLine="709"/>
        <w:jc w:val="both"/>
        <w:rPr/>
      </w:pPr>
      <w:r>
        <w:rPr/>
      </w:r>
    </w:p>
    <w:p>
      <w:pPr>
        <w:pStyle w:val="Normal"/>
        <w:rPr/>
      </w:pPr>
      <w:r>
        <w:rPr/>
      </w:r>
    </w:p>
    <w:p>
      <w:pPr>
        <w:pStyle w:val="Normal"/>
        <w:jc w:val="center"/>
        <w:rPr>
          <w:lang w:val="en-US" w:eastAsia="en-US"/>
        </w:rPr>
      </w:pPr>
      <w:r>
        <w:rPr>
          <w:lang w:val="en-US" w:eastAsia="en-US"/>
        </w:rPr>
      </w:r>
      <w:r>
        <w:rPr>
          <w:lang w:val="en-US" w:eastAsia="en-US"/>
        </w:rPr>
      </w:r>
      <w:r>
        <w:rPr>
          <w:lang w:val="en-US" w:eastAsia="en-US"/>
        </w:rPr>
      </w:r>
      <w:r>
        <w:t>  </w:t>
      </w:r>
      <w:r>
        <w:rPr>
          <w:lang w:val="en-US" w:eastAsia="en-US"/>
        </w:rPr>
      </w:r>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Preşedinte,</w:t>
            </w:r>
          </w:p>
          <w:p>
            <w:pPr>
              <w:pStyle w:val="Normal"/>
              <w:jc w:val="center"/>
              <w:rPr>
                <w:lang w:val="en-US" w:eastAsia="en-US"/>
              </w:rPr>
            </w:pPr>
            <w:r>
              <w:rPr>
                <w:lang w:val="en-US" w:eastAsia="en-US"/>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Grefier,</w:t>
            </w:r>
          </w:p>
          <w:p>
            <w:pPr>
              <w:pStyle w:val="Normal"/>
              <w:jc w:val="center"/>
              <w:rPr>
                <w:lang w:val="en-US" w:eastAsia="en-US"/>
              </w:rPr>
            </w:pPr>
            <w:r>
              <w:rPr>
                <w:lang w:val="en-US" w:eastAsia="en-US"/>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r>
    </w:tbl>
    <w:p>
      <w:pPr>
        <w:pStyle w:val="Normal"/>
        <w:jc w:val="center"/>
        <w:rPr/>
      </w:pPr>
      <w:r>
        <w:rPr>
          <w:lang w:val="en-US" w:eastAsia="en-US"/>
        </w:rPr>
        <w:t>   </w:t>
      </w:r>
      <w:r>
        <w:rPr/>
      </w: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rPr>
          <w:sz w:val="20"/>
          <w:szCs w:val="20"/>
        </w:rPr>
      </w:pPr>
      <w:r>
        <w:rPr>
          <w:sz w:val="20"/>
          <w:szCs w:val="20"/>
        </w:rPr>
        <w:t>Red. Jud. A0006/...</w:t>
      </w:r>
    </w:p>
    <w:p>
      <w:pPr>
        <w:pStyle w:val="Normal"/>
        <w:rPr>
          <w:sz w:val="20"/>
          <w:szCs w:val="20"/>
        </w:rPr>
      </w:pPr>
      <w:r>
        <w:rPr>
          <w:sz w:val="20"/>
          <w:szCs w:val="20"/>
        </w:rPr>
        <w:t>Tehnored .../4 ex</w:t>
      </w:r>
    </w:p>
    <w:sectPr>
      <w:footerReference w:type="default" r:id="rId2"/>
      <w:type w:val="nextPage"/>
      <w:pgSz w:w="11906" w:h="16838"/>
      <w:pgMar w:top="851" w:right="1417" w:bottom="776" w:left="1417"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23</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3"/>
      <w:numFmt w:val="decimal"/>
      <w:lvlText w:val="%1."/>
      <w:lvlJc w:val="left"/>
      <w:pPr>
        <w:tabs>
          <w:tab w:val="num" w:pos="0"/>
        </w:tabs>
        <w:ind w:left="1069" w:hanging="360"/>
      </w:pPr>
      <w:rPr/>
    </w:lvl>
  </w:abstractNum>
  <w:abstractNum w:abstractNumId="3">
    <w:lvl w:ilvl="0">
      <w:start w:val="1"/>
      <w:numFmt w:val="decimal"/>
      <w:lvlText w:val="%1."/>
      <w:lvlJc w:val="left"/>
      <w:pPr>
        <w:tabs>
          <w:tab w:val="num" w:pos="0"/>
        </w:tabs>
        <w:ind w:left="1069" w:hanging="36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compat>
    <w:doNotBreakWrappedTables/>
    <w:compatSetting w:name="compatibilityMode" w:uri="http://schemas.microsoft.com/office/word" w:val="12"/>
  </w:compat>
  <w:docVars>
    <w:docVar w:name="url" w:val="http://server3:80/ecris_cdms/document_upload.aspx?id_document=5400000001604231&amp;id_departament=5&amp;id_sesiune=2354447&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WW8Num2z0">
    <w:name w:val="WW8Num2z0"/>
    <w:qFormat/>
    <w:rPr/>
  </w:style>
  <w:style w:type="character" w:styleId="WW8Num3z0">
    <w:name w:val="WW8Num3z0"/>
    <w:qFormat/>
    <w:rPr/>
  </w:style>
  <w:style w:type="character" w:styleId="Fontdeparagrafimplicit">
    <w:name w:val="Font de paragraf implicit"/>
    <w:qFormat/>
    <w:rPr/>
  </w:style>
  <w:style w:type="character" w:styleId="AntetCaracter">
    <w:name w:val="Antet Caracter"/>
    <w:qFormat/>
    <w:rPr>
      <w:rFonts w:ascii="Calibri" w:hAnsi="Calibri" w:eastAsia="Calibri" w:cs="Calibri"/>
      <w:sz w:val="22"/>
      <w:szCs w:val="22"/>
    </w:rPr>
  </w:style>
  <w:style w:type="character" w:styleId="SubsolCaracter">
    <w:name w:val="Subsol Caracter"/>
    <w:qFormat/>
    <w:rPr>
      <w:rFonts w:ascii="Calibri" w:hAnsi="Calibri" w:eastAsia="Calibri" w:cs="Calibri"/>
      <w:sz w:val="22"/>
      <w:szCs w:val="22"/>
    </w:rPr>
  </w:style>
  <w:style w:type="character" w:styleId="Hyperlink">
    <w:name w:val="Hyperlink"/>
    <w:rPr>
      <w:color w:val="0000FF"/>
      <w:u w:val="single"/>
    </w:rPr>
  </w:style>
  <w:style w:type="character" w:styleId="Emphasis">
    <w:name w:val="Emphasis"/>
    <w:qFormat/>
    <w:rPr>
      <w:i/>
      <w:iCs/>
    </w:rPr>
  </w:style>
  <w:style w:type="character" w:styleId="rvts5">
    <w:name w:val="rvts5"/>
    <w:qFormat/>
    <w:rPr/>
  </w:style>
  <w:style w:type="character" w:styleId="rvts8">
    <w:name w:val="rvts8"/>
    <w:qFormat/>
    <w:rPr/>
  </w:style>
  <w:style w:type="character" w:styleId="rvts7">
    <w:name w:val="rvts7"/>
    <w:qFormat/>
    <w:rPr/>
  </w:style>
  <w:style w:type="character" w:styleId="rvts6">
    <w:name w:val="rvts6"/>
    <w:qFormat/>
    <w:rPr/>
  </w:style>
  <w:style w:type="character" w:styleId="rvts3">
    <w:name w:val="rvts3"/>
    <w:qFormat/>
    <w:rPr/>
  </w:style>
  <w:style w:type="character" w:styleId="rvts13">
    <w:name w:val="rvts13"/>
    <w:qFormat/>
    <w:rPr/>
  </w:style>
  <w:style w:type="character" w:styleId="rvts11">
    <w:name w:val="rvts11"/>
    <w:qFormat/>
    <w:rPr/>
  </w:style>
  <w:style w:type="character" w:styleId="rvts1">
    <w:name w:val="rvts1"/>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Frspaiere">
    <w:name w:val="Fără spațiere"/>
    <w:qFormat/>
    <w:pPr>
      <w:widowControl/>
      <w:kinsoku w:val="true"/>
      <w:overflowPunct w:val="true"/>
      <w:autoSpaceDE w:val="true"/>
      <w:bidi w:val="0"/>
    </w:pPr>
    <w:rPr>
      <w:rFonts w:ascii="Calibri" w:hAnsi="Calibri" w:eastAsia="Calibri" w:cs="Calibri"/>
      <w:color w:val="auto"/>
      <w:sz w:val="22"/>
      <w:szCs w:val="22"/>
      <w:lang w:val="ro-RO" w:bidi="ar-SA" w:eastAsia="zh-CN"/>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rFonts w:ascii="Calibri" w:hAnsi="Calibri" w:eastAsia="Calibri" w:cs="Times New Roman"/>
      <w:sz w:val="22"/>
      <w:szCs w:val="22"/>
    </w:rPr>
  </w:style>
  <w:style w:type="paragraph" w:styleId="Footer">
    <w:name w:val="Footer"/>
    <w:basedOn w:val="Normal"/>
    <w:pPr>
      <w:tabs>
        <w:tab w:val="clear" w:pos="709"/>
        <w:tab w:val="center" w:pos="4536" w:leader="none"/>
        <w:tab w:val="right" w:pos="9072" w:leader="none"/>
      </w:tabs>
    </w:pPr>
    <w:rPr>
      <w:rFonts w:ascii="Calibri" w:hAnsi="Calibri" w:eastAsia="Calibri" w:cs="Times New Roman"/>
      <w:sz w:val="22"/>
      <w:szCs w:val="22"/>
    </w:rPr>
  </w:style>
  <w:style w:type="paragraph" w:styleId="Listparagraf">
    <w:name w:val="Listă paragraf"/>
    <w:basedOn w:val="Normal"/>
    <w:qFormat/>
    <w:pPr>
      <w:spacing w:lineRule="auto" w:line="256" w:before="0" w:after="160"/>
      <w:ind w:hanging="0" w:left="720" w:right="0"/>
      <w:contextualSpacing/>
    </w:pPr>
    <w:rPr>
      <w:rFonts w:ascii="Calibri" w:hAnsi="Calibri" w:eastAsia="Calibri" w:cs="Times New Roman"/>
      <w:sz w:val="22"/>
      <w:szCs w:val="22"/>
    </w:rPr>
  </w:style>
  <w:style w:type="paragraph" w:styleId="al">
    <w:name w:val="a_l"/>
    <w:basedOn w:val="Normal"/>
    <w:qFormat/>
    <w:pPr>
      <w:spacing w:before="280" w:after="280"/>
    </w:pPr>
    <w:rPr/>
  </w:style>
  <w:style w:type="paragraph" w:styleId="rvps1">
    <w:name w:val="rvps1"/>
    <w:basedOn w:val="Normal"/>
    <w:qFormat/>
    <w:pPr>
      <w:spacing w:before="280" w:after="280"/>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184</ap:TotalTime>
  <ap:Application>LibreOffice/24.2.7.2$Linux_X86_64 LibreOffice_project/420$Build-2</ap:Application>
  <ap:AppVersion>15.0000</ap:AppVersion>
  <ap:Pages>23</ap:Pages>
  <ap:Words>13937</ap:Words>
  <ap:Characters>81320</ap:Characters>
  <ap:CharactersWithSpaces>95096</ap:CharactersWithSpaces>
  <ap:Paragraphs>258</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revision/>
  <dc:subject/>
  <dc:title/>
  <category/>
  <contentStatus/>
  <dc:identifier/>
  <version/>
</coreProperties>
</file>