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774BAA" w:rsidP="00774BAA">
      <w:pPr>
        <w:pStyle w:val="Heading3"/>
        <w:jc w:val="center"/>
        <w:rPr>
          <w:rFonts w:ascii="Times New Roman" w:hAnsi="Times New Roman"/>
          <w:sz w:val="24"/>
        </w:rPr>
      </w:pPr>
      <w:bookmarkStart w:name="_Hlk196822806" w:id="0"/>
      <w:r>
        <w:rPr>
          <w:rFonts w:ascii="Times New Roman" w:hAnsi="Times New Roman"/>
          <w:sz w:val="24"/>
        </w:rPr>
        <w:t>R O M Â N I A</w:t>
      </w:r>
    </w:p>
    <w:p w:rsidR="00774BAA" w:rsidP="00774BAA">
      <w:pPr>
        <w:jc w:val="center"/>
      </w:pPr>
      <w:r>
        <w:t xml:space="preserve">CURTEA DE APEL </w:t>
      </w:r>
      <w:r w:rsidR="002F1F85">
        <w:t xml:space="preserve">............ </w:t>
      </w:r>
    </w:p>
    <w:p w:rsidRPr="00A61B7A" w:rsidR="00774BAA" w:rsidP="00774BAA">
      <w:pPr>
        <w:jc w:val="center"/>
        <w:rPr>
          <w:szCs w:val="15"/>
          <w:lang w:val="pt-PT"/>
        </w:rPr>
      </w:pPr>
      <w:r>
        <w:t xml:space="preserve">SECŢIA </w:t>
      </w:r>
      <w:r w:rsidR="002F1F85">
        <w:t xml:space="preserve">............ </w:t>
      </w:r>
    </w:p>
    <w:p w:rsidR="00774BAA" w:rsidP="00774BAA">
      <w:pPr>
        <w:rPr>
          <w:sz w:val="20"/>
          <w:szCs w:val="20"/>
        </w:rPr>
      </w:pPr>
      <w:r>
        <w:rPr>
          <w:sz w:val="20"/>
          <w:szCs w:val="20"/>
        </w:rPr>
        <w:t xml:space="preserve">Prezentul document este supus reglementărilor aflate sub incidenţa Regulamentului U.E. 2016/679 Cod ECLI    </w:t>
      </w:r>
    </w:p>
    <w:p w:rsidR="00774BAA" w:rsidP="00774BAA">
      <w:pPr>
        <w:jc w:val="center"/>
        <w:rPr>
          <w:sz w:val="20"/>
          <w:szCs w:val="20"/>
        </w:rPr>
      </w:pPr>
      <w:r>
        <w:rPr>
          <w:sz w:val="20"/>
          <w:szCs w:val="20"/>
        </w:rPr>
        <w:t xml:space="preserve">Complet </w:t>
      </w:r>
      <w:r w:rsidR="002F1F85">
        <w:rPr>
          <w:sz w:val="20"/>
          <w:szCs w:val="20"/>
        </w:rPr>
        <w:t xml:space="preserve">............ </w:t>
      </w:r>
    </w:p>
    <w:p w:rsidR="00774BAA" w:rsidP="00774BAA">
      <w:pPr>
        <w:jc w:val="center"/>
        <w:rPr>
          <w:sz w:val="20"/>
          <w:szCs w:val="20"/>
        </w:rPr>
      </w:pPr>
    </w:p>
    <w:p w:rsidR="00774BAA" w:rsidP="00774BAA">
      <w:pPr>
        <w:jc w:val="center"/>
        <w:rPr>
          <w:sz w:val="20"/>
          <w:szCs w:val="20"/>
        </w:rPr>
      </w:pPr>
    </w:p>
    <w:p w:rsidRPr="00046F78" w:rsidR="00774BAA" w:rsidP="00774BAA">
      <w:r w:rsidRPr="00046F78">
        <w:t xml:space="preserve">Cod ECLI    </w:t>
      </w:r>
      <w:r>
        <w:t>ECLI:RO:</w:t>
      </w:r>
      <w:r w:rsidR="002F1F85">
        <w:t xml:space="preserve">............ </w:t>
      </w:r>
    </w:p>
    <w:p w:rsidRPr="00046F78" w:rsidR="00774BAA" w:rsidP="00774BAA">
      <w:r w:rsidRPr="00046F78">
        <w:t xml:space="preserve">Dosar nr. </w:t>
      </w:r>
      <w:r w:rsidR="002F1F85">
        <w:t>16</w:t>
      </w:r>
    </w:p>
    <w:p w:rsidRPr="00046F78" w:rsidR="00774BAA" w:rsidP="00774BAA"/>
    <w:p w:rsidR="00774BAA" w:rsidP="00774BAA">
      <w:pPr>
        <w:tabs>
          <w:tab w:val="left" w:pos="3119"/>
        </w:tabs>
        <w:jc w:val="center"/>
        <w:rPr>
          <w:b/>
        </w:rPr>
      </w:pPr>
      <w:r>
        <w:rPr>
          <w:b/>
        </w:rPr>
        <w:t>DECIZIA CIVILĂ Nr.</w:t>
      </w:r>
      <w:r w:rsidR="002F1F85">
        <w:rPr>
          <w:b/>
        </w:rPr>
        <w:t>16</w:t>
      </w:r>
    </w:p>
    <w:p w:rsidR="00774BAA" w:rsidP="00774BAA">
      <w:pPr>
        <w:jc w:val="center"/>
      </w:pPr>
      <w:r>
        <w:t xml:space="preserve">Şedinţa publică din data de </w:t>
      </w:r>
      <w:r w:rsidR="002F1F85">
        <w:t xml:space="preserve">................. </w:t>
      </w:r>
    </w:p>
    <w:p w:rsidR="00774BAA" w:rsidP="00774BAA">
      <w:pPr>
        <w:jc w:val="center"/>
      </w:pPr>
      <w:r>
        <w:t>Instanţa constituită din:</w:t>
      </w:r>
    </w:p>
    <w:p w:rsidR="00774BAA" w:rsidP="00774BAA">
      <w:pPr>
        <w:jc w:val="center"/>
        <w:rPr>
          <w:b/>
        </w:rPr>
      </w:pPr>
      <w:r>
        <w:rPr>
          <w:b/>
        </w:rPr>
        <w:t xml:space="preserve">PREŞEDINTE: </w:t>
      </w:r>
      <w:r w:rsidR="002F1F85">
        <w:rPr>
          <w:b/>
        </w:rPr>
        <w:t>A0019</w:t>
      </w:r>
    </w:p>
    <w:p w:rsidR="00774BAA" w:rsidP="00774BAA">
      <w:pPr>
        <w:jc w:val="center"/>
        <w:rPr>
          <w:b/>
        </w:rPr>
      </w:pPr>
      <w:r>
        <w:rPr>
          <w:b/>
        </w:rPr>
        <w:t xml:space="preserve">JUDECĂTOR: </w:t>
      </w:r>
      <w:r w:rsidR="002F1F85">
        <w:rPr>
          <w:b/>
        </w:rPr>
        <w:t xml:space="preserve">................. </w:t>
      </w:r>
    </w:p>
    <w:p w:rsidR="00774BAA" w:rsidP="00774BAA">
      <w:pPr>
        <w:jc w:val="center"/>
        <w:rPr>
          <w:b/>
        </w:rPr>
      </w:pPr>
      <w:r>
        <w:rPr>
          <w:b/>
        </w:rPr>
        <w:t xml:space="preserve">GREFIER: </w:t>
      </w:r>
      <w:r w:rsidR="002F1F85">
        <w:rPr>
          <w:b/>
        </w:rPr>
        <w:t xml:space="preserve">................. </w:t>
      </w:r>
    </w:p>
    <w:p w:rsidR="00774BAA" w:rsidP="00774BAA">
      <w:pPr>
        <w:jc w:val="center"/>
        <w:rPr>
          <w:b/>
        </w:rPr>
      </w:pPr>
    </w:p>
    <w:p w:rsidR="00774BAA" w:rsidP="00774BAA">
      <w:pPr>
        <w:ind w:firstLine="720"/>
        <w:jc w:val="both"/>
      </w:pPr>
      <w:r>
        <w:t xml:space="preserve">S-a luat în examinare apelul declarat de pârâta </w:t>
      </w:r>
      <w:r>
        <w:rPr>
          <w:b/>
        </w:rPr>
        <w:t xml:space="preserve">CASA JUDEŢEANĂ DE PENSII </w:t>
      </w:r>
      <w:r w:rsidR="002F1F85">
        <w:rPr>
          <w:b/>
        </w:rPr>
        <w:t xml:space="preserve">1 </w:t>
      </w:r>
      <w:r>
        <w:t xml:space="preserve">împotriva sentinţei </w:t>
      </w:r>
      <w:r>
        <w:t xml:space="preserve">civile nr. </w:t>
      </w:r>
      <w:r w:rsidR="002F1F85">
        <w:t xml:space="preserve">......... </w:t>
      </w:r>
      <w:r>
        <w:t xml:space="preserve">din </w:t>
      </w:r>
      <w:r w:rsidR="002F1F85">
        <w:t xml:space="preserve">......... </w:t>
      </w:r>
      <w:r>
        <w:t xml:space="preserve">, pronunţată de Tribunalul </w:t>
      </w:r>
      <w:r w:rsidR="002F1F85">
        <w:t xml:space="preserve">1 </w:t>
      </w:r>
      <w:r>
        <w:t xml:space="preserve">în dosarul nr. </w:t>
      </w:r>
      <w:r w:rsidR="002F1F85">
        <w:t>16</w:t>
      </w:r>
      <w:r>
        <w:t xml:space="preserve">, intimat fiind reclamantul </w:t>
      </w:r>
      <w:r w:rsidR="002F1F85">
        <w:rPr>
          <w:b/>
        </w:rPr>
        <w:t xml:space="preserve">2 </w:t>
      </w:r>
      <w:r>
        <w:rPr>
          <w:b/>
        </w:rPr>
        <w:t xml:space="preserve">, </w:t>
      </w:r>
      <w:r>
        <w:t>având ca obiect recalculare pensie.</w:t>
      </w:r>
    </w:p>
    <w:p w:rsidR="00774BAA" w:rsidP="00774BAA">
      <w:pPr>
        <w:ind w:firstLine="720"/>
        <w:jc w:val="both"/>
      </w:pPr>
      <w:r>
        <w:t>La apelul nominal făcut în şedinţă publică se constată lipsa părţilor de la dezbateri.</w:t>
      </w:r>
    </w:p>
    <w:p w:rsidR="00774BAA" w:rsidP="00774BAA">
      <w:pPr>
        <w:ind w:firstLine="720"/>
        <w:jc w:val="both"/>
      </w:pPr>
      <w:r>
        <w:t>Procedura de citare este legal îndeplinită.</w:t>
      </w:r>
    </w:p>
    <w:p w:rsidR="00774BAA" w:rsidP="00774BAA">
      <w:pPr>
        <w:ind w:firstLine="720"/>
        <w:jc w:val="both"/>
      </w:pPr>
      <w:r>
        <w:t xml:space="preserve">S-a făcut referatul cauzei de către grefierul de şedinţă care învederează că prezenta cauză se află la </w:t>
      </w:r>
      <w:r>
        <w:rPr>
          <w:b/>
        </w:rPr>
        <w:t>primul termen</w:t>
      </w:r>
      <w:r>
        <w:t xml:space="preserve"> de judecată, că s-a solicitat judecarea cauzei în lipsă şi că a fost parcursă procedura prevăzută de dispoziţiile a</w:t>
      </w:r>
      <w:r>
        <w:t xml:space="preserve">rt. </w:t>
      </w:r>
      <w:smartTag w:uri="urn:schemas-microsoft-com:office:smarttags" w:element="PersonName">
        <w:smartTagPr>
          <w:attr w:name="ProductID" w:val="4711 C"/>
        </w:smartTagPr>
        <w:r>
          <w:t>471</w:t>
        </w:r>
        <w:r>
          <w:rPr>
            <w:vertAlign w:val="superscript"/>
          </w:rPr>
          <w:t xml:space="preserve">1 </w:t>
        </w:r>
        <w:r>
          <w:t>C</w:t>
        </w:r>
      </w:smartTag>
      <w:r>
        <w:t>.pr.civ., apelul fiind declarat în termen legal,  comunicat intimatului şi scutit de plata taxei judiciare de timbru în conformitate cu dispoziţiile art. 28 şi art. 29 alin. 1 lit. l din O.U.G. nr. 80/2013.</w:t>
      </w:r>
    </w:p>
    <w:p w:rsidR="00774BAA" w:rsidP="00774BAA">
      <w:pPr>
        <w:ind w:firstLine="720"/>
        <w:jc w:val="both"/>
      </w:pPr>
      <w:r>
        <w:t>La data de 29 ianuarie 2025 reclamantul intimat a înregistrat la dosarul cauzei întâmpinare, comunicată apelantei o dată cu citaţia.</w:t>
      </w:r>
    </w:p>
    <w:p w:rsidR="00774BAA" w:rsidP="00774BAA">
      <w:pPr>
        <w:jc w:val="both"/>
      </w:pPr>
      <w:r>
        <w:tab/>
        <w:t>În conformitate cu dispoziţiile art. 238 Cod de procedură civilă, Curtea estimează că această cauză se va soluţiona la acest termen de judecată şi, având în vede</w:t>
      </w:r>
      <w:r>
        <w:t>re că nu sunt formulate cereri în probaţiune sau de altă natură, declară închisă faza de cercetare judecătorească a apelului şi reţine cauza în pronunţare în baza actelor de la dosar.</w:t>
      </w:r>
    </w:p>
    <w:p w:rsidR="00774BAA" w:rsidP="00774BAA">
      <w:pPr>
        <w:ind w:firstLine="708"/>
        <w:jc w:val="both"/>
      </w:pPr>
    </w:p>
    <w:p w:rsidR="00BB261C" w:rsidP="00BB261C">
      <w:pPr>
        <w:jc w:val="center"/>
        <w:rPr>
          <w:b/>
        </w:rPr>
      </w:pPr>
      <w:r>
        <w:rPr>
          <w:b/>
        </w:rPr>
        <w:t>C U R T E A</w:t>
      </w:r>
    </w:p>
    <w:p w:rsidRPr="001B2F1C" w:rsidR="00BB261C" w:rsidP="00BB261C">
      <w:pPr>
        <w:jc w:val="center"/>
        <w:rPr>
          <w:b/>
        </w:rPr>
      </w:pPr>
    </w:p>
    <w:p w:rsidRPr="00484C22" w:rsidR="00BB261C" w:rsidP="00BB261C">
      <w:pPr>
        <w:ind w:firstLine="708"/>
        <w:jc w:val="both"/>
        <w:rPr>
          <w:b/>
          <w:i/>
        </w:rPr>
      </w:pPr>
      <w:r w:rsidRPr="00484C22">
        <w:rPr>
          <w:b/>
          <w:i/>
        </w:rPr>
        <w:t xml:space="preserve">Deliberând asupra cererii formulate constată următoarele: </w:t>
      </w:r>
    </w:p>
    <w:p w:rsidRPr="000614FD" w:rsidR="00BB261C" w:rsidP="00BB261C">
      <w:pPr>
        <w:ind w:firstLine="708"/>
        <w:jc w:val="both"/>
        <w:rPr>
          <w:rFonts w:eastAsia="Calibri"/>
          <w:lang w:eastAsia="en-US"/>
        </w:rPr>
      </w:pPr>
      <w:r w:rsidRPr="000614FD">
        <w:rPr>
          <w:rFonts w:eastAsia="Calibri"/>
          <w:b/>
          <w:i/>
          <w:lang w:eastAsia="en-US"/>
        </w:rPr>
        <w:t xml:space="preserve">Prin acţiunea civilă formulată la data de 26 august 2024 reclamantul </w:t>
      </w:r>
      <w:r w:rsidR="002F1F85">
        <w:rPr>
          <w:rFonts w:eastAsia="Calibri"/>
          <w:b/>
          <w:i/>
          <w:lang w:eastAsia="en-US"/>
        </w:rPr>
        <w:t xml:space="preserve">2 </w:t>
      </w:r>
      <w:r w:rsidRPr="000614FD">
        <w:rPr>
          <w:rFonts w:eastAsia="Calibri"/>
          <w:b/>
          <w:i/>
          <w:lang w:eastAsia="en-US"/>
        </w:rPr>
        <w:t xml:space="preserve">a </w:t>
      </w:r>
      <w:r w:rsidRPr="000614FD">
        <w:rPr>
          <w:rFonts w:eastAsia="Calibri"/>
          <w:lang w:eastAsia="en-US"/>
        </w:rPr>
        <w:t xml:space="preserve">solicitat în contradictoriu cu pârâta Casa Judeţeană de Pensii </w:t>
      </w:r>
      <w:r w:rsidR="002F1F85">
        <w:rPr>
          <w:rFonts w:eastAsia="Calibri"/>
          <w:lang w:eastAsia="en-US"/>
        </w:rPr>
        <w:t xml:space="preserve">1 </w:t>
      </w:r>
      <w:r w:rsidRPr="000614FD">
        <w:rPr>
          <w:rFonts w:eastAsia="Calibri"/>
          <w:lang w:eastAsia="en-US"/>
        </w:rPr>
        <w:t xml:space="preserve">obligarea pârâtei la revizuirea pensiei pentru limită de vârstă stabilită prin decizia de pensionare nr. </w:t>
      </w:r>
      <w:r w:rsidR="002F1F85">
        <w:rPr>
          <w:rFonts w:eastAsia="Calibri"/>
          <w:lang w:eastAsia="en-US"/>
        </w:rPr>
        <w:t>3</w:t>
      </w:r>
      <w:r w:rsidRPr="000614FD">
        <w:rPr>
          <w:rFonts w:eastAsia="Calibri"/>
          <w:lang w:eastAsia="en-US"/>
        </w:rPr>
        <w:t>/04.07.1990</w:t>
      </w:r>
      <w:r w:rsidRPr="000614FD">
        <w:rPr>
          <w:rFonts w:eastAsia="Calibri"/>
          <w:lang w:eastAsia="en-US"/>
        </w:rPr>
        <w:t xml:space="preserve"> şi emiterea unei noi decizii de pensionare, prin care, la stabilirea punctajului mediu anual, să fie utilizat un stagiu complet de cotizare de 20 de ani; obligarea pârâtei la plata diferenţei drepturilor de pensie, actualizate cu indicele de inflaţie şi dobânda legală, pentru ultimii 3 ani anteriori introducerii cererii de chemare în judecată şi până la emiterea unei noi decizii, cu cheltuieli de judecată, reprezentând onorariu de avocat.</w:t>
      </w:r>
    </w:p>
    <w:p w:rsidR="00BB261C" w:rsidP="00BB261C">
      <w:pPr>
        <w:ind w:firstLine="708"/>
        <w:jc w:val="both"/>
      </w:pPr>
      <w:r w:rsidRPr="00F17C42">
        <w:rPr>
          <w:b/>
          <w:i/>
        </w:rPr>
        <w:t xml:space="preserve">Prin sentinţa civilă nr. </w:t>
      </w:r>
      <w:r w:rsidR="002F1F85">
        <w:rPr>
          <w:b/>
          <w:i/>
        </w:rPr>
        <w:t>.........</w:t>
      </w:r>
      <w:r w:rsidRPr="00F17C42">
        <w:rPr>
          <w:b/>
          <w:i/>
        </w:rPr>
        <w:t xml:space="preserve"> din </w:t>
      </w:r>
      <w:r w:rsidR="002F1F85">
        <w:rPr>
          <w:b/>
          <w:i/>
        </w:rPr>
        <w:t xml:space="preserve">......... </w:t>
      </w:r>
      <w:r w:rsidRPr="00F17C42">
        <w:rPr>
          <w:b/>
          <w:i/>
        </w:rPr>
        <w:t xml:space="preserve"> pronunţată de Trib</w:t>
      </w:r>
      <w:r w:rsidRPr="00F17C42">
        <w:rPr>
          <w:b/>
          <w:i/>
        </w:rPr>
        <w:t xml:space="preserve">unalul </w:t>
      </w:r>
      <w:r w:rsidR="00A61B7A">
        <w:rPr>
          <w:b/>
          <w:i/>
        </w:rPr>
        <w:t xml:space="preserve">............... </w:t>
      </w:r>
      <w:r w:rsidRPr="00F17C42">
        <w:t xml:space="preserve">, în dosarul nr. </w:t>
      </w:r>
      <w:r w:rsidR="002F1F85">
        <w:t>16</w:t>
      </w:r>
      <w:r w:rsidRPr="00117FCF">
        <w:rPr>
          <w:b/>
          <w:i/>
        </w:rPr>
        <w:t xml:space="preserve"> </w:t>
      </w:r>
      <w:r w:rsidRPr="000614FD">
        <w:t>au fost</w:t>
      </w:r>
      <w:r>
        <w:rPr>
          <w:b/>
          <w:i/>
        </w:rPr>
        <w:t xml:space="preserve"> </w:t>
      </w:r>
      <w:r>
        <w:t>respinse ca neîntemeiate excepţiile tardivităţii şi prescripţiei dreptului material la acţiune invocate de către pârâtă.</w:t>
      </w:r>
    </w:p>
    <w:p w:rsidR="00BB261C" w:rsidP="00BB261C">
      <w:pPr>
        <w:ind w:firstLine="708"/>
        <w:jc w:val="both"/>
      </w:pPr>
      <w:r>
        <w:t xml:space="preserve">A fost admisă acţiunea civilă formulată de către reclamantul </w:t>
      </w:r>
      <w:r w:rsidR="002F1F85">
        <w:t xml:space="preserve">2 </w:t>
      </w:r>
      <w:r>
        <w:t xml:space="preserve">în contradictoriu cu pârâta Casa Judeţeană de Pensii </w:t>
      </w:r>
      <w:r w:rsidR="002F1F85">
        <w:t xml:space="preserve">1 </w:t>
      </w:r>
      <w:r>
        <w:t>şi în consecinţă:</w:t>
      </w:r>
    </w:p>
    <w:p w:rsidR="00BB261C" w:rsidP="00BB261C">
      <w:pPr>
        <w:ind w:firstLine="708"/>
        <w:jc w:val="both"/>
      </w:pPr>
      <w:r>
        <w:t xml:space="preserve">A fost obligată pârâta să procedeze la revizuirea drepturilor de pensie stabilite iniţial prin decizia nr. </w:t>
      </w:r>
      <w:r w:rsidR="002F1F85">
        <w:t>3</w:t>
      </w:r>
      <w:r>
        <w:t xml:space="preserve">/20.12.1991, recalculate în baza OUG nr. 4/2005 prin decizia nr. </w:t>
      </w:r>
      <w:r w:rsidR="002F1F85">
        <w:t>3</w:t>
      </w:r>
      <w:r>
        <w:t>/30.06.2005 şi ulterior în baz</w:t>
      </w:r>
      <w:r>
        <w:t xml:space="preserve">a altor acte normative prin decizii emise, în sensul determinării drepturilor de pensie ale reclamantului prin luarea în considerare a stagiului de cotizare de 20 de ani; </w:t>
      </w:r>
    </w:p>
    <w:p w:rsidR="00BB261C" w:rsidP="00BB261C">
      <w:pPr>
        <w:ind w:firstLine="708"/>
        <w:jc w:val="both"/>
      </w:pPr>
      <w:r>
        <w:t>A fost obligată pârâta la plata în favoarea reclamantului a diferenţelor băneşti dintre pensia cuvenită şi cea efectivă plătită, începând cu data de 26 august 2021, act</w:t>
      </w:r>
      <w:r>
        <w:t>ualizate cu indicele preţurilor de consum la data plăţii efective;</w:t>
      </w:r>
    </w:p>
    <w:p w:rsidR="00BB261C" w:rsidP="00BB261C">
      <w:pPr>
        <w:ind w:firstLine="708"/>
        <w:jc w:val="both"/>
      </w:pPr>
      <w:r>
        <w:t xml:space="preserve">A fost obligată pârâta să plătească reclamantului dobânda legală penalizatoare calculată la diferenţa de </w:t>
      </w:r>
      <w:r>
        <w:t>pensie cuvenită în urma revizuirii, de la data scadenţei, 26 august 2021 şi până la data efectivă a plăţii.</w:t>
      </w:r>
    </w:p>
    <w:p w:rsidR="00BB261C" w:rsidP="00BB261C">
      <w:pPr>
        <w:ind w:firstLine="708"/>
        <w:jc w:val="both"/>
      </w:pPr>
      <w:r>
        <w:t>A fost obligată pârâta să plătească reclamantului suma de 1.500 lei cu titlu de cheltuieli de judecată reprezentând onorariu de avocat.</w:t>
      </w:r>
    </w:p>
    <w:p w:rsidRPr="00484C22" w:rsidR="00BB261C" w:rsidP="00BB261C">
      <w:pPr>
        <w:ind w:firstLine="708"/>
        <w:jc w:val="both"/>
        <w:rPr>
          <w:b/>
        </w:rPr>
      </w:pPr>
      <w:r w:rsidRPr="00484C22">
        <w:rPr>
          <w:b/>
          <w:i/>
        </w:rPr>
        <w:t>Pentru a hotărî astfel, prima instanţă a reţinut următoarele</w:t>
      </w:r>
      <w:r w:rsidRPr="00484C22">
        <w:rPr>
          <w:b/>
        </w:rPr>
        <w:t>:</w:t>
      </w:r>
    </w:p>
    <w:p w:rsidRPr="000614FD" w:rsidR="00BB261C" w:rsidP="00BB261C">
      <w:pPr>
        <w:ind w:firstLine="720"/>
        <w:jc w:val="both"/>
        <w:rPr>
          <w:color w:val="000000"/>
          <w:lang w:eastAsia="en-GB"/>
        </w:rPr>
      </w:pPr>
      <w:r w:rsidRPr="000614FD">
        <w:rPr>
          <w:color w:val="000000"/>
          <w:lang w:eastAsia="en-GB"/>
        </w:rPr>
        <w:t xml:space="preserve">Analizând actele dosarului tribunalul </w:t>
      </w:r>
      <w:r>
        <w:rPr>
          <w:color w:val="000000"/>
          <w:lang w:eastAsia="en-GB"/>
        </w:rPr>
        <w:t xml:space="preserve">a </w:t>
      </w:r>
      <w:r w:rsidRPr="000614FD">
        <w:rPr>
          <w:color w:val="000000"/>
          <w:lang w:eastAsia="en-GB"/>
        </w:rPr>
        <w:t>reţin</w:t>
      </w:r>
      <w:r>
        <w:rPr>
          <w:color w:val="000000"/>
          <w:lang w:eastAsia="en-GB"/>
        </w:rPr>
        <w:t>ut</w:t>
      </w:r>
      <w:r w:rsidRPr="000614FD">
        <w:rPr>
          <w:color w:val="000000"/>
          <w:lang w:eastAsia="en-GB"/>
        </w:rPr>
        <w:t xml:space="preserve"> faptul că reclamantul </w:t>
      </w:r>
      <w:r>
        <w:rPr>
          <w:color w:val="000000"/>
          <w:lang w:eastAsia="en-GB"/>
        </w:rPr>
        <w:t>a fost</w:t>
      </w:r>
      <w:r w:rsidRPr="000614FD">
        <w:rPr>
          <w:color w:val="000000"/>
          <w:lang w:eastAsia="en-GB"/>
        </w:rPr>
        <w:t xml:space="preserve"> pensionar pentru limită de vârstă, beneficiu recunoscut prin decizia nr. </w:t>
      </w:r>
      <w:r w:rsidR="002F1F85">
        <w:rPr>
          <w:color w:val="000000"/>
          <w:lang w:eastAsia="en-GB"/>
        </w:rPr>
        <w:t>3</w:t>
      </w:r>
      <w:r w:rsidRPr="000614FD">
        <w:rPr>
          <w:color w:val="000000"/>
          <w:lang w:eastAsia="en-GB"/>
        </w:rPr>
        <w:t>/04.07.1990 cu începere din data de 01.06.1990 (f. 47).</w:t>
      </w:r>
    </w:p>
    <w:p w:rsidRPr="000614FD" w:rsidR="00BB261C" w:rsidP="00BB261C">
      <w:pPr>
        <w:ind w:firstLine="720"/>
        <w:jc w:val="both"/>
        <w:rPr>
          <w:color w:val="000000"/>
          <w:lang w:eastAsia="en-GB"/>
        </w:rPr>
      </w:pPr>
      <w:r w:rsidRPr="000614FD">
        <w:rPr>
          <w:color w:val="000000"/>
          <w:lang w:eastAsia="en-GB"/>
        </w:rPr>
        <w:t xml:space="preserve">Aşa cum </w:t>
      </w:r>
      <w:r>
        <w:rPr>
          <w:color w:val="000000"/>
          <w:lang w:eastAsia="en-GB"/>
        </w:rPr>
        <w:t xml:space="preserve">a </w:t>
      </w:r>
      <w:r w:rsidRPr="000614FD">
        <w:rPr>
          <w:color w:val="000000"/>
          <w:lang w:eastAsia="en-GB"/>
        </w:rPr>
        <w:t>rezult</w:t>
      </w:r>
      <w:r>
        <w:rPr>
          <w:color w:val="000000"/>
          <w:lang w:eastAsia="en-GB"/>
        </w:rPr>
        <w:t>at</w:t>
      </w:r>
      <w:r w:rsidRPr="000614FD">
        <w:rPr>
          <w:color w:val="000000"/>
          <w:lang w:eastAsia="en-GB"/>
        </w:rPr>
        <w:t xml:space="preserve"> din cuprinsul deciziei de pensionare dreptul s-a stabilit în baza Legii nr. 3/1977, reţinându-se munca în grupa I timp de 21 de ani, 11 luni şi 24 de zile.</w:t>
      </w:r>
    </w:p>
    <w:p w:rsidRPr="000614FD" w:rsidR="00BB261C" w:rsidP="00BB261C">
      <w:pPr>
        <w:ind w:firstLine="720"/>
        <w:jc w:val="both"/>
        <w:rPr>
          <w:color w:val="000000"/>
          <w:lang w:eastAsia="en-GB"/>
        </w:rPr>
      </w:pPr>
      <w:r w:rsidRPr="000614FD">
        <w:rPr>
          <w:color w:val="000000"/>
          <w:lang w:eastAsia="en-GB"/>
        </w:rPr>
        <w:t xml:space="preserve">Ulterior, în baza adeverinţei nr. </w:t>
      </w:r>
      <w:r w:rsidR="002F1F85">
        <w:rPr>
          <w:color w:val="000000"/>
          <w:lang w:eastAsia="en-GB"/>
        </w:rPr>
        <w:t>4</w:t>
      </w:r>
      <w:r w:rsidRPr="000614FD">
        <w:rPr>
          <w:color w:val="000000"/>
          <w:lang w:eastAsia="en-GB"/>
        </w:rPr>
        <w:t>/1991 (f. 44), în temeiul aceleiaşi legi, cu începere din 1.06.1991, reclamantului i s-a s</w:t>
      </w:r>
      <w:r w:rsidRPr="000614FD">
        <w:rPr>
          <w:color w:val="000000"/>
          <w:lang w:eastAsia="en-GB"/>
        </w:rPr>
        <w:t xml:space="preserve">tabilit munca prestată în grupa I timp de 30 de ani, 5 luni şi 12 zile, nemaifigurând cu muncă prestată în grupa a II-a, potrivit deciziei nr. </w:t>
      </w:r>
      <w:r w:rsidR="002F1F85">
        <w:rPr>
          <w:color w:val="000000"/>
          <w:lang w:eastAsia="en-GB"/>
        </w:rPr>
        <w:t>3</w:t>
      </w:r>
      <w:r w:rsidRPr="000614FD">
        <w:rPr>
          <w:color w:val="000000"/>
          <w:lang w:eastAsia="en-GB"/>
        </w:rPr>
        <w:t>/20.12.1991 (f. 40, 41).</w:t>
      </w:r>
    </w:p>
    <w:p w:rsidRPr="000614FD" w:rsidR="00BB261C" w:rsidP="00BB261C">
      <w:pPr>
        <w:ind w:firstLine="720"/>
        <w:jc w:val="both"/>
        <w:rPr>
          <w:color w:val="000000"/>
          <w:lang w:eastAsia="en-GB"/>
        </w:rPr>
      </w:pPr>
      <w:r w:rsidRPr="000614FD">
        <w:rPr>
          <w:color w:val="000000"/>
          <w:lang w:eastAsia="en-GB"/>
        </w:rPr>
        <w:t>Pentru determinarea punctajului mediul anu</w:t>
      </w:r>
      <w:r w:rsidRPr="000614FD">
        <w:rPr>
          <w:color w:val="000000"/>
          <w:lang w:eastAsia="en-GB"/>
        </w:rPr>
        <w:t>al potrivit legii noi, Legea nr. 19/2000, a fost necesară utilizarea parametrului legal de stagiu complet de cotizare, noţiune fără echivalent în Legea nr. 3/1977, asimilată de art. 2 alin. (1) din HG nr. 1550/2004 cu vechimea integrală în muncă cerută de Legea nr. 3/1977, lege aplicabilă reclamantului în raport de data deschiderii dreptului său la pensie.</w:t>
      </w:r>
    </w:p>
    <w:p w:rsidRPr="000614FD" w:rsidR="00BB261C" w:rsidP="00BB261C">
      <w:pPr>
        <w:ind w:firstLine="720"/>
        <w:jc w:val="both"/>
        <w:rPr>
          <w:color w:val="000000"/>
          <w:lang w:eastAsia="en-GB"/>
        </w:rPr>
      </w:pPr>
      <w:r w:rsidRPr="000614FD">
        <w:rPr>
          <w:color w:val="000000"/>
          <w:lang w:eastAsia="en-GB"/>
        </w:rPr>
        <w:t>La data de 25.07.2024 reclamantul a solicitat revizuirea dreptului său de pensie, prin luarea în considerare a unui stagiu de cotizare de 20 de ani (f. 1</w:t>
      </w:r>
      <w:r w:rsidRPr="000614FD">
        <w:rPr>
          <w:color w:val="000000"/>
          <w:lang w:eastAsia="en-GB"/>
        </w:rPr>
        <w:t>2, 13).</w:t>
      </w:r>
    </w:p>
    <w:p w:rsidRPr="000614FD" w:rsidR="00BB261C" w:rsidP="00BB261C">
      <w:pPr>
        <w:ind w:firstLine="720"/>
        <w:jc w:val="both"/>
        <w:rPr>
          <w:color w:val="000000"/>
          <w:lang w:eastAsia="en-GB"/>
        </w:rPr>
      </w:pPr>
      <w:r w:rsidRPr="000614FD">
        <w:rPr>
          <w:color w:val="000000"/>
          <w:lang w:eastAsia="en-GB"/>
        </w:rPr>
        <w:t xml:space="preserve">Prin decizia nr. 11/2015 pronunţată de Înalta Curte de Casaţie şi Justiţie în cadrul unui recurs în interesul legii, obligatorie tuturor de la momentul publicării sale în Monitorul Oficial al României, 14 iulie 2015, s-a statuat că în interpretarea şi aplicarea unitară a dispoziţiilor art. 2 alin. (1), art. 4 alin. (1) din OUG nr. 4/2005 coroborate cu prevederile art. 2 alin. (1) şi (3) din anexa la Hotărârea Guvernului nr. 1.550/2004 stagiul complet de cotizare utilizat la determinarea punctajului </w:t>
      </w:r>
      <w:r w:rsidRPr="000614FD">
        <w:rPr>
          <w:color w:val="000000"/>
          <w:lang w:eastAsia="en-GB"/>
        </w:rPr>
        <w:t>mediu anual pentru persoanele ale căror drepturi de pensie s-au deschis în intervalul 1 iulie 1977 - 31 martie 2001 este de 20 de ani în cazul celor care au lucrat efectiv în grupa I de muncă, 25 de ani în cazul celor care au lucrat efectiv în grupa a II-a de muncă, conform art. 14 din Legea nr. 3/1977 şi de 30 de ani (în cazul bărbaţilor) şi 25 de ani (în cazul femeilor), pentru cei care au lucrat efectiv în grupa a III-a de muncă, potrivit art. 8 alin. (1) din Legea nr. 3/1977, cu modificările şi completă</w:t>
      </w:r>
      <w:r w:rsidRPr="000614FD">
        <w:rPr>
          <w:color w:val="000000"/>
          <w:lang w:eastAsia="en-GB"/>
        </w:rPr>
        <w:t>rile ulterioare.</w:t>
      </w:r>
    </w:p>
    <w:p w:rsidRPr="000614FD" w:rsidR="00BB261C" w:rsidP="00BB261C">
      <w:pPr>
        <w:ind w:firstLine="720"/>
        <w:jc w:val="both"/>
        <w:rPr>
          <w:color w:val="000000"/>
          <w:lang w:eastAsia="en-GB"/>
        </w:rPr>
      </w:pPr>
      <w:r w:rsidRPr="000614FD">
        <w:rPr>
          <w:color w:val="000000"/>
          <w:lang w:eastAsia="en-GB"/>
        </w:rPr>
        <w:t>Totodată, prin decizia nr. 17/2023 pronunţată de Înalta Curte de Casaţie şi Justiţie în cadrul unui recurs în interesul legii s-a statuat că prevederile art. 169</w:t>
      </w:r>
      <w:r w:rsidRPr="00C85D77">
        <w:rPr>
          <w:color w:val="000000"/>
          <w:vertAlign w:val="superscript"/>
          <w:lang w:eastAsia="en-GB"/>
        </w:rPr>
        <w:t>1</w:t>
      </w:r>
      <w:r w:rsidRPr="000614FD">
        <w:rPr>
          <w:color w:val="000000"/>
          <w:lang w:eastAsia="en-GB"/>
        </w:rPr>
        <w:t xml:space="preserve"> din Legea nr. 263/2010 nu înlătură şi nu împiedică revizuirea drepturilor de pensie cu aplicarea dispoziţiilor art. 2 alin. (1) şi art. 4 alin. (1) din O</w:t>
      </w:r>
      <w:r w:rsidRPr="000614FD">
        <w:rPr>
          <w:color w:val="000000"/>
          <w:lang w:eastAsia="en-GB"/>
        </w:rPr>
        <w:t>UG nr. 4/2005 coroborate cu dispoziţiile art. 2 alin. (1) şi (3) din anexa la HG nr. 1.550/2004, în interpretarea dată acestor texte prin decizia nr. 11 din 25 mai 2015, pronunţat</w:t>
      </w:r>
      <w:r w:rsidRPr="000614FD">
        <w:rPr>
          <w:color w:val="000000"/>
          <w:lang w:eastAsia="en-GB"/>
        </w:rPr>
        <w:t>ă de Înalta Curte de Casaţie şi Justiţie în cadrul unui recurs în interesul legii.</w:t>
      </w:r>
    </w:p>
    <w:p w:rsidRPr="000614FD" w:rsidR="00BB261C" w:rsidP="00BB261C">
      <w:pPr>
        <w:ind w:firstLine="720"/>
        <w:jc w:val="both"/>
        <w:rPr>
          <w:color w:val="000000"/>
          <w:lang w:eastAsia="en-GB"/>
        </w:rPr>
      </w:pPr>
      <w:r w:rsidRPr="000614FD">
        <w:rPr>
          <w:color w:val="000000"/>
          <w:lang w:eastAsia="en-GB"/>
        </w:rPr>
        <w:t>În analiza excepţiei tardivităţii invocată de către pârâtă, prin întâmpinare, tribunalul</w:t>
      </w:r>
      <w:r>
        <w:rPr>
          <w:color w:val="000000"/>
          <w:lang w:eastAsia="en-GB"/>
        </w:rPr>
        <w:t xml:space="preserve"> a</w:t>
      </w:r>
      <w:r w:rsidRPr="000614FD">
        <w:rPr>
          <w:color w:val="000000"/>
          <w:lang w:eastAsia="en-GB"/>
        </w:rPr>
        <w:t xml:space="preserve"> porn</w:t>
      </w:r>
      <w:r>
        <w:rPr>
          <w:color w:val="000000"/>
          <w:lang w:eastAsia="en-GB"/>
        </w:rPr>
        <w:t xml:space="preserve">it </w:t>
      </w:r>
      <w:r w:rsidRPr="000614FD">
        <w:rPr>
          <w:color w:val="000000"/>
          <w:lang w:eastAsia="en-GB"/>
        </w:rPr>
        <w:t>de la considerentele deciziilor nr. 11/2015 şi nr. 69/2018 ale Înaltei Curţi de Casaţie şi Justiţie, general obligatorii şi de la prevederile art. 7 d</w:t>
      </w:r>
      <w:r w:rsidRPr="000614FD">
        <w:rPr>
          <w:color w:val="000000"/>
          <w:lang w:eastAsia="en-GB"/>
        </w:rPr>
        <w:t xml:space="preserve">in OUG nr. 4/2005. </w:t>
      </w:r>
    </w:p>
    <w:p w:rsidRPr="000614FD" w:rsidR="00BB261C" w:rsidP="00BB261C">
      <w:pPr>
        <w:ind w:firstLine="720"/>
        <w:jc w:val="both"/>
        <w:rPr>
          <w:color w:val="000000"/>
          <w:lang w:eastAsia="en-GB"/>
        </w:rPr>
      </w:pPr>
      <w:r w:rsidRPr="000614FD">
        <w:rPr>
          <w:color w:val="000000"/>
          <w:lang w:eastAsia="en-GB"/>
        </w:rPr>
        <w:t xml:space="preserve">Astfel, art. 7 alin. (3) şi (4) din OUG nr. 4/2005 a reglementat posibilitatea modificării deciziei prin care s-a stabilit punctajul mediu anual determinat prin </w:t>
      </w:r>
      <w:r w:rsidRPr="000614FD">
        <w:rPr>
          <w:color w:val="000000"/>
          <w:lang w:eastAsia="en-GB"/>
        </w:rPr>
        <w:t>recalcularea prevăzută de OUG nr. 4/2005 şi implicit a modificării cuantumului pensiei cuvenite, la cerere.</w:t>
      </w:r>
    </w:p>
    <w:p w:rsidRPr="000614FD" w:rsidR="00BB261C" w:rsidP="00BB261C">
      <w:pPr>
        <w:ind w:firstLine="720"/>
        <w:jc w:val="both"/>
        <w:rPr>
          <w:color w:val="000000"/>
          <w:lang w:eastAsia="en-GB"/>
        </w:rPr>
      </w:pPr>
      <w:r w:rsidRPr="000614FD">
        <w:rPr>
          <w:color w:val="000000"/>
          <w:lang w:eastAsia="en-GB"/>
        </w:rPr>
        <w:t>Totodată, s-a recunoscut şi dreptul caselor de pensii de a proceda la revizuirea din oficiu a deciziei de recalculare, cu consecinţe asupra cuantumului pensiei cuvenite beneficiarului.</w:t>
      </w:r>
    </w:p>
    <w:p w:rsidRPr="000614FD" w:rsidR="00BB261C" w:rsidP="00BB261C">
      <w:pPr>
        <w:ind w:firstLine="720"/>
        <w:jc w:val="both"/>
        <w:rPr>
          <w:color w:val="000000"/>
          <w:lang w:eastAsia="en-GB"/>
        </w:rPr>
      </w:pPr>
      <w:r w:rsidRPr="000614FD">
        <w:rPr>
          <w:color w:val="000000"/>
          <w:lang w:eastAsia="en-GB"/>
        </w:rPr>
        <w:t>OUG nr. 4/2005 nu stabileşte un termen de decădere până la care beneficiarul ar putea depune cererea de revizuire, astfel că, în principiu, aceasta poate fi formulată oricând.</w:t>
      </w:r>
    </w:p>
    <w:p w:rsidRPr="000614FD" w:rsidR="00BB261C" w:rsidP="00BB261C">
      <w:pPr>
        <w:ind w:firstLine="720"/>
        <w:jc w:val="both"/>
        <w:rPr>
          <w:color w:val="000000"/>
          <w:lang w:eastAsia="en-GB"/>
        </w:rPr>
      </w:pPr>
      <w:r w:rsidRPr="000614FD">
        <w:rPr>
          <w:color w:val="000000"/>
          <w:lang w:eastAsia="en-GB"/>
        </w:rPr>
        <w:t>De asemenea, conform paragrafului 110 al de</w:t>
      </w:r>
      <w:r w:rsidRPr="000614FD">
        <w:rPr>
          <w:color w:val="000000"/>
          <w:lang w:eastAsia="en-GB"/>
        </w:rPr>
        <w:t>ciziei nr. 69/2018, sunt şi rămân aplicabile actele normative sub care s-a născut şi sub care s-a recalculat dreptul, prin aplicarea Legii nr. 263/2010.</w:t>
      </w:r>
    </w:p>
    <w:p w:rsidRPr="000614FD" w:rsidR="00BB261C" w:rsidP="00BB261C">
      <w:pPr>
        <w:ind w:firstLine="720"/>
        <w:jc w:val="both"/>
        <w:rPr>
          <w:color w:val="000000"/>
          <w:lang w:eastAsia="en-GB"/>
        </w:rPr>
      </w:pPr>
      <w:r w:rsidRPr="000614FD">
        <w:rPr>
          <w:color w:val="000000"/>
          <w:lang w:eastAsia="en-GB"/>
        </w:rPr>
        <w:t xml:space="preserve">Având în vedere aceste considerente obligatorii, faptul că cererea de revizuire nu </w:t>
      </w:r>
      <w:r>
        <w:rPr>
          <w:color w:val="000000"/>
          <w:lang w:eastAsia="en-GB"/>
        </w:rPr>
        <w:t>a fost</w:t>
      </w:r>
      <w:r w:rsidRPr="000614FD">
        <w:rPr>
          <w:color w:val="000000"/>
          <w:lang w:eastAsia="en-GB"/>
        </w:rPr>
        <w:t xml:space="preserve"> supusă vreunui termen, astf</w:t>
      </w:r>
      <w:r w:rsidRPr="000614FD">
        <w:rPr>
          <w:color w:val="000000"/>
          <w:lang w:eastAsia="en-GB"/>
        </w:rPr>
        <w:t>el că aceasta p</w:t>
      </w:r>
      <w:r>
        <w:rPr>
          <w:color w:val="000000"/>
          <w:lang w:eastAsia="en-GB"/>
        </w:rPr>
        <w:t>utea</w:t>
      </w:r>
      <w:r w:rsidRPr="000614FD">
        <w:rPr>
          <w:color w:val="000000"/>
          <w:lang w:eastAsia="en-GB"/>
        </w:rPr>
        <w:t xml:space="preserve"> fi formulată oricând, că după publicarea deciziei nr. 11/2015, obligatorie şi pentru pârâtă, aceasta putea proceda din oficiu la revizuire, tribunalul constat</w:t>
      </w:r>
      <w:r>
        <w:rPr>
          <w:color w:val="000000"/>
          <w:lang w:eastAsia="en-GB"/>
        </w:rPr>
        <w:t>ând</w:t>
      </w:r>
      <w:r w:rsidRPr="000614FD">
        <w:rPr>
          <w:color w:val="000000"/>
          <w:lang w:eastAsia="en-GB"/>
        </w:rPr>
        <w:t xml:space="preserve"> că excepţia tardivităţii nu </w:t>
      </w:r>
      <w:r>
        <w:rPr>
          <w:color w:val="000000"/>
          <w:lang w:eastAsia="en-GB"/>
        </w:rPr>
        <w:t>era</w:t>
      </w:r>
      <w:r w:rsidRPr="000614FD">
        <w:rPr>
          <w:color w:val="000000"/>
          <w:lang w:eastAsia="en-GB"/>
        </w:rPr>
        <w:t xml:space="preserve"> întemeiată.</w:t>
      </w:r>
    </w:p>
    <w:p w:rsidRPr="000614FD" w:rsidR="00BB261C" w:rsidP="00BB261C">
      <w:pPr>
        <w:ind w:firstLine="720"/>
        <w:jc w:val="both"/>
        <w:rPr>
          <w:color w:val="000000"/>
          <w:lang w:eastAsia="en-GB"/>
        </w:rPr>
      </w:pPr>
      <w:r w:rsidRPr="000614FD">
        <w:rPr>
          <w:color w:val="000000"/>
          <w:lang w:eastAsia="en-GB"/>
        </w:rPr>
        <w:t>Prescripţia drep</w:t>
      </w:r>
      <w:r w:rsidRPr="000614FD">
        <w:rPr>
          <w:color w:val="000000"/>
          <w:lang w:eastAsia="en-GB"/>
        </w:rPr>
        <w:t>tului material la acţiune nu p</w:t>
      </w:r>
      <w:r>
        <w:rPr>
          <w:color w:val="000000"/>
          <w:lang w:eastAsia="en-GB"/>
        </w:rPr>
        <w:t>utea</w:t>
      </w:r>
      <w:r w:rsidRPr="000614FD">
        <w:rPr>
          <w:color w:val="000000"/>
          <w:lang w:eastAsia="en-GB"/>
        </w:rPr>
        <w:t xml:space="preserve"> opera cât timp dreptul s-a solicitat numai pentru intervalul de 3 ani pentru care nu a operat prescripţia (3 ani anteriori formulării cererii de chemare în judecată).</w:t>
      </w:r>
    </w:p>
    <w:p w:rsidRPr="000614FD" w:rsidR="00BB261C" w:rsidP="00BB261C">
      <w:pPr>
        <w:ind w:firstLine="720"/>
        <w:jc w:val="both"/>
        <w:rPr>
          <w:color w:val="000000"/>
          <w:lang w:eastAsia="en-GB"/>
        </w:rPr>
      </w:pPr>
      <w:r w:rsidRPr="000614FD">
        <w:rPr>
          <w:color w:val="000000"/>
          <w:lang w:eastAsia="en-GB"/>
        </w:rPr>
        <w:t xml:space="preserve">Pe fondul dreptului dedus judecăţii tribunalul </w:t>
      </w:r>
      <w:r>
        <w:rPr>
          <w:color w:val="000000"/>
          <w:lang w:eastAsia="en-GB"/>
        </w:rPr>
        <w:t xml:space="preserve">a </w:t>
      </w:r>
      <w:r w:rsidRPr="000614FD">
        <w:rPr>
          <w:color w:val="000000"/>
          <w:lang w:eastAsia="en-GB"/>
        </w:rPr>
        <w:t>reţin</w:t>
      </w:r>
      <w:r>
        <w:rPr>
          <w:color w:val="000000"/>
          <w:lang w:eastAsia="en-GB"/>
        </w:rPr>
        <w:t>ut</w:t>
      </w:r>
      <w:r w:rsidRPr="000614FD">
        <w:rPr>
          <w:color w:val="000000"/>
          <w:lang w:eastAsia="en-GB"/>
        </w:rPr>
        <w:t xml:space="preserve"> că prin decizia nr. 11/2015 pronunţată în interesul legii s-a statuat că stagiul complet de cotizare utilizat la determinarea punctajului mediu anual pentru persoanele ale căror drepturi de pensie s-au deschis în intervalul 1 iulie 1977 - 31 martie 2001 este de 20 de ani în cazul celor care au lucrat efectiv în grupa I de muncă.</w:t>
      </w:r>
    </w:p>
    <w:p w:rsidRPr="000614FD" w:rsidR="005A6A9B" w:rsidP="005A6A9B">
      <w:pPr>
        <w:ind w:firstLine="720"/>
        <w:jc w:val="both"/>
        <w:rPr>
          <w:color w:val="000000"/>
          <w:lang w:eastAsia="en-GB"/>
        </w:rPr>
      </w:pPr>
      <w:r w:rsidRPr="000614FD" w:rsidR="00BB261C">
        <w:rPr>
          <w:color w:val="000000"/>
          <w:lang w:eastAsia="en-GB"/>
        </w:rPr>
        <w:t xml:space="preserve">În aceste condiţii pretenţia reclamantului care prin demersul său </w:t>
      </w:r>
      <w:r w:rsidR="00BB261C">
        <w:rPr>
          <w:color w:val="000000"/>
          <w:lang w:eastAsia="en-GB"/>
        </w:rPr>
        <w:t xml:space="preserve">a </w:t>
      </w:r>
      <w:r w:rsidRPr="000614FD" w:rsidR="00BB261C">
        <w:rPr>
          <w:color w:val="000000"/>
          <w:lang w:eastAsia="en-GB"/>
        </w:rPr>
        <w:t>urmăr</w:t>
      </w:r>
      <w:r w:rsidR="00BB261C">
        <w:rPr>
          <w:color w:val="000000"/>
          <w:lang w:eastAsia="en-GB"/>
        </w:rPr>
        <w:t>it</w:t>
      </w:r>
      <w:r w:rsidRPr="000614FD" w:rsidR="00BB261C">
        <w:rPr>
          <w:color w:val="000000"/>
          <w:lang w:eastAsia="en-GB"/>
        </w:rPr>
        <w:t xml:space="preserve"> în final, aşa cum </w:t>
      </w:r>
      <w:r w:rsidR="00BB261C">
        <w:rPr>
          <w:color w:val="000000"/>
          <w:lang w:eastAsia="en-GB"/>
        </w:rPr>
        <w:t xml:space="preserve">a </w:t>
      </w:r>
      <w:r w:rsidRPr="000614FD" w:rsidR="00BB261C">
        <w:rPr>
          <w:color w:val="000000"/>
          <w:lang w:eastAsia="en-GB"/>
        </w:rPr>
        <w:t>rezult</w:t>
      </w:r>
      <w:r w:rsidR="00BB261C">
        <w:rPr>
          <w:color w:val="000000"/>
          <w:lang w:eastAsia="en-GB"/>
        </w:rPr>
        <w:t>at</w:t>
      </w:r>
      <w:r w:rsidRPr="000614FD" w:rsidR="00BB261C">
        <w:rPr>
          <w:color w:val="000000"/>
          <w:lang w:eastAsia="en-GB"/>
        </w:rPr>
        <w:t xml:space="preserve"> din motivarea în fapt a cererii sale, modificarea cuantumului pensiei pri</w:t>
      </w:r>
      <w:r w:rsidRPr="000614FD" w:rsidR="00BB261C">
        <w:rPr>
          <w:color w:val="000000"/>
          <w:lang w:eastAsia="en-GB"/>
        </w:rPr>
        <w:t xml:space="preserve">n luarea în considerare a stagiului de cotizare de 20 de ani, </w:t>
      </w:r>
      <w:r w:rsidR="00BB261C">
        <w:rPr>
          <w:color w:val="000000"/>
          <w:lang w:eastAsia="en-GB"/>
        </w:rPr>
        <w:t>a fost apreciată</w:t>
      </w:r>
      <w:r w:rsidRPr="000614FD" w:rsidR="00BB261C">
        <w:rPr>
          <w:color w:val="000000"/>
          <w:lang w:eastAsia="en-GB"/>
        </w:rPr>
        <w:t xml:space="preserve"> întemeiată</w:t>
      </w:r>
      <w:r>
        <w:rPr>
          <w:color w:val="000000"/>
          <w:lang w:eastAsia="en-GB"/>
        </w:rPr>
        <w:t>, în acest sens fiind D</w:t>
      </w:r>
      <w:r w:rsidRPr="000614FD">
        <w:rPr>
          <w:color w:val="000000"/>
          <w:lang w:eastAsia="en-GB"/>
        </w:rPr>
        <w:t>ecizi</w:t>
      </w:r>
      <w:r>
        <w:rPr>
          <w:color w:val="000000"/>
          <w:lang w:eastAsia="en-GB"/>
        </w:rPr>
        <w:t>a</w:t>
      </w:r>
      <w:r w:rsidRPr="000614FD" w:rsidR="00BB261C">
        <w:rPr>
          <w:color w:val="000000"/>
          <w:lang w:eastAsia="en-GB"/>
        </w:rPr>
        <w:t xml:space="preserve"> nr. 11/2015 pronunţat</w:t>
      </w:r>
      <w:r>
        <w:rPr>
          <w:color w:val="000000"/>
          <w:lang w:eastAsia="en-GB"/>
        </w:rPr>
        <w:t>ă</w:t>
      </w:r>
      <w:r w:rsidRPr="000614FD" w:rsidR="00BB261C">
        <w:rPr>
          <w:color w:val="000000"/>
          <w:lang w:eastAsia="en-GB"/>
        </w:rPr>
        <w:t xml:space="preserve"> în interesul legii</w:t>
      </w:r>
      <w:r>
        <w:rPr>
          <w:color w:val="000000"/>
          <w:lang w:eastAsia="en-GB"/>
        </w:rPr>
        <w:t xml:space="preserve">. </w:t>
      </w:r>
    </w:p>
    <w:p w:rsidRPr="000614FD" w:rsidR="00BB261C" w:rsidP="005A6A9B">
      <w:pPr>
        <w:ind w:firstLine="708"/>
        <w:jc w:val="both"/>
        <w:rPr>
          <w:color w:val="000000"/>
          <w:lang w:eastAsia="en-GB"/>
        </w:rPr>
      </w:pPr>
      <w:r w:rsidR="005A6A9B">
        <w:rPr>
          <w:color w:val="000000"/>
          <w:lang w:eastAsia="en-GB"/>
        </w:rPr>
        <w:t xml:space="preserve">Tribunalul a mai reţinut că, prin </w:t>
      </w:r>
      <w:r w:rsidRPr="000614FD">
        <w:rPr>
          <w:color w:val="000000"/>
          <w:lang w:eastAsia="en-GB"/>
        </w:rPr>
        <w:t>nesoluţionarea favorabilă a cererii reclamantului aceasta a suferit un prejudiciu, fiind lipsit de dreptul său de a pr</w:t>
      </w:r>
      <w:r w:rsidRPr="000614FD">
        <w:rPr>
          <w:color w:val="000000"/>
          <w:lang w:eastAsia="en-GB"/>
        </w:rPr>
        <w:t xml:space="preserve">imi o diferenţă de pensie rezultată în urma revizuirii drepturilor de pensie prin luarea în considerare a stagiului de cotizare de 20 de ani.  </w:t>
      </w:r>
    </w:p>
    <w:p w:rsidRPr="000614FD" w:rsidR="00BB261C" w:rsidP="00BB261C">
      <w:pPr>
        <w:ind w:firstLine="720"/>
        <w:jc w:val="both"/>
        <w:rPr>
          <w:color w:val="000000"/>
          <w:lang w:eastAsia="en-GB"/>
        </w:rPr>
      </w:pPr>
      <w:r w:rsidRPr="000614FD">
        <w:rPr>
          <w:color w:val="000000"/>
          <w:lang w:eastAsia="en-GB"/>
        </w:rPr>
        <w:t>Principiul reparării integrale a prejudiciului suferi</w:t>
      </w:r>
      <w:r w:rsidRPr="000614FD">
        <w:rPr>
          <w:color w:val="000000"/>
          <w:lang w:eastAsia="en-GB"/>
        </w:rPr>
        <w:t>t de creditor, ca efect al neplăţii la termen, impune</w:t>
      </w:r>
      <w:r>
        <w:rPr>
          <w:color w:val="000000"/>
          <w:lang w:eastAsia="en-GB"/>
        </w:rPr>
        <w:t>a</w:t>
      </w:r>
      <w:r w:rsidRPr="000614FD">
        <w:rPr>
          <w:color w:val="000000"/>
          <w:lang w:eastAsia="en-GB"/>
        </w:rPr>
        <w:t xml:space="preserve"> acordarea beneficiului de care a fost lipsit (lucrum cessans), respectiv daune-interese moratorii, sub forma dobânzii legale penalizatoare. </w:t>
      </w:r>
    </w:p>
    <w:p w:rsidRPr="005A6A9B" w:rsidR="005A6A9B" w:rsidP="00A61B7A">
      <w:pPr>
        <w:ind w:firstLine="708"/>
        <w:jc w:val="both"/>
        <w:rPr>
          <w:i/>
        </w:rPr>
      </w:pPr>
      <w:r w:rsidRPr="005A6A9B">
        <w:rPr>
          <w:i/>
        </w:rPr>
        <w:t xml:space="preserve">Împotriva acestei hotărâri a declarat apel pârâta Casa Județeană de Pensii </w:t>
      </w:r>
      <w:r w:rsidR="00A61B7A">
        <w:rPr>
          <w:i/>
        </w:rPr>
        <w:t xml:space="preserve">1 </w:t>
      </w:r>
      <w:r w:rsidRPr="005A6A9B">
        <w:rPr>
          <w:i/>
        </w:rPr>
        <w:t>, solicitând modificarea sentinței atacate în sensul respingerii acțiunii.</w:t>
      </w:r>
    </w:p>
    <w:p w:rsidRPr="005A6A9B" w:rsidR="005A6A9B" w:rsidP="005A6A9B">
      <w:pPr>
        <w:jc w:val="both"/>
      </w:pPr>
      <w:r w:rsidRPr="005A6A9B">
        <w:rPr>
          <w:i/>
        </w:rPr>
        <w:tab/>
      </w:r>
      <w:r w:rsidRPr="005A6A9B">
        <w:t>În motivarea cererii de apel arată că dreptul la pensia de asigurări sociale de stat s-a stabilit pentru intimat în raport de condițiile prevăzute de actul normati</w:t>
      </w:r>
      <w:r w:rsidRPr="005A6A9B">
        <w:t xml:space="preserve">v în vigoare la data deschiderii dreptului la pensie, în procesul de evaluare și recalculare a pensiei intimatului fiind respectate dispozițiile legale incidente. </w:t>
      </w:r>
    </w:p>
    <w:p w:rsidRPr="005A6A9B" w:rsidR="005A6A9B" w:rsidP="005A6A9B">
      <w:pPr>
        <w:jc w:val="both"/>
      </w:pPr>
      <w:r w:rsidRPr="005A6A9B">
        <w:tab/>
        <w:t>Or, instanța nu a ținut seama de faptul că speța reclamă definitivarea tuturor deciziilor emise în dreptul de pensie al intimatului, implicit a deciziei prin care s-a stabilit punctaj</w:t>
      </w:r>
      <w:r w:rsidRPr="005A6A9B">
        <w:t>ul mediu anual calculat prin utilizarea unui stagiu complet de cotizare de 30 de ani, în temeiul prevederilor O.U.G. nr..4/2005 și H.G. nr.1550/2004.</w:t>
      </w:r>
    </w:p>
    <w:p w:rsidRPr="005A6A9B" w:rsidR="005A6A9B" w:rsidP="005A6A9B">
      <w:pPr>
        <w:jc w:val="both"/>
      </w:pPr>
      <w:r w:rsidRPr="005A6A9B">
        <w:tab/>
        <w:t>Ulterior, pri</w:t>
      </w:r>
      <w:r w:rsidRPr="005A6A9B">
        <w:t>n deciziile de recalculare a pensiei prin acordarea unor punctaje suplimentare aferent activității desfășurate în grupe de muncă, împărțirea s-a făcut tot la stagiul complet de cotizare de 30 de ani, fără a se putea deroga de la dispozițiile legale incidente.</w:t>
      </w:r>
    </w:p>
    <w:p w:rsidRPr="005A6A9B" w:rsidR="005A6A9B" w:rsidP="005A6A9B">
      <w:pPr>
        <w:jc w:val="both"/>
      </w:pPr>
      <w:r w:rsidRPr="005A6A9B">
        <w:tab/>
        <w:t xml:space="preserve">De altfel, edificatoare, în cazul dat, sunt punctajele rămase prin care acesta s-a modificat succesiv. </w:t>
        <w:tab/>
      </w:r>
    </w:p>
    <w:p w:rsidRPr="005A6A9B" w:rsidR="005A6A9B" w:rsidP="005A6A9B">
      <w:pPr>
        <w:jc w:val="both"/>
      </w:pPr>
      <w:r w:rsidRPr="005A6A9B">
        <w:tab/>
        <w:t>Instanța nu a ținut cont nici de faptul că prin întâmpinare s-a invocat beneficiul majorării punctajului în temeiul O.U.G. nr. 100/2008 și art. 1</w:t>
      </w:r>
      <w:r w:rsidRPr="005A6A9B">
        <w:t>69 din Legea nr. 263/2010, intimatului neputându-i-se acorda o dublă prestație de asigurări sociale, respectiv atât prin utilizarea unui stagiu complet de cotizare de 20 de ani, cât și un punctaj suplimentar pentru grupa I de muncă, întrucât ar contraveni principiilor fundamentale ale asigurărilor sociale.</w:t>
      </w:r>
    </w:p>
    <w:p w:rsidRPr="005A6A9B" w:rsidR="005A6A9B" w:rsidP="005A6A9B">
      <w:pPr>
        <w:jc w:val="both"/>
      </w:pPr>
      <w:r w:rsidRPr="005A6A9B">
        <w:tab/>
        <w:t>Învederează că în cuantumul actual al pensiei, respectiv în punctajul mediu anual de care beneficiază intimatul, se regăsesc și cele două majorări pentru grupa acordate la intervale diferite de timp.</w:t>
      </w:r>
    </w:p>
    <w:p w:rsidRPr="005A6A9B" w:rsidR="005A6A9B" w:rsidP="005A6A9B">
      <w:pPr>
        <w:jc w:val="both"/>
      </w:pPr>
      <w:r w:rsidRPr="005A6A9B">
        <w:tab/>
        <w:t>Or</w:t>
      </w:r>
      <w:r w:rsidRPr="005A6A9B">
        <w:t>, respectând hotărârea primei instanțe ar presupune fie înlăturarea celor două majorări deja acordate, respectiv desființarea unor drepturi câștigate, fie păstrarea lor însă cu încălcarea dispozițiilor mai sus invocate, contravenind astfel atât principiilor fundamentale ale asigurărilor sociale, cât și conceptului unor drepturi deja dobândite.</w:t>
      </w:r>
    </w:p>
    <w:p w:rsidRPr="005A6A9B" w:rsidR="005A6A9B" w:rsidP="005A6A9B">
      <w:pPr>
        <w:jc w:val="both"/>
      </w:pPr>
      <w:r w:rsidRPr="005A6A9B">
        <w:tab/>
        <w:t>La fel, apreciază că în mod eronat s-a realizat și respingerea excepțiilor, deoarece cadrul litigiului vizează înlăturarea efectelor unor decizii definitive și înloc</w:t>
      </w:r>
      <w:r w:rsidRPr="005A6A9B">
        <w:t>uirea lor, revizuirea însemnând practic anularea efectelor acestor acte definitive, ce nu au fost contestate, ele producându-și legal efectele, întrucât beneficiarul dreptului nu a uzat de reglementările legale existente la acea dată în privința contestării actelor.</w:t>
      </w:r>
    </w:p>
    <w:p w:rsidRPr="005A6A9B" w:rsidR="005A6A9B" w:rsidP="005A6A9B">
      <w:pPr>
        <w:jc w:val="both"/>
      </w:pPr>
      <w:r w:rsidRPr="005A6A9B">
        <w:tab/>
        <w:t>Cât privește obligarea apelantei la plata dobânzii legale penalizatoare, în considerarea prevederilor Ordonanței Guvernului nr. 13/2011 privind dobânda remuneratorie și dobânda penalizatoare, apreciază că în speță nu se impunea actualizarea dif</w:t>
      </w:r>
      <w:r w:rsidRPr="005A6A9B">
        <w:t>erențelor de pensie, motivat de faptul că nu se poate reține culpa instituției apelante în raport de aplicarea legii. Legea a fost aplicată în calculul punctajului în litera și spiritul ei, potrivit termenilor legali existenți la momentul generării actelor prin care s-a stabilit punctajul, modificările ulterioare neputând conduce la reținerea vreunei culpe sau prejudiciu, pentru a se putea aprecia ca fiind justă o astfel de obligație de plată.</w:t>
      </w:r>
      <w:r w:rsidRPr="005A6A9B">
        <w:rPr>
          <w:highlight w:val="yellow"/>
        </w:rPr>
        <w:t xml:space="preserve"> </w:t>
      </w:r>
    </w:p>
    <w:p w:rsidRPr="005A6A9B" w:rsidR="005A6A9B" w:rsidP="005A6A9B">
      <w:pPr>
        <w:jc w:val="both"/>
      </w:pPr>
    </w:p>
    <w:p w:rsidRPr="005A6A9B" w:rsidR="005A6A9B" w:rsidP="005A6A9B">
      <w:pPr>
        <w:jc w:val="both"/>
        <w:rPr>
          <w:i/>
        </w:rPr>
      </w:pPr>
      <w:r w:rsidRPr="005A6A9B">
        <w:tab/>
      </w:r>
      <w:r w:rsidRPr="005A6A9B">
        <w:rPr>
          <w:i/>
        </w:rPr>
        <w:t>Intimatul a formulat întâmpinare, solicitând respingerea apel</w:t>
      </w:r>
      <w:r w:rsidRPr="005A6A9B">
        <w:rPr>
          <w:i/>
        </w:rPr>
        <w:t>ului ca nefondat, cu cheltuieli de judecată.</w:t>
      </w:r>
    </w:p>
    <w:p w:rsidRPr="005A6A9B" w:rsidR="005A6A9B" w:rsidP="005A6A9B">
      <w:pPr>
        <w:jc w:val="both"/>
      </w:pPr>
      <w:r w:rsidRPr="005A6A9B">
        <w:tab/>
        <w:t>Reiterând situația de fapt, arată că, beneficiind de o pensie stabilită în baza Legii nr. 3/1977, anterior intrării în vigoare a Legii nr. 19/2000, aceasta a intrat în procesul de recalculare prevăzut de H.G. nr. 1550/2004 și se încadrează în categoria celor cărora li se aplică dispozițiile O.U.G. nr. 4/2005 potrivit cărora stagiul complet de cotizare utilizat la determinarea punctajului anual va fi cel reglementat de</w:t>
      </w:r>
      <w:r w:rsidRPr="005A6A9B">
        <w:t xml:space="preserve"> Legea 3/1977.</w:t>
      </w:r>
    </w:p>
    <w:p w:rsidRPr="005A6A9B" w:rsidR="005A6A9B" w:rsidP="005A6A9B">
      <w:pPr>
        <w:jc w:val="both"/>
      </w:pPr>
      <w:r w:rsidRPr="005A6A9B">
        <w:tab/>
        <w:t>În consecință, având în veder</w:t>
      </w:r>
      <w:r w:rsidRPr="005A6A9B">
        <w:t>e că drepturile la pensie pentru limita de vârstă ale reclamantului au fost deschise în baza Legii nr. 3/1977, rezultă că orice recalculare a pensiei realizată în baza Legii nr. 19/2000, chiar și până la data aplicării O.U.G. nr. 4/2005, trebuia să ia în considerare stagiul complet de cotizare și vârstele de pensionare s</w:t>
      </w:r>
      <w:r w:rsidRPr="005A6A9B">
        <w:t xml:space="preserve">tabilite de actul normativ în baza căruia s-a realizat ieșirea la pensie, în cazul de față Legea nr. 3/1977, criteriile prevăzute de Anexa nr. </w:t>
      </w:r>
      <w:smartTag w:uri="urn:schemas-microsoft-com:office:smarttags" w:element="metricconverter">
        <w:smartTagPr>
          <w:attr w:name="ProductID" w:val="3 a"/>
        </w:smartTagPr>
        <w:r w:rsidRPr="005A6A9B">
          <w:t>3 a</w:t>
        </w:r>
      </w:smartTag>
      <w:r w:rsidRPr="005A6A9B">
        <w:t xml:space="preserve"> Legii nr. 19/2000 urmând a fi avute în vedere numai în cazul pensiilor deschise în baza acestui act normativ. </w:t>
      </w:r>
    </w:p>
    <w:p w:rsidRPr="005A6A9B" w:rsidR="005A6A9B" w:rsidP="005A6A9B">
      <w:pPr>
        <w:jc w:val="both"/>
      </w:pPr>
      <w:r w:rsidRPr="005A6A9B">
        <w:tab/>
        <w:t>Totodată, este de părere că în speță nu se poate pune problema tardivității și inadmisibilității cererii, fiind posibilă revizuirea unei decizii, chiar și ulterior, în contextul intervenirii unui recurs în interesul legii pronunțat de către Înalta Curte</w:t>
      </w:r>
      <w:r w:rsidRPr="005A6A9B">
        <w:t xml:space="preserve"> de Casație și Justiție. </w:t>
      </w:r>
    </w:p>
    <w:p w:rsidRPr="005A6A9B" w:rsidR="005A6A9B" w:rsidP="005A6A9B">
      <w:pPr>
        <w:jc w:val="both"/>
      </w:pPr>
      <w:r w:rsidRPr="005A6A9B">
        <w:tab/>
        <w:t xml:space="preserve">Față de cele învederate, solicită respingerea apelului. </w:t>
      </w:r>
    </w:p>
    <w:p w:rsidRPr="005A6A9B" w:rsidR="005A6A9B" w:rsidP="005A6A9B">
      <w:pPr>
        <w:jc w:val="both"/>
        <w:rPr>
          <w:highlight w:val="yellow"/>
        </w:rPr>
      </w:pPr>
    </w:p>
    <w:p w:rsidRPr="005A6A9B" w:rsidR="005A6A9B" w:rsidP="005A6A9B">
      <w:r w:rsidRPr="005A6A9B">
        <w:tab/>
      </w:r>
      <w:r w:rsidRPr="005A6A9B">
        <w:rPr>
          <w:b/>
          <w:i/>
        </w:rPr>
        <w:t>Examinând sentința atacată prin prisma motivelor de apel și a apărărilor formulate, Curtea, în temeiul art. 479 alin. 1 Cod procedură civilă, reține următoarele</w:t>
      </w:r>
      <w:r w:rsidRPr="005A6A9B">
        <w:t>:</w:t>
      </w:r>
    </w:p>
    <w:p w:rsidRPr="005A6A9B" w:rsidR="005A6A9B" w:rsidP="005A6A9B">
      <w:r w:rsidRPr="005A6A9B">
        <w:tab/>
        <w:t>Apelul este nefondat și urmează a fi respins ca atare.</w:t>
      </w:r>
    </w:p>
    <w:p w:rsidRPr="005A6A9B" w:rsidR="005A6A9B" w:rsidP="005A6A9B">
      <w:pPr>
        <w:jc w:val="both"/>
      </w:pPr>
      <w:r w:rsidRPr="005A6A9B">
        <w:rPr>
          <w:i/>
        </w:rPr>
        <w:tab/>
      </w:r>
      <w:r w:rsidRPr="005A6A9B">
        <w:t xml:space="preserve">Contrar criticilor invocate prin apelul declarat de pârâtă, se reține că în mod judicios a constatat prima instanță că stagiul complet de cotizare la care este îndreptățit intimatul este de 20 ani. </w:t>
      </w:r>
    </w:p>
    <w:p w:rsidRPr="005A6A9B" w:rsidR="005A6A9B" w:rsidP="005A6A9B">
      <w:pPr>
        <w:jc w:val="both"/>
      </w:pPr>
      <w:r w:rsidRPr="005A6A9B">
        <w:tab/>
        <w:t>Astfel,</w:t>
      </w:r>
      <w:r w:rsidRPr="005A6A9B">
        <w:t xml:space="preserve"> referitor la criticile formulate prin memoriul de apel privind caracterul definitiv al deciziei de pensie prin care beneficiarului i s-a recalculat pensia în temeiul OUG nr. 4/2005 inclusiv sub aspectul stagiului complet de cotizare, Curtea constată că prin acțiunea dedusă judecății intimata a solicitat revizuirea pensiei sale sub aspectul determinării drepturilor sale de pensie prin luarea în considerare a stagiului de cotizare de 20 de ani realizat de susținătorul decedat. </w:t>
      </w:r>
    </w:p>
    <w:p w:rsidRPr="005A6A9B" w:rsidR="005A6A9B" w:rsidP="005A6A9B">
      <w:pPr>
        <w:jc w:val="both"/>
      </w:pPr>
      <w:r w:rsidRPr="005A6A9B">
        <w:tab/>
        <w:t>Întrucât potrivit art. 107 al</w:t>
      </w:r>
      <w:r w:rsidRPr="005A6A9B">
        <w:t xml:space="preserve">in. 1 din Legea nr. 263/2010 </w:t>
      </w:r>
      <w:r w:rsidRPr="005A6A9B">
        <w:rPr>
          <w:i/>
        </w:rPr>
        <w:t>,,În situația în care, ulterior stabilirii și/sau plății drepturilor de pensie, se constată diferențe între sumele stabilite și/sau plătite și cele legal cuvenite, casa teritorială de pensii operează, din oficiu sau la solicitarea pensionarului, modificările ce se impun, prin decizie de revizuire”</w:t>
      </w:r>
      <w:r w:rsidRPr="005A6A9B">
        <w:t>, se constată că revizuirea reprezintă o procedură prin care se înlătură erorile comise în procesul de stabilire sau recalculare a pensiilor. Astfel, nu are relevanță faptul că deciziil</w:t>
      </w:r>
      <w:r w:rsidRPr="005A6A9B">
        <w:t xml:space="preserve">e de recalculare a pensiei intimatului emise în baza OUG 4/2005, OUG 100/2008 și art. 169 din Legea nr. 263/2010 nu au fost anulate în urma vreunei contestații formulate de intimat, întrucât dispozițiile legale menționate anterior nu impun o asemenea condiție, de esența revizuirii fiind corectarea cuantumului pensiei asiguratului determinată fie de o eroare de calcul, fie de aplicarea sau interpretarea greșită a legii. În plus, dacă s-ar valida susținerile pârâtei în sensul că o decizie de pensie nu ar mai </w:t>
      </w:r>
      <w:r w:rsidRPr="005A6A9B">
        <w:t>putea fi modificată după expirarea termenului de contestare, dispozițiile legale referitoare la revizuirea deciziei de pensie nu s-ar mai aplica niciodată, deoarece caracterul definitiv al deciziei de pensie ar împiedica formularea oricărei cereri de revizuire a acesteia.</w:t>
      </w:r>
    </w:p>
    <w:p w:rsidRPr="005A6A9B" w:rsidR="005A6A9B" w:rsidP="005A6A9B">
      <w:pPr>
        <w:jc w:val="both"/>
      </w:pPr>
      <w:r w:rsidRPr="005A6A9B">
        <w:tab/>
        <w:t xml:space="preserve">În consecință, în mod corect a soluționat prima instanță excepția tardivității în sensul respingerii acesteia, criticile subsumate acestui motiv de apel fiind nefondate. </w:t>
      </w:r>
    </w:p>
    <w:p w:rsidRPr="005A6A9B" w:rsidR="005A6A9B" w:rsidP="005A6A9B">
      <w:pPr>
        <w:jc w:val="both"/>
      </w:pPr>
      <w:r w:rsidRPr="005A6A9B">
        <w:tab/>
        <w:t>În ceea ce privește criticile din memoriul de apel vizând fondul c</w:t>
      </w:r>
      <w:r w:rsidRPr="005A6A9B">
        <w:t xml:space="preserve">auzei, Curtea reține că întrucât prin procedura revizuirii se remediază erorile comise în procesul de stabilire sau recalculare a pensiilor, în cazul revizuirii se vor aplica dispozițiile legale care reglementează raportul juridic de drept material dedus judecății, respectiv, în cauză, dispozițiile legale în temeiul căruia s-a stabilit stagiul complet de cotizare al pensiei susținătorului decedat, respectiv OUG nr. 4/2005 și HG nr. 1550/2004, și nu dispozițiile Legilor nr. 19/2000 și 263/2010, cu mențiunea </w:t>
      </w:r>
      <w:r w:rsidRPr="005A6A9B">
        <w:t>însă că acest din urmă act normativ reglementează mijloacele procesuale aflate la dispoziția asiguratului pentru exercitarea dreptului său la stabilirea corectă a pensiei.</w:t>
      </w:r>
    </w:p>
    <w:p w:rsidRPr="005A6A9B" w:rsidR="005A6A9B" w:rsidP="005A6A9B">
      <w:pPr>
        <w:jc w:val="both"/>
      </w:pPr>
      <w:r w:rsidRPr="005A6A9B">
        <w:tab/>
        <w:t>În acest sens, întrucât conform art. 180 alin. (1) din Legea nr. 19/2000 pensiile stabilite în temeiul legislației anterioare au devenit pensii în înțelesul legii noi, prin OUG nr. 4/2005 a fost adoptat un proces de recalculare al pensiilor din sistemul public stabilite în temeiul legislației anterioare Legii nr. 19/2000, proces care a f</w:t>
      </w:r>
      <w:r w:rsidRPr="005A6A9B">
        <w:t>ost precedat de o operațiune de evaluare a pensiilor în vederea recalculării, realizată în temeiul HG nr. 1550/2004 pe baza documentației și a condițiilor legale avute în vedere la data deschiderii dreptului la pensie de Legea nr. 3/1977.</w:t>
      </w:r>
    </w:p>
    <w:p w:rsidRPr="005A6A9B" w:rsidR="005A6A9B" w:rsidP="005A6A9B">
      <w:pPr>
        <w:jc w:val="both"/>
      </w:pPr>
      <w:r w:rsidRPr="005A6A9B">
        <w:tab/>
        <w:t>Astfel, conform art. 4 alin. 1 din OUG nr. 4/2005, determinarea punctajului mediu anual și a cuantumului fiecărei pensii se face cu respectarea prevederilor H.G. nr. 1.550/2004 în conformitate cu principiile Legii nr. 19/2000.</w:t>
      </w:r>
    </w:p>
    <w:p w:rsidRPr="005A6A9B" w:rsidR="005A6A9B" w:rsidP="005A6A9B">
      <w:pPr>
        <w:jc w:val="both"/>
      </w:pPr>
      <w:r w:rsidRPr="005A6A9B">
        <w:tab/>
        <w:t xml:space="preserve">De asemenea, art. 2 alin. 1 din anexa la HG </w:t>
      </w:r>
      <w:r w:rsidRPr="005A6A9B">
        <w:t>nr. 1.550/2004, prevede că stagiul complet de cotizare utilizat la determinarea punctajului mediu anual reprezintă vechimea integrală în muncă prevăzută de legislația în vigoare la data deschiderii dreptului la pensia de care persoana beneficiază sau care i se cuvine la data începerii operațiunilor de evaluare.</w:t>
      </w:r>
    </w:p>
    <w:p w:rsidRPr="005A6A9B" w:rsidR="005A6A9B" w:rsidP="005A6A9B">
      <w:pPr>
        <w:jc w:val="both"/>
      </w:pPr>
      <w:r w:rsidRPr="005A6A9B">
        <w:tab/>
        <w:t>În consecință, în raport de reglementarea expresă a modalității de determinare a stagiului complet de cotizare a pensiei susținătorului decedat recalculată conform OUG nr. 4/2005, chiar dacă recalcu</w:t>
      </w:r>
      <w:r w:rsidRPr="005A6A9B">
        <w:t xml:space="preserve">larea pensiilor stabilite în fostul sistem al asigurărilor sociale de stat potrivit legislației anterioare datei de 1 aprilie 2001 s-a realizat în temeiul OUG nr. 4/2005 în conformitate cu principiile Legii nr. 19/2000, aceasta nu înseamnă că acestor pensii le este aplicabil stagiul complet de cotizare prevăzut de acest act normativ. </w:t>
      </w:r>
    </w:p>
    <w:p w:rsidRPr="005A6A9B" w:rsidR="005A6A9B" w:rsidP="005A6A9B">
      <w:pPr>
        <w:jc w:val="both"/>
      </w:pPr>
      <w:r w:rsidRPr="005A6A9B">
        <w:tab/>
        <w:t>Reiterând faptul că, așa cum judicios a considerat și prima instanță, stagiul complet de cotizare a pensiei intimatului reprezintă conform dispozițiilor art. 2 alin. 1 din an</w:t>
      </w:r>
      <w:r w:rsidRPr="005A6A9B">
        <w:t>exa la HG nr. 1.550/2004 vechimea integrală în muncă prevăzută de legislația în vigoare la data deschiderii dreptului la pensie al acestuia, respectiv Legea nr. 3/1977, se reține că pentru acordarea pensiei, acest act normativ prevedea îndeplinirea unor condiții privind vechimea în muncă, retribuția tarifară, grupa de muncă și vârsta legală de pensionare.</w:t>
      </w:r>
    </w:p>
    <w:p w:rsidRPr="005A6A9B" w:rsidR="005A6A9B" w:rsidP="005A6A9B">
      <w:pPr>
        <w:ind w:firstLine="708"/>
        <w:jc w:val="both"/>
      </w:pPr>
      <w:r w:rsidRPr="005A6A9B">
        <w:t xml:space="preserve">Astfel art. 8 alin. (1) din Legea nr. 3/1977 prevedea regula în materie în sensul că: </w:t>
      </w:r>
      <w:r w:rsidRPr="005A6A9B">
        <w:rPr>
          <w:i/>
        </w:rPr>
        <w:t xml:space="preserve">„Personalul muncitor, care are o vechime în muncă de minimum 30 ani </w:t>
      </w:r>
      <w:r w:rsidRPr="005A6A9B">
        <w:rPr>
          <w:i/>
        </w:rPr>
        <w:t>bărbații și 25 ani femeile, are dreptul la pensie pentru munca depusă și limita de vârstă, la împlinirea vârstei de 62 ani bărbații și 57 ani femeile”.</w:t>
      </w:r>
    </w:p>
    <w:p w:rsidRPr="005A6A9B" w:rsidR="005A6A9B" w:rsidP="005A6A9B">
      <w:pPr>
        <w:jc w:val="both"/>
      </w:pPr>
      <w:r w:rsidRPr="005A6A9B">
        <w:tab/>
        <w:t xml:space="preserve">Conform art. 9 alin. (1) din lege </w:t>
      </w:r>
      <w:r w:rsidRPr="005A6A9B">
        <w:rPr>
          <w:i/>
        </w:rPr>
        <w:t>„Vechimea în muncă ce se ia în considerare la stabilirea pensiilor pentru munca depusă este timpul cât o persoană a fost încadrată în baza unui contract de muncă”</w:t>
      </w:r>
      <w:r w:rsidRPr="005A6A9B">
        <w:t>.</w:t>
      </w:r>
    </w:p>
    <w:p w:rsidRPr="005A6A9B" w:rsidR="005A6A9B" w:rsidP="005A6A9B">
      <w:pPr>
        <w:jc w:val="both"/>
        <w:rPr>
          <w:i/>
        </w:rPr>
      </w:pPr>
      <w:r w:rsidRPr="005A6A9B">
        <w:tab/>
        <w:t xml:space="preserve">Pe de altă parte, art. 11 alin. (1) și (2) din lege prevedeau: </w:t>
      </w:r>
      <w:r w:rsidRPr="005A6A9B">
        <w:rPr>
          <w:i/>
        </w:rPr>
        <w:t>„(1) Pensia integrală pentru munca depusă și limita de vârstă se determină în procente din retrib</w:t>
      </w:r>
      <w:r w:rsidRPr="005A6A9B">
        <w:rPr>
          <w:i/>
        </w:rPr>
        <w:t>uția tarifară, diferențiate pe tranșe de retribuții și grupe de muncă, stabilite potrivit legii.</w:t>
      </w:r>
    </w:p>
    <w:p w:rsidRPr="005A6A9B" w:rsidR="005A6A9B" w:rsidP="005A6A9B">
      <w:pPr>
        <w:jc w:val="both"/>
      </w:pPr>
      <w:r w:rsidRPr="005A6A9B">
        <w:rPr>
          <w:i/>
        </w:rPr>
        <w:tab/>
        <w:t>(2) Procentele corespunzătoare grupelor I și II de muncă se aplică persoanelor care au lucrat efectiv în aceste grupe cel puțin 20 ani în grupa I sau 25 ani în grupa II de muncă; dacă au lucrat mai puțin, la procentele corespunzătoare grupei III se acordă un spor proporțional cu timpul efectiv lucrat în grupele I și II”</w:t>
      </w:r>
      <w:r w:rsidRPr="005A6A9B">
        <w:t>.</w:t>
      </w:r>
    </w:p>
    <w:p w:rsidRPr="005A6A9B" w:rsidR="005A6A9B" w:rsidP="005A6A9B">
      <w:pPr>
        <w:ind w:firstLine="708"/>
        <w:jc w:val="both"/>
        <w:rPr>
          <w:i/>
        </w:rPr>
      </w:pPr>
      <w:r w:rsidRPr="005A6A9B">
        <w:t xml:space="preserve">În plus, art. 14 alin. (1) din Legea nr. 3/1977 prevedea că </w:t>
      </w:r>
      <w:r w:rsidRPr="005A6A9B">
        <w:rPr>
          <w:i/>
        </w:rPr>
        <w:t>„Persoanelor care au lucrat efe</w:t>
      </w:r>
      <w:r w:rsidRPr="005A6A9B">
        <w:rPr>
          <w:i/>
        </w:rPr>
        <w:t>ctiv cel puțin 20 ani în locuri care, potrivit legii, se încadrează în grupa I de muncă sau cel puțin 25 ani în grupa II de muncă, la stabilirea pensiei li se ia în calcul, pentru fiecare an lucrat în aceste grupe câte:</w:t>
      </w:r>
    </w:p>
    <w:p w:rsidRPr="005A6A9B" w:rsidR="005A6A9B" w:rsidP="005A6A9B">
      <w:pPr>
        <w:jc w:val="both"/>
        <w:rPr>
          <w:i/>
        </w:rPr>
      </w:pPr>
      <w:r w:rsidRPr="005A6A9B">
        <w:rPr>
          <w:i/>
        </w:rPr>
        <w:tab/>
        <w:t>a) un an și șase luni pentru grupa I de muncă;</w:t>
      </w:r>
    </w:p>
    <w:p w:rsidRPr="005A6A9B" w:rsidR="005A6A9B" w:rsidP="005A6A9B">
      <w:pPr>
        <w:jc w:val="both"/>
      </w:pPr>
      <w:r w:rsidRPr="005A6A9B">
        <w:rPr>
          <w:i/>
        </w:rPr>
        <w:tab/>
        <w:t>b) un an şi trei luni pentru grupa II de muncă”.</w:t>
      </w:r>
    </w:p>
    <w:p w:rsidRPr="005A6A9B" w:rsidR="005A6A9B" w:rsidP="005A6A9B">
      <w:pPr>
        <w:jc w:val="both"/>
      </w:pPr>
      <w:r w:rsidRPr="005A6A9B">
        <w:tab/>
        <w:t xml:space="preserve">Din coroborarea acestor dispoziții legale, mai sus pentru facilitarea înţelegerii argumentului juridic, rezultă că asigurații care au lucrat efectiv 20 de ani în grupa I de muncă ori 25 de ani </w:t>
      </w:r>
      <w:r w:rsidRPr="005A6A9B">
        <w:t>în grupa a II-a de muncă, dacă îndeplineau și condiția vârstei legale de pensionare, îndeplineau condițiile pentru acordarea pensiei integrale pentru munca depusă şi limită de vârstă.</w:t>
      </w:r>
    </w:p>
    <w:p w:rsidRPr="005A6A9B" w:rsidR="005A6A9B" w:rsidP="005A6A9B">
      <w:pPr>
        <w:jc w:val="both"/>
      </w:pPr>
      <w:r w:rsidRPr="005A6A9B">
        <w:tab/>
        <w:t>În consecință, în sistemul Legii nr. 3/1977 în cazul acestor asigurați, vechimea integrală în muncă pentru a li se deschide dreptul la pensie integrală pentru munca depusă şi limită de vârstă era vechimea efectivă de 20 de ani (pentru cei care au lucrat această perioadă în grupa I de muncă) și, respectiv, de 25 de ani (pentru</w:t>
      </w:r>
      <w:r w:rsidRPr="005A6A9B">
        <w:t xml:space="preserve"> cei care au lucrat în tot acest interval în grupa a II-a de muncă).</w:t>
      </w:r>
    </w:p>
    <w:p w:rsidRPr="005A6A9B" w:rsidR="005A6A9B" w:rsidP="005A6A9B">
      <w:pPr>
        <w:ind w:firstLine="708"/>
        <w:jc w:val="both"/>
      </w:pPr>
      <w:r w:rsidRPr="005A6A9B">
        <w:t>În același sens a statuat și Înalta Curte de Casație și Justiție, care prin decizia nr. 11/2015, pronunțată în soluționarea unui recurs în interesul legii.</w:t>
      </w:r>
    </w:p>
    <w:p w:rsidRPr="005A6A9B" w:rsidR="005A6A9B" w:rsidP="005A6A9B">
      <w:pPr>
        <w:jc w:val="both"/>
      </w:pPr>
      <w:r w:rsidRPr="005A6A9B">
        <w:tab/>
      </w:r>
      <w:bookmarkStart w:name="_Hlk196822700" w:id="1"/>
      <w:r w:rsidRPr="005A6A9B">
        <w:t>În conformitate cu art. 517 alin. 4 Cod procedură civilă, în forma modificată prin Legea 310/2018, dezlegarea dată problemelor de drept judecate este obligatorie de la data publicării deciziei în Monitorul Oficial al României, partea I. Astfel, în forma actuală a prevederii legale, s-a</w:t>
      </w:r>
      <w:r w:rsidRPr="005A6A9B">
        <w:t xml:space="preserve"> eliminat referirea numai la instanțe ca destinatare ale caracterului obligatoriu al deciziilor pronunțate în interesul legii, ceea ce înseamnă că decizia nr. 11/2015, pronunțată de Înalta Curte de Casație și Justiție în soluționarea unui recurs în interesul legii este obligatorie și pentru apelantă.</w:t>
      </w:r>
      <w:bookmarkEnd w:id="1"/>
    </w:p>
    <w:p w:rsidRPr="005A6A9B" w:rsidR="005A6A9B" w:rsidP="005A6A9B">
      <w:pPr>
        <w:ind w:firstLine="708"/>
        <w:jc w:val="both"/>
      </w:pPr>
      <w:r w:rsidRPr="005A6A9B">
        <w:t xml:space="preserve">În fine, împrejurarea că intimatul a beneficiat de reglementările prevăzute de OUG nr. 100/2008 și art. 169 din Legea nr. 263/2010 nu este un impediment pentru corectarea deciziilor de pensie anterioare, fiind </w:t>
      </w:r>
      <w:r w:rsidRPr="005A6A9B">
        <w:t xml:space="preserve">evident că deciziile de pensie ale beneficiarului emise ulterior deciziei de revizuire a deciziei de recalculare a pensiei în temeiul OUG nr. 4/2005, vor fi și ele revizuite conform normelor legale incidente. </w:t>
      </w:r>
    </w:p>
    <w:p w:rsidRPr="005A6A9B" w:rsidR="005A6A9B" w:rsidP="005A6A9B">
      <w:pPr>
        <w:jc w:val="both"/>
      </w:pPr>
      <w:r w:rsidRPr="005A6A9B">
        <w:tab/>
        <w:t xml:space="preserve">În același sens s-a statuat cu caracter obligatoriu și prin decizia nr. 17/2023 pronunțată de Înalta Curte de Casație și Justiție-Completul pentru soluționarea recursului în interesul legii, prin care s-a stabilit că prevederile </w:t>
      </w:r>
      <w:hyperlink w:history="1">
        <w:r w:rsidRPr="005A6A9B">
          <w:t>art. 169^1 din Legea nr. 263/2010</w:t>
        </w:r>
      </w:hyperlink>
      <w:r w:rsidRPr="005A6A9B">
        <w:t xml:space="preserve"> privind sistemul unitar </w:t>
      </w:r>
      <w:r w:rsidRPr="005A6A9B">
        <w:t xml:space="preserve">de pensii publice, cu modificările și completările ulterioare, nu înlătură și nu împiedică revizuirea drepturilor de pensie cu aplicarea dispozițiilor </w:t>
      </w:r>
      <w:hyperlink w:history="1">
        <w:r w:rsidRPr="005A6A9B">
          <w:t>art. 2 alin. (1)</w:t>
        </w:r>
      </w:hyperlink>
      <w:r w:rsidRPr="005A6A9B">
        <w:t xml:space="preserve"> și </w:t>
      </w:r>
      <w:hyperlink w:history="1">
        <w:r w:rsidRPr="005A6A9B">
          <w:t>art. 4 alin. (1) din Ordonanța de urgență a Guvernului nr. 4/2005</w:t>
        </w:r>
      </w:hyperlink>
      <w:r w:rsidRPr="005A6A9B">
        <w:t xml:space="preserve"> privind recalcularea pensiilor din sistemul public, provenite din fostul sistem al asigurărilor sociale de stat, aprobată cu completări prin </w:t>
      </w:r>
      <w:hyperlink w:history="1">
        <w:r w:rsidRPr="005A6A9B">
          <w:t>Legea nr. 78/2005</w:t>
        </w:r>
      </w:hyperlink>
      <w:r w:rsidRPr="005A6A9B">
        <w:t xml:space="preserve">, cu modificările și completările ulterioare, coroborate cu dispozițiile </w:t>
      </w:r>
      <w:hyperlink w:history="1">
        <w:r w:rsidRPr="005A6A9B">
          <w:t>art. 2 alin. (1)</w:t>
        </w:r>
      </w:hyperlink>
      <w:r w:rsidRPr="005A6A9B">
        <w:t xml:space="preserve"> și </w:t>
      </w:r>
      <w:hyperlink w:history="1">
        <w:r w:rsidRPr="005A6A9B">
          <w:t>(3) din anexa</w:t>
        </w:r>
      </w:hyperlink>
      <w:r w:rsidRPr="005A6A9B">
        <w:t xml:space="preserve"> la </w:t>
      </w:r>
      <w:hyperlink w:history="1">
        <w:r w:rsidRPr="005A6A9B">
          <w:t>Hotărârea Guvernului nr. 1.550/2004</w:t>
        </w:r>
      </w:hyperlink>
      <w:r w:rsidRPr="005A6A9B">
        <w:t xml:space="preserve"> privind efectuarea operațiunilor de evaluare în vederea recalculării pensiilor din sistemul public, stabilite în fostul sistem al asigurărilor sociale de stat potrivit legislației anterioare datei de 1 aprilie 2001, în conformitate cu principiile </w:t>
      </w:r>
      <w:hyperlink w:history="1">
        <w:r w:rsidRPr="005A6A9B">
          <w:t>Legii nr. 19/2000</w:t>
        </w:r>
      </w:hyperlink>
      <w:r w:rsidRPr="005A6A9B">
        <w:t xml:space="preserve">, cu modificările și completările ulterioare, în interpretarea dată acestor texte prin </w:t>
      </w:r>
      <w:hyperlink w:history="1">
        <w:r w:rsidRPr="005A6A9B">
          <w:t>decizia nr. 11 din 25</w:t>
        </w:r>
        <w:r w:rsidRPr="005A6A9B">
          <w:t xml:space="preserve"> mai 2015</w:t>
        </w:r>
      </w:hyperlink>
      <w:r w:rsidRPr="005A6A9B">
        <w:t>, pronunțată de Înalta Curte de Casație și Justiție - Completul competent să judece recursul în interesul legii, publicată în Monitorul Oficial al României, Partea I, nr. 522 din 14 iulie 2015.</w:t>
      </w:r>
    </w:p>
    <w:p w:rsidRPr="005A6A9B" w:rsidR="005A6A9B" w:rsidP="005A6A9B">
      <w:pPr>
        <w:jc w:val="both"/>
      </w:pPr>
      <w:r w:rsidRPr="005A6A9B">
        <w:tab/>
        <w:t xml:space="preserve">În consecință, stabilind că stagiul complet de cotizare al pensiei beneficiarului decedat avut în vedere pentru determinarea pensiei reclamantei intimate este de 20 de ani, având în vedere că dreptul său la pensie a fost deschis în temeiul Legii nr. 3/1977 și a lucrat în grupa I de muncă de 25 ani, 9 luni </w:t>
      </w:r>
      <w:r w:rsidRPr="005A6A9B">
        <w:t>și 9 zile, prima instanță a aplicat corect decizia nr. 11/2015 a Înaltei Curți de Casație și Justiție, interpretând judicios dispozițiile legale referitoare la stagiul complet de cotizare aplicabil situației deduse judecății.</w:t>
      </w:r>
    </w:p>
    <w:p w:rsidRPr="005A6A9B" w:rsidR="005A6A9B" w:rsidP="005A6A9B">
      <w:pPr>
        <w:jc w:val="both"/>
      </w:pPr>
      <w:r w:rsidRPr="005A6A9B">
        <w:tab/>
        <w:t>Referitor la criticile din memoriul de apel privind acordarea diferențelor de drepturi de pensie actualizate cu dobânda legală penalizatoare, nu se pot reţine apărările apelantei potrivit cărora ar fi aplicat legea în litera şi spiritul ei, astfel încât nu i se poate reţine nici o cul</w:t>
      </w:r>
      <w:r w:rsidRPr="005A6A9B">
        <w:t>pă, câtă vreme, dimpotrivă, practica acesteia rămâne constant contrară celor dezlegate obligatoriu de către Înalta Curte de Casaţie şi Justiţie, prin deciziile mai sus menţionate.</w:t>
      </w:r>
    </w:p>
    <w:p w:rsidRPr="005A6A9B" w:rsidR="005A6A9B" w:rsidP="005A6A9B">
      <w:pPr>
        <w:jc w:val="both"/>
      </w:pPr>
      <w:r w:rsidRPr="005A6A9B">
        <w:tab/>
        <w:t xml:space="preserve">În lipsa unor dispoziții exprese în Legea 263/2010, în ipoteza în care, ca urmare a revizuirii pensiei, asiguratul este îndreptățit la prestații suplimentare, se aplică dreptul comun în materie, respectiv dispozițiile Codului civil și ale OG 13/2011, și nu dispozițiile de excepție prevăzute de art. 179 din Legea 263/2010. </w:t>
      </w:r>
    </w:p>
    <w:p w:rsidRPr="005A6A9B" w:rsidR="005A6A9B" w:rsidP="005A6A9B">
      <w:pPr>
        <w:jc w:val="both"/>
        <w:rPr>
          <w:rFonts w:ascii="Courier New" w:hAnsi="Courier New" w:cs="Courier New"/>
          <w:sz w:val="22"/>
          <w:szCs w:val="22"/>
        </w:rPr>
      </w:pPr>
      <w:r w:rsidRPr="005A6A9B">
        <w:tab/>
        <w:t>Astfe</w:t>
      </w:r>
      <w:r w:rsidRPr="005A6A9B">
        <w:t>l, Curtea constată că în cauză sunt aplicabile prevederile art. 1531 alin. 1 și 2 teza întâi şi  art. 1535 din Codul civil, precum şi art. 1 alin. 3 din OG nr. 3/2011</w:t>
      </w:r>
      <w:r w:rsidRPr="005A6A9B">
        <w:rPr>
          <w:rFonts w:ascii="Courier New" w:hAnsi="Courier New" w:cs="Courier New"/>
          <w:sz w:val="22"/>
          <w:szCs w:val="22"/>
        </w:rPr>
        <w:t xml:space="preserve">. </w:t>
      </w:r>
    </w:p>
    <w:p w:rsidRPr="005A6A9B" w:rsidR="005A6A9B" w:rsidP="005A6A9B">
      <w:pPr>
        <w:ind w:firstLine="708"/>
        <w:jc w:val="both"/>
      </w:pPr>
      <w:r w:rsidRPr="005A6A9B">
        <w:t>Dispozițiile legale menționate anterior consacră principiul reparării integrale a prejudiciului suferit de creditor ca urmare a neexecutării de către debitor a obligației, independent de motivul pentru care suma datorată nu este plătită la scadență și independent de existența sau inexistența culpei debitorului, contrar celor invocate prin me</w:t>
      </w:r>
      <w:r w:rsidRPr="005A6A9B">
        <w:t>moriul de apel. Or, întrucât așa cum judicios a considerat și Tribunalul, prin acordarea dobânzii legale se acoperă câștigul pe care creditorul l-ar fi obținut ca urmare a investirii banilor (lucrum cessans), dacă aceștia ar fi fost plătiți la scadență (caracter moratoriu), Curtea constată că intimata este îndreptățit la acordarea diferențelor de drepturi de pensie recalculate, actualizate cu dobânda legală penalizatoare, de la data scadenței până la data plății efective.</w:t>
      </w:r>
    </w:p>
    <w:p w:rsidR="00BB261C" w:rsidP="005A6A9B">
      <w:pPr>
        <w:ind w:firstLine="720"/>
        <w:jc w:val="both"/>
        <w:rPr>
          <w:i/>
        </w:rPr>
      </w:pPr>
      <w:r w:rsidRPr="005A6A9B" w:rsidR="005A6A9B">
        <w:t>Pentru aceste considerente, Curtea,</w:t>
      </w:r>
      <w:r w:rsidRPr="005A6A9B" w:rsidR="005A6A9B">
        <w:t xml:space="preserve"> în temeiul dispozițiilor legale de mai sus și al art. 480 alin. 1 Cod procedură civilă, va respinge ca nefondat apelul declarat în cauză de către pârâtă</w:t>
      </w:r>
      <w:r w:rsidR="005A6A9B">
        <w:t>.</w:t>
      </w:r>
    </w:p>
    <w:p w:rsidRPr="005E76F3" w:rsidR="00BB261C" w:rsidP="00BB261C">
      <w:pPr>
        <w:ind w:firstLine="708"/>
        <w:jc w:val="both"/>
        <w:rPr>
          <w:b/>
        </w:rPr>
      </w:pPr>
    </w:p>
    <w:p w:rsidRPr="00F2300C" w:rsidR="00BB261C" w:rsidP="00BB261C">
      <w:pPr>
        <w:autoSpaceDE w:val="0"/>
        <w:autoSpaceDN w:val="0"/>
        <w:adjustRightInd w:val="0"/>
        <w:jc w:val="center"/>
        <w:rPr>
          <w:b/>
        </w:rPr>
      </w:pPr>
      <w:r w:rsidRPr="00F2300C">
        <w:rPr>
          <w:b/>
        </w:rPr>
        <w:t>PENTRU ACESTE MOTIVE</w:t>
      </w:r>
    </w:p>
    <w:p w:rsidRPr="00F2300C" w:rsidR="00BB261C" w:rsidP="00BB261C">
      <w:pPr>
        <w:autoSpaceDE w:val="0"/>
        <w:autoSpaceDN w:val="0"/>
        <w:adjustRightInd w:val="0"/>
        <w:jc w:val="center"/>
        <w:rPr>
          <w:b/>
        </w:rPr>
      </w:pPr>
      <w:r w:rsidRPr="00F2300C">
        <w:rPr>
          <w:b/>
        </w:rPr>
        <w:t>ÎN NUMELE LEGII</w:t>
      </w:r>
    </w:p>
    <w:p w:rsidR="00BB261C" w:rsidP="00BB261C">
      <w:pPr>
        <w:autoSpaceDE w:val="0"/>
        <w:autoSpaceDN w:val="0"/>
        <w:adjustRightInd w:val="0"/>
        <w:jc w:val="center"/>
        <w:rPr>
          <w:b/>
        </w:rPr>
      </w:pPr>
      <w:r w:rsidRPr="00F2300C">
        <w:rPr>
          <w:b/>
        </w:rPr>
        <w:t>D E C I D E:</w:t>
      </w:r>
    </w:p>
    <w:p w:rsidR="00BB261C" w:rsidP="00BB261C">
      <w:pPr>
        <w:autoSpaceDE w:val="0"/>
        <w:autoSpaceDN w:val="0"/>
        <w:adjustRightInd w:val="0"/>
        <w:jc w:val="center"/>
        <w:rPr>
          <w:b/>
        </w:rPr>
      </w:pPr>
    </w:p>
    <w:p w:rsidRPr="00DE5B16" w:rsidR="00BB261C" w:rsidP="00BB261C">
      <w:pPr>
        <w:autoSpaceDE w:val="0"/>
        <w:autoSpaceDN w:val="0"/>
        <w:adjustRightInd w:val="0"/>
        <w:jc w:val="both"/>
      </w:pPr>
      <w:r>
        <w:rPr>
          <w:b/>
        </w:rPr>
        <w:tab/>
      </w:r>
      <w:r w:rsidRPr="00DE5B16">
        <w:t xml:space="preserve">Respinge ca nefondat apelul declarat de pârâta Casa Judeţeană de Pensii </w:t>
      </w:r>
      <w:r w:rsidR="002F1F85">
        <w:t>1</w:t>
      </w:r>
      <w:r>
        <w:t xml:space="preserve">, </w:t>
      </w:r>
      <w:r w:rsidRPr="00DE5B16">
        <w:t xml:space="preserve">cu sediul în </w:t>
      </w:r>
      <w:r w:rsidR="002F1F85">
        <w:t>..........</w:t>
      </w:r>
      <w:r w:rsidRPr="00DE5B16">
        <w:t xml:space="preserve">, b-dul </w:t>
      </w:r>
      <w:r w:rsidR="002F1F85">
        <w:t>.......</w:t>
      </w:r>
      <w:r w:rsidRPr="00DE5B16">
        <w:t xml:space="preserve"> nr. </w:t>
      </w:r>
      <w:r w:rsidR="002F1F85">
        <w:t>.........</w:t>
      </w:r>
      <w:r w:rsidRPr="00DE5B16">
        <w:t>, jud</w:t>
      </w:r>
      <w:r>
        <w:t>.</w:t>
      </w:r>
      <w:r w:rsidRPr="00DE5B16">
        <w:t xml:space="preserve"> </w:t>
      </w:r>
      <w:r w:rsidR="002F1F85">
        <w:t>..........</w:t>
      </w:r>
      <w:r>
        <w:t>,</w:t>
      </w:r>
      <w:r w:rsidRPr="00DE5B16">
        <w:t xml:space="preserve"> împotriva sentinţei civile nr. </w:t>
      </w:r>
      <w:r w:rsidR="002F1F85">
        <w:t xml:space="preserve">......... </w:t>
      </w:r>
      <w:r w:rsidRPr="00DE5B16">
        <w:t xml:space="preserve">din </w:t>
      </w:r>
      <w:r w:rsidR="002F1F85">
        <w:t xml:space="preserve">......... </w:t>
      </w:r>
      <w:r w:rsidRPr="00DE5B16">
        <w:t xml:space="preserve"> pronunţată de Tribunalul </w:t>
      </w:r>
      <w:r w:rsidR="002F1F85">
        <w:t xml:space="preserve">1 </w:t>
      </w:r>
      <w:r w:rsidRPr="00DE5B16">
        <w:t xml:space="preserve">în dosarul nr. </w:t>
      </w:r>
      <w:r w:rsidR="002F1F85">
        <w:t>16</w:t>
      </w:r>
      <w:r w:rsidRPr="00DE5B16">
        <w:t xml:space="preserve">, pe care o păstrează în tot. </w:t>
      </w:r>
    </w:p>
    <w:p w:rsidRPr="00DE5B16" w:rsidR="00BB261C" w:rsidP="00BB261C">
      <w:pPr>
        <w:autoSpaceDE w:val="0"/>
        <w:autoSpaceDN w:val="0"/>
        <w:adjustRightInd w:val="0"/>
        <w:ind w:firstLine="708"/>
        <w:jc w:val="both"/>
      </w:pPr>
      <w:r w:rsidRPr="00DE5B16">
        <w:t xml:space="preserve">Definitivă. </w:t>
      </w:r>
    </w:p>
    <w:p w:rsidRPr="00DE5B16" w:rsidR="00BB261C" w:rsidP="00BB261C">
      <w:pPr>
        <w:autoSpaceDE w:val="0"/>
        <w:autoSpaceDN w:val="0"/>
        <w:adjustRightInd w:val="0"/>
        <w:ind w:firstLine="708"/>
        <w:jc w:val="both"/>
      </w:pPr>
      <w:r w:rsidRPr="00DE5B16">
        <w:t>Pronunţată pri</w:t>
      </w:r>
      <w:r w:rsidRPr="00DE5B16">
        <w:t xml:space="preserve">n punerea soluţiei la dispoziţia părţilor prin intermediul grefei instanţei azi, </w:t>
      </w:r>
      <w:r w:rsidR="002F1F85">
        <w:t>........</w:t>
      </w:r>
      <w:r w:rsidRPr="00DE5B16">
        <w:t>.</w:t>
      </w:r>
    </w:p>
    <w:p w:rsidR="00BB261C" w:rsidP="00BB261C">
      <w:pPr>
        <w:autoSpaceDE w:val="0"/>
        <w:autoSpaceDN w:val="0"/>
        <w:adjustRightInd w:val="0"/>
        <w:jc w:val="center"/>
        <w:rPr>
          <w:b/>
        </w:rPr>
      </w:pPr>
    </w:p>
    <w:p w:rsidR="00BB261C" w:rsidP="00BB261C">
      <w:pPr>
        <w:ind w:firstLine="708"/>
        <w:rPr>
          <w:b/>
        </w:rPr>
      </w:pPr>
      <w:r>
        <w:rPr>
          <w:b/>
        </w:rPr>
        <w:t>PREŞEDINTE</w:t>
        <w:tab/>
        <w:tab/>
        <w:tab/>
        <w:tab/>
        <w:tab/>
        <w:tab/>
        <w:t xml:space="preserve"> </w:t>
        <w:tab/>
        <w:t xml:space="preserve">  JUDECĂTOR</w:t>
      </w:r>
    </w:p>
    <w:p w:rsidR="00BB261C" w:rsidP="002F1F85">
      <w:pPr>
        <w:ind w:firstLine="708"/>
        <w:rPr>
          <w:b/>
        </w:rPr>
      </w:pPr>
      <w:r w:rsidR="002F1F85">
        <w:rPr>
          <w:b/>
        </w:rPr>
        <w:t>A0019</w:t>
      </w:r>
      <w:r>
        <w:rPr>
          <w:b/>
        </w:rPr>
        <w:t xml:space="preserve"> </w:t>
        <w:tab/>
        <w:tab/>
        <w:tab/>
        <w:tab/>
        <w:tab/>
        <w:tab/>
      </w:r>
      <w:r w:rsidR="002F1F85">
        <w:rPr>
          <w:b/>
        </w:rPr>
        <w:t xml:space="preserve">                               </w:t>
      </w:r>
      <w:r>
        <w:rPr>
          <w:b/>
        </w:rPr>
        <w:t xml:space="preserve"> </w:t>
      </w:r>
      <w:r w:rsidR="002F1F85">
        <w:rPr>
          <w:b/>
        </w:rPr>
        <w:t xml:space="preserve">................. </w:t>
      </w:r>
    </w:p>
    <w:p w:rsidR="00BB261C" w:rsidP="00BB261C">
      <w:pPr>
        <w:jc w:val="center"/>
        <w:rPr>
          <w:b/>
        </w:rPr>
      </w:pPr>
    </w:p>
    <w:p w:rsidR="00BB261C" w:rsidP="00BB261C">
      <w:pPr>
        <w:jc w:val="center"/>
        <w:rPr>
          <w:b/>
        </w:rPr>
      </w:pPr>
    </w:p>
    <w:p w:rsidR="00BB261C" w:rsidP="00BB261C">
      <w:pPr>
        <w:jc w:val="center"/>
        <w:rPr>
          <w:b/>
        </w:rPr>
      </w:pPr>
    </w:p>
    <w:p w:rsidR="00BB261C" w:rsidP="00BB261C">
      <w:pPr>
        <w:jc w:val="center"/>
        <w:rPr>
          <w:b/>
        </w:rPr>
      </w:pPr>
      <w:r>
        <w:rPr>
          <w:b/>
        </w:rPr>
        <w:t>GREFIER</w:t>
      </w:r>
    </w:p>
    <w:p w:rsidR="00BB261C" w:rsidP="00BB261C">
      <w:pPr>
        <w:jc w:val="center"/>
        <w:rPr>
          <w:b/>
        </w:rPr>
      </w:pPr>
      <w:r w:rsidR="002F1F85">
        <w:rPr>
          <w:b/>
        </w:rPr>
        <w:t xml:space="preserve">................. </w:t>
      </w:r>
    </w:p>
    <w:p w:rsidR="00BB261C" w:rsidP="00BB261C">
      <w:pPr>
        <w:autoSpaceDE w:val="0"/>
        <w:autoSpaceDN w:val="0"/>
        <w:adjustRightInd w:val="0"/>
        <w:jc w:val="center"/>
        <w:rPr>
          <w:b/>
        </w:rPr>
      </w:pPr>
    </w:p>
    <w:p w:rsidR="00BB261C" w:rsidP="00BB261C">
      <w:pPr>
        <w:autoSpaceDE w:val="0"/>
        <w:autoSpaceDN w:val="0"/>
        <w:adjustRightInd w:val="0"/>
        <w:jc w:val="center"/>
        <w:rPr>
          <w:b/>
        </w:rPr>
      </w:pPr>
    </w:p>
    <w:p w:rsidR="00BB261C" w:rsidP="00BB261C">
      <w:pPr>
        <w:autoSpaceDE w:val="0"/>
        <w:autoSpaceDN w:val="0"/>
        <w:adjustRightInd w:val="0"/>
        <w:jc w:val="center"/>
        <w:rPr>
          <w:b/>
        </w:rPr>
      </w:pPr>
    </w:p>
    <w:p w:rsidR="00BB261C" w:rsidP="00BB261C">
      <w:pPr>
        <w:autoSpaceDE w:val="0"/>
        <w:autoSpaceDN w:val="0"/>
        <w:adjustRightInd w:val="0"/>
        <w:jc w:val="center"/>
        <w:rPr>
          <w:b/>
        </w:rPr>
      </w:pPr>
    </w:p>
    <w:p w:rsidR="00BB261C" w:rsidP="00BB261C">
      <w:pPr>
        <w:autoSpaceDE w:val="0"/>
        <w:autoSpaceDN w:val="0"/>
        <w:adjustRightInd w:val="0"/>
        <w:jc w:val="center"/>
        <w:rPr>
          <w:b/>
        </w:rPr>
      </w:pPr>
    </w:p>
    <w:p w:rsidRPr="00155B6B" w:rsidR="00BB261C" w:rsidP="00BB261C">
      <w:pPr>
        <w:rPr>
          <w:sz w:val="16"/>
          <w:szCs w:val="16"/>
        </w:rPr>
      </w:pPr>
      <w:r w:rsidRPr="00155B6B">
        <w:rPr>
          <w:sz w:val="16"/>
          <w:szCs w:val="16"/>
        </w:rPr>
        <w:t xml:space="preserve">Red. </w:t>
      </w:r>
      <w:r w:rsidR="002F1F85">
        <w:rPr>
          <w:sz w:val="16"/>
          <w:szCs w:val="16"/>
        </w:rPr>
        <w:t>A0019</w:t>
      </w:r>
      <w:r w:rsidRPr="00155B6B">
        <w:rPr>
          <w:sz w:val="16"/>
          <w:szCs w:val="16"/>
        </w:rPr>
        <w:t>/</w:t>
      </w:r>
      <w:r w:rsidRPr="00E35AF7">
        <w:rPr>
          <w:sz w:val="16"/>
          <w:szCs w:val="16"/>
        </w:rPr>
        <w:t xml:space="preserve"> </w:t>
      </w:r>
      <w:r>
        <w:rPr>
          <w:sz w:val="16"/>
          <w:szCs w:val="16"/>
        </w:rPr>
        <w:t>4</w:t>
      </w:r>
      <w:r w:rsidRPr="003715E6">
        <w:rPr>
          <w:sz w:val="16"/>
          <w:szCs w:val="16"/>
        </w:rPr>
        <w:t xml:space="preserve"> ex. </w:t>
      </w:r>
      <w:r>
        <w:rPr>
          <w:sz w:val="16"/>
          <w:szCs w:val="16"/>
        </w:rPr>
        <w:t>/</w:t>
      </w:r>
      <w:r w:rsidRPr="00155B6B">
        <w:rPr>
          <w:sz w:val="16"/>
          <w:szCs w:val="16"/>
        </w:rPr>
        <w:t xml:space="preserve"> </w:t>
      </w:r>
      <w:r w:rsidR="002F1F85">
        <w:rPr>
          <w:sz w:val="16"/>
          <w:szCs w:val="16"/>
        </w:rPr>
        <w:t>...........</w:t>
      </w:r>
    </w:p>
    <w:p w:rsidRPr="00046F78" w:rsidR="00BB261C" w:rsidP="002F1F85">
      <w:pPr>
        <w:jc w:val="both"/>
      </w:pPr>
      <w:r w:rsidRPr="003715E6">
        <w:rPr>
          <w:sz w:val="16"/>
          <w:szCs w:val="16"/>
        </w:rPr>
        <w:t xml:space="preserve">Jud. fond </w:t>
      </w:r>
      <w:r w:rsidR="002F1F85">
        <w:rPr>
          <w:sz w:val="16"/>
          <w:szCs w:val="16"/>
        </w:rPr>
        <w:t>................</w:t>
      </w:r>
    </w:p>
    <w:p w:rsidRPr="00046F78" w:rsidR="00090D1C" w:rsidP="005A6A9B">
      <w:bookmarkEnd w:id="0"/>
    </w:p>
    <w:sectPr w:rsidSect="00046F78">
      <w:footerReference w:type="default" r:id="rId4"/>
      <w:pgSz w:w="11906" w:h="16838" w:code="9"/>
      <w:pgMar w:top="851" w:right="851"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261C">
    <w:pPr>
      <w:pStyle w:val="Footer"/>
      <w:jc w:val="center"/>
    </w:pPr>
    <w:r>
      <w:fldChar w:fldCharType="begin"/>
    </w:r>
    <w:r>
      <w:instrText>PAGE   \* MERGEFORMAT</w:instrText>
    </w:r>
    <w:r>
      <w:fldChar w:fldCharType="separate"/>
    </w:r>
    <w:r w:rsidR="002F1F85">
      <w:rPr>
        <w:noProof/>
      </w:rPr>
      <w:t>7</w:t>
    </w:r>
    <w:r>
      <w:fldChar w:fldCharType="end"/>
    </w:r>
  </w:p>
  <w:p w:rsidR="00BB261C">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mirrorMargins/>
  <w:proofState w:grammar="clean"/>
  <w:stylePaneFormatFilter w:val="3F01"/>
  <w:doNotTrackMoves/>
  <w:defaultTabStop w:val="708"/>
  <w:hyphenationZone w:val="425"/>
  <w:drawingGridHorizontalSpacing w:val="120"/>
  <w:displayHorizontalDrawingGridEvery w:val="2"/>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46F78"/>
    <w:rsid w:val="000614FD"/>
    <w:rsid w:val="000654FD"/>
    <w:rsid w:val="00074F1D"/>
    <w:rsid w:val="00084103"/>
    <w:rsid w:val="00090D1C"/>
    <w:rsid w:val="000F21C1"/>
    <w:rsid w:val="001015C1"/>
    <w:rsid w:val="00117FCF"/>
    <w:rsid w:val="001466B7"/>
    <w:rsid w:val="00155B6B"/>
    <w:rsid w:val="00166A7E"/>
    <w:rsid w:val="00180DC1"/>
    <w:rsid w:val="00190DF5"/>
    <w:rsid w:val="001B2F1C"/>
    <w:rsid w:val="00230098"/>
    <w:rsid w:val="00236F8B"/>
    <w:rsid w:val="002F1F85"/>
    <w:rsid w:val="00310770"/>
    <w:rsid w:val="00361F5B"/>
    <w:rsid w:val="003676FC"/>
    <w:rsid w:val="003715E6"/>
    <w:rsid w:val="00390B52"/>
    <w:rsid w:val="00434264"/>
    <w:rsid w:val="004362D5"/>
    <w:rsid w:val="00444EB7"/>
    <w:rsid w:val="00483536"/>
    <w:rsid w:val="00484C22"/>
    <w:rsid w:val="0057251F"/>
    <w:rsid w:val="005A6A9B"/>
    <w:rsid w:val="005E0080"/>
    <w:rsid w:val="005E76F3"/>
    <w:rsid w:val="00643A60"/>
    <w:rsid w:val="006830ED"/>
    <w:rsid w:val="00704921"/>
    <w:rsid w:val="00774BAA"/>
    <w:rsid w:val="00792D2C"/>
    <w:rsid w:val="007C19AF"/>
    <w:rsid w:val="007C472F"/>
    <w:rsid w:val="008D6F98"/>
    <w:rsid w:val="00902C7A"/>
    <w:rsid w:val="00982CB8"/>
    <w:rsid w:val="009847E9"/>
    <w:rsid w:val="009876B0"/>
    <w:rsid w:val="009B7961"/>
    <w:rsid w:val="00A56F73"/>
    <w:rsid w:val="00A61B7A"/>
    <w:rsid w:val="00A74B82"/>
    <w:rsid w:val="00BB261C"/>
    <w:rsid w:val="00BC4A1A"/>
    <w:rsid w:val="00BC5260"/>
    <w:rsid w:val="00BF0E6F"/>
    <w:rsid w:val="00C82B9C"/>
    <w:rsid w:val="00C85D77"/>
    <w:rsid w:val="00DE5B16"/>
    <w:rsid w:val="00E35AF7"/>
    <w:rsid w:val="00F035C2"/>
    <w:rsid w:val="00F14935"/>
    <w:rsid w:val="00F17C42"/>
    <w:rsid w:val="00F2300C"/>
    <w:rsid w:val="00FB2459"/>
    <w:rsid w:val="00FE33CE"/>
  </w:rsids>
  <w:docVars>
    <w:docVar w:name="url" w:val="https://caclj.just.ro/ecris_cdms/document_upload.aspx?id_document=3300000001983463&amp;id_departament=14&amp;id_sesiune=2662045&amp;id_user=157&amp;id_institutie=33&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paragraph" w:styleId="Heading3">
    <w:name w:val="heading 3"/>
    <w:basedOn w:val="Normal"/>
    <w:next w:val="Normal"/>
    <w:qFormat/>
    <w:rsid w:val="00774BAA"/>
    <w:pPr>
      <w:keepNext/>
      <w:spacing w:before="240" w:after="60"/>
      <w:outlineLvl w:val="2"/>
    </w:pPr>
    <w:rPr>
      <w:rFonts w:ascii="Arial" w:hAnsi="Arial" w:cs="Arial"/>
      <w:b/>
      <w:bCs/>
      <w:sz w:val="26"/>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rsid w:val="00BB261C"/>
    <w:pPr>
      <w:spacing w:after="160" w:line="259" w:lineRule="auto"/>
      <w:ind w:left="720"/>
      <w:contextualSpacing/>
    </w:pPr>
    <w:rPr>
      <w:rFonts w:ascii="Calibri" w:eastAsia="Calibri" w:hAnsi="Calibri" w:cs="Times New Roman"/>
      <w:sz w:val="22"/>
      <w:szCs w:val="22"/>
      <w:lang w:eastAsia="en-US"/>
    </w:rPr>
  </w:style>
  <w:style w:type="paragraph" w:customStyle="1" w:styleId="CaracterCaracter1">
    <w:name w:val="Caracter Caracter1"/>
    <w:basedOn w:val="Normal"/>
    <w:rsid w:val="00BB261C"/>
    <w:rPr>
      <w:rFonts w:ascii="Arial" w:hAnsi="Arial" w:cs="Arial"/>
      <w:sz w:val="20"/>
      <w:szCs w:val="20"/>
      <w:lang w:val="pl-PL" w:eastAsia="pl-PL"/>
    </w:rPr>
  </w:style>
  <w:style w:type="paragraph" w:styleId="Footer">
    <w:name w:val="footer"/>
    <w:basedOn w:val="Normal"/>
    <w:link w:val="FooterChar"/>
    <w:uiPriority w:val="99"/>
    <w:rsid w:val="00BB261C"/>
    <w:pPr>
      <w:tabs>
        <w:tab w:val="center" w:pos="4320"/>
        <w:tab w:val="right" w:pos="8640"/>
      </w:tabs>
    </w:pPr>
  </w:style>
  <w:style w:type="character" w:customStyle="1" w:styleId="FooterChar">
    <w:name w:val="Footer Char"/>
    <w:link w:val="Footer"/>
    <w:uiPriority w:val="99"/>
    <w:rsid w:val="00BB261C"/>
    <w:rPr>
      <w:sz w:val="24"/>
      <w:szCs w:val="24"/>
    </w:rPr>
  </w:style>
  <w:style w:type="character" w:styleId="PageNumber">
    <w:name w:val="page number"/>
    <w:rsid w:val="00BB261C"/>
  </w:style>
  <w:style w:type="character" w:customStyle="1" w:styleId="FontStyle18">
    <w:name w:val="Font Style18"/>
    <w:rsid w:val="00BB261C"/>
    <w:rPr>
      <w:rFonts w:ascii="Georgia" w:hAnsi="Georgia" w:cs="Georgia"/>
      <w:b/>
      <w:bCs/>
      <w:i/>
      <w:iCs/>
      <w:sz w:val="22"/>
      <w:szCs w:val="22"/>
    </w:rPr>
  </w:style>
  <w:style w:type="character" w:customStyle="1" w:styleId="FontStyle19">
    <w:name w:val="Font Style19"/>
    <w:rsid w:val="00BB261C"/>
    <w:rPr>
      <w:rFonts w:ascii="Georgia" w:hAnsi="Georgia" w:cs="Georgia"/>
      <w:b/>
      <w:bCs/>
      <w:sz w:val="22"/>
      <w:szCs w:val="22"/>
    </w:rPr>
  </w:style>
  <w:style w:type="character" w:customStyle="1" w:styleId="FontStyle20">
    <w:name w:val="Font Style20"/>
    <w:rsid w:val="00BB261C"/>
    <w:rPr>
      <w:rFonts w:ascii="Georgia" w:hAnsi="Georgia" w:cs="Georgia"/>
      <w:i/>
      <w:iCs/>
      <w:sz w:val="22"/>
      <w:szCs w:val="22"/>
    </w:rPr>
  </w:style>
  <w:style w:type="character" w:customStyle="1" w:styleId="FontStyle21">
    <w:name w:val="Font Style21"/>
    <w:rsid w:val="00BB261C"/>
    <w:rPr>
      <w:rFonts w:ascii="Georgia" w:hAnsi="Georgia" w:cs="Georgia"/>
      <w:i/>
      <w:iCs/>
      <w:sz w:val="22"/>
      <w:szCs w:val="22"/>
    </w:rPr>
  </w:style>
  <w:style w:type="character" w:customStyle="1" w:styleId="FontStyle23">
    <w:name w:val="Font Style23"/>
    <w:rsid w:val="00BB261C"/>
    <w:rPr>
      <w:rFonts w:ascii="Georgia" w:hAnsi="Georgia" w:cs="Georgia"/>
      <w:sz w:val="22"/>
      <w:szCs w:val="22"/>
    </w:rPr>
  </w:style>
  <w:style w:type="character" w:customStyle="1" w:styleId="Fontdeparagrafimplicit1">
    <w:name w:val="Font de paragraf implicit1"/>
    <w:rsid w:val="00BB261C"/>
  </w:style>
  <w:style w:type="character" w:customStyle="1" w:styleId="FontStyle40">
    <w:name w:val="Font Style40"/>
    <w:rsid w:val="00BB261C"/>
    <w:rPr>
      <w:rFonts w:ascii="Times New Roman" w:hAnsi="Times New Roman" w:cs="Times New Roman"/>
      <w:sz w:val="22"/>
      <w:szCs w:val="22"/>
    </w:rPr>
  </w:style>
  <w:style w:type="character" w:customStyle="1" w:styleId="FontStyle42">
    <w:name w:val="Font Style42"/>
    <w:rsid w:val="00BB261C"/>
    <w:rPr>
      <w:rFonts w:ascii="Times New Roman" w:hAnsi="Times New Roman" w:cs="Times New Roman"/>
      <w:b/>
      <w:bCs/>
      <w:i/>
      <w:iCs/>
      <w:sz w:val="22"/>
      <w:szCs w:val="22"/>
    </w:rPr>
  </w:style>
  <w:style w:type="paragraph" w:styleId="Header">
    <w:name w:val="header"/>
    <w:basedOn w:val="Normal"/>
    <w:link w:val="HeaderChar"/>
    <w:rsid w:val="00BB261C"/>
    <w:pPr>
      <w:tabs>
        <w:tab w:val="center" w:pos="4536"/>
        <w:tab w:val="right" w:pos="9072"/>
      </w:tabs>
    </w:pPr>
  </w:style>
  <w:style w:type="character" w:customStyle="1" w:styleId="HeaderChar">
    <w:name w:val="Header Char"/>
    <w:link w:val="Header"/>
    <w:rsid w:val="00BB261C"/>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52</ap:TotalTime>
  <ap:Pages>7</ap:Pages>
  <ap:Words>4178</ap:Words>
  <ap:Characters>23818</ap:Characters>
  <ap:Application>Microsoft Office Word</ap:Application>
  <ap:DocSecurity>0</ap:DocSecurity>
  <ap:Lines>198</ap:Lines>
  <ap:Paragraphs>55</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27941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