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5.0 -->
  <w:body>
    <w:p w:rsidRPr="009F0BF5" w:rsidR="003D3D74" w14:paraId="0822CE9C" w14:textId="77777777">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R O M Â N I A</w:t>
      </w:r>
    </w:p>
    <w:p w:rsidRPr="009F0BF5" w:rsidR="003D3D74" w14:paraId="3A5CEF9E" w14:textId="6636B57C">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CURTEA DE APEL </w:t>
      </w:r>
      <w:r>
        <w:rPr>
          <w:rStyle w:val="Fontdeparagrafimplicit"/>
          <w:rFonts w:ascii="Bookman Old Style" w:hAnsi="Bookman Old Style"/>
          <w:lang w:val="pt-PT"/>
        </w:rPr>
        <w:t xml:space="preserve">......... </w:t>
      </w:r>
    </w:p>
    <w:p w:rsidRPr="009F0BF5" w:rsidR="003D3D74" w14:paraId="1A615C0A" w14:textId="01665903">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Secţia </w:t>
      </w:r>
      <w:r>
        <w:rPr>
          <w:rStyle w:val="Fontdeparagrafimplicit"/>
          <w:rFonts w:ascii="Bookman Old Style" w:hAnsi="Bookman Old Style"/>
          <w:lang w:val="pt-PT"/>
        </w:rPr>
        <w:t xml:space="preserve">......... </w:t>
      </w:r>
    </w:p>
    <w:p w:rsidRPr="009F0BF5" w:rsidR="003D3D74" w14:paraId="2414A4BB" w14:textId="77777777">
      <w:pPr>
        <w:jc w:val="center"/>
        <w:rPr>
          <w:rStyle w:val="Fontdeparagrafimplicit"/>
          <w:rFonts w:ascii="Bookman Old Style" w:hAnsi="Bookman Old Style"/>
          <w:lang w:val="pt-PT"/>
        </w:rPr>
      </w:pPr>
    </w:p>
    <w:p w:rsidRPr="009F0BF5" w:rsidR="003D3D74" w14:paraId="47005D25" w14:textId="450A5BC9">
      <w:pPr>
        <w:rPr>
          <w:rStyle w:val="Fontdeparagrafimplicit"/>
          <w:rFonts w:ascii="Bookman Old Style" w:hAnsi="Bookman Old Style"/>
          <w:b/>
          <w:lang w:val="pt-PT"/>
        </w:rPr>
      </w:pPr>
      <w:r w:rsidRPr="009F0BF5">
        <w:rPr>
          <w:rStyle w:val="Fontdeparagrafimplicit"/>
          <w:rFonts w:ascii="Bookman Old Style" w:hAnsi="Bookman Old Style"/>
          <w:lang w:val="pt-PT"/>
        </w:rPr>
        <w:t xml:space="preserve">       Dosar nr. </w:t>
      </w:r>
      <w:r>
        <w:rPr>
          <w:rStyle w:val="Fontdeparagrafimplicit"/>
          <w:rFonts w:ascii="Bookman Old Style" w:hAnsi="Bookman Old Style"/>
          <w:lang w:val="pt-PT"/>
        </w:rPr>
        <w:t>24</w:t>
      </w:r>
    </w:p>
    <w:p w:rsidRPr="009F0BF5" w:rsidR="003D3D74" w14:paraId="74022BA8" w14:textId="77777777">
      <w:pPr>
        <w:ind w:left="2832"/>
        <w:rPr>
          <w:rStyle w:val="Fontdeparagrafimplicit"/>
          <w:rFonts w:ascii="Bookman Old Style" w:hAnsi="Bookman Old Style"/>
          <w:b/>
          <w:lang w:val="pt-PT"/>
        </w:rPr>
      </w:pPr>
    </w:p>
    <w:p w:rsidRPr="009F0BF5" w:rsidR="003D3D74" w14:paraId="1251B65C" w14:textId="1EA3F787">
      <w:pPr>
        <w:ind w:left="2124"/>
        <w:rPr>
          <w:rStyle w:val="Fontdeparagrafimplicit"/>
          <w:rFonts w:ascii="Bookman Old Style" w:hAnsi="Bookman Old Style"/>
          <w:lang w:val="pt-PT"/>
        </w:rPr>
      </w:pPr>
      <w:r w:rsidRPr="009F0BF5">
        <w:rPr>
          <w:rStyle w:val="Fontdeparagrafimplicit"/>
          <w:rFonts w:ascii="Bookman Old Style" w:hAnsi="Bookman Old Style"/>
          <w:b/>
          <w:lang w:val="pt-PT"/>
        </w:rPr>
        <w:t xml:space="preserve">   DECIZIA CIVILĂ Nr. </w:t>
      </w:r>
      <w:r>
        <w:rPr>
          <w:rStyle w:val="Fontdeparagrafimplicit"/>
          <w:rFonts w:ascii="Bookman Old Style" w:hAnsi="Bookman Old Style"/>
          <w:b/>
          <w:lang w:val="pt-PT"/>
        </w:rPr>
        <w:t>24</w:t>
      </w:r>
    </w:p>
    <w:p w:rsidRPr="009F0BF5" w:rsidR="003D3D74" w14:paraId="63CD914E" w14:textId="505482AA">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Şedinţa publică din data de </w:t>
      </w:r>
      <w:r>
        <w:rPr>
          <w:rStyle w:val="Fontdeparagrafimplicit"/>
          <w:rFonts w:ascii="Bookman Old Style" w:hAnsi="Bookman Old Style"/>
          <w:lang w:val="pt-PT"/>
        </w:rPr>
        <w:t xml:space="preserve">............ </w:t>
      </w:r>
    </w:p>
    <w:p w:rsidRPr="009F0BF5" w:rsidR="003D3D74" w14:paraId="604C4BC7" w14:textId="77777777">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Instanţa constituită din:</w:t>
      </w:r>
    </w:p>
    <w:p w:rsidRPr="009F0BF5" w:rsidR="003D3D74" w14:paraId="6A040774" w14:textId="0F6F8D40">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PREŞEDINTE: </w:t>
      </w:r>
      <w:r>
        <w:rPr>
          <w:rStyle w:val="Fontdeparagrafimplicit"/>
          <w:rFonts w:ascii="Bookman Old Style" w:hAnsi="Bookman Old Style"/>
          <w:lang w:val="pt-PT"/>
        </w:rPr>
        <w:t>A0019</w:t>
      </w:r>
    </w:p>
    <w:p w:rsidRPr="009F0BF5" w:rsidR="003D3D74" w14:paraId="379ED824" w14:textId="395D213A">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JUDECĂTOR: </w:t>
      </w:r>
      <w:r>
        <w:rPr>
          <w:rStyle w:val="Fontdeparagrafimplicit"/>
          <w:rFonts w:ascii="Bookman Old Style" w:hAnsi="Bookman Old Style"/>
          <w:lang w:val="pt-PT"/>
        </w:rPr>
        <w:t xml:space="preserve">................ </w:t>
      </w:r>
    </w:p>
    <w:p w:rsidRPr="009F0BF5" w:rsidR="003D3D74" w14:paraId="63D69F3D" w14:textId="5AF81EC6">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JUDECĂTOR: </w:t>
      </w:r>
      <w:r>
        <w:rPr>
          <w:rStyle w:val="Fontdeparagrafimplicit"/>
          <w:rFonts w:ascii="Bookman Old Style" w:hAnsi="Bookman Old Style"/>
          <w:lang w:val="pt-PT"/>
        </w:rPr>
        <w:t xml:space="preserve">................ </w:t>
      </w:r>
    </w:p>
    <w:p w:rsidRPr="009F0BF5" w:rsidR="003D3D74" w14:paraId="3BA7CFE9" w14:textId="49DFBDB1">
      <w:pPr>
        <w:jc w:val="center"/>
        <w:rPr>
          <w:rStyle w:val="Fontdeparagrafimplicit"/>
          <w:rFonts w:ascii="Bookman Old Style" w:hAnsi="Bookman Old Style"/>
          <w:lang w:val="pt-PT"/>
        </w:rPr>
      </w:pPr>
      <w:r w:rsidRPr="009F0BF5">
        <w:rPr>
          <w:rStyle w:val="Fontdeparagrafimplicit"/>
          <w:rFonts w:ascii="Bookman Old Style" w:hAnsi="Bookman Old Style"/>
          <w:lang w:val="pt-PT"/>
        </w:rPr>
        <w:t xml:space="preserve">GREFIER: </w:t>
      </w:r>
      <w:r>
        <w:rPr>
          <w:rStyle w:val="Fontdeparagrafimplicit"/>
          <w:rFonts w:ascii="Bookman Old Style" w:hAnsi="Bookman Old Style"/>
          <w:lang w:val="pt-PT"/>
        </w:rPr>
        <w:t xml:space="preserve">................ </w:t>
      </w:r>
    </w:p>
    <w:p w:rsidRPr="009F0BF5" w:rsidR="003D3D74" w14:paraId="2FDFF4F0" w14:textId="77777777">
      <w:pPr>
        <w:jc w:val="center"/>
        <w:rPr>
          <w:rStyle w:val="Fontdeparagrafimplicit"/>
          <w:rFonts w:ascii="Bookman Old Style" w:hAnsi="Bookman Old Style"/>
          <w:lang w:val="pt-PT"/>
        </w:rPr>
      </w:pPr>
    </w:p>
    <w:p w:rsidRPr="009F0BF5" w:rsidR="003D3D74" w14:paraId="3DC4661E" w14:textId="76BEDF34">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S-a luat în examinare recursul declarat de pârâţii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CONSILIUL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împotriva sentinţei civile nr.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din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a Tribunalului </w:t>
      </w:r>
      <w:r>
        <w:rPr>
          <w:rStyle w:val="Fontdeparagrafimplicit"/>
          <w:rFonts w:ascii="Bookman Old Style" w:hAnsi="Bookman Old Style"/>
          <w:lang w:val="pt-PT"/>
        </w:rPr>
        <w:t xml:space="preserve">M........... </w:t>
      </w:r>
      <w:r w:rsidRPr="009F0BF5">
        <w:rPr>
          <w:rStyle w:val="Fontdeparagrafimplicit"/>
          <w:rFonts w:ascii="Bookman Old Style" w:hAnsi="Bookman Old Style"/>
          <w:lang w:val="pt-PT"/>
        </w:rPr>
        <w:t xml:space="preserve">pronunţate în dosar nr. </w:t>
      </w:r>
      <w:r>
        <w:rPr>
          <w:rStyle w:val="Fontdeparagrafimplicit"/>
          <w:rFonts w:ascii="Bookman Old Style" w:hAnsi="Bookman Old Style"/>
          <w:lang w:val="pt-PT"/>
        </w:rPr>
        <w:t>24</w:t>
      </w:r>
      <w:r w:rsidRPr="009F0BF5">
        <w:rPr>
          <w:rStyle w:val="Fontdeparagrafimplicit"/>
          <w:rFonts w:ascii="Bookman Old Style" w:hAnsi="Bookman Old Style"/>
          <w:lang w:val="pt-PT"/>
        </w:rPr>
        <w:t xml:space="preserve"> privind şi pe intimatul reclamant SINDICATUL LIBER DIN ÎNVĂŢĂMÂNT </w:t>
      </w:r>
      <w:r>
        <w:rPr>
          <w:rStyle w:val="Fontdeparagrafimplicit"/>
          <w:rFonts w:ascii="Bookman Old Style" w:hAnsi="Bookman Old Style"/>
          <w:lang w:val="pt-PT"/>
        </w:rPr>
        <w:t xml:space="preserve">M........... </w:t>
      </w:r>
      <w:r w:rsidRPr="009F0BF5">
        <w:rPr>
          <w:rStyle w:val="Fontdeparagrafimplicit"/>
          <w:rFonts w:ascii="Bookman Old Style" w:hAnsi="Bookman Old Style"/>
          <w:lang w:val="pt-PT"/>
        </w:rPr>
        <w:t xml:space="preserve">precum şi pe intimata pârâtă GRĂDINIŢA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având ca obiect calcul drepturi salariale.</w:t>
      </w:r>
    </w:p>
    <w:p w:rsidRPr="009F0BF5" w:rsidR="003D3D74" w14:paraId="328E58F4"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La apelul nominal făcut în şedinţă publică se constată lipsa părţilor de la dezbateri.</w:t>
      </w:r>
    </w:p>
    <w:p w:rsidRPr="009F0BF5" w:rsidR="003D3D74" w14:paraId="19F74A21"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Procedura de citare este realizată.</w:t>
      </w:r>
    </w:p>
    <w:p w:rsidRPr="009F0BF5" w:rsidR="003D3D74" w14:paraId="3EE3A463"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Recursurile sunt declarate în termen legal, au fost comunicat intimaţilor şi sunt scutite de plata taxei judiciare de timbru şi a timbrului judiciar.</w:t>
      </w:r>
    </w:p>
    <w:p w:rsidRPr="009F0BF5" w:rsidR="003D3D74" w14:paraId="3E263FFC"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S-a făcut referatul cauzei, după Curtea apreciază că prezenta cauză se află în stare de judecată şi, având în vedere şi solicitarea recurenţilor din memoriile de recurs, de judecată în lipsă, o reţine în pronunţare în baza actelor aflate la dosar.</w:t>
      </w:r>
    </w:p>
    <w:p w:rsidRPr="009F0BF5" w:rsidR="003D3D74" w14:paraId="5C716E1A" w14:textId="77777777">
      <w:pPr>
        <w:ind w:firstLine="708"/>
        <w:jc w:val="both"/>
        <w:rPr>
          <w:rStyle w:val="Fontdeparagrafimplicit"/>
          <w:rFonts w:ascii="Bookman Old Style" w:hAnsi="Bookman Old Style"/>
          <w:lang w:val="pt-PT"/>
        </w:rPr>
      </w:pPr>
    </w:p>
    <w:p w:rsidRPr="009F0BF5" w:rsidR="003D3D74" w14:paraId="0699C732" w14:textId="77777777">
      <w:pPr>
        <w:ind w:firstLine="708"/>
        <w:jc w:val="center"/>
        <w:rPr>
          <w:rStyle w:val="Fontdeparagrafimplicit"/>
          <w:rFonts w:ascii="Bookman Old Style" w:hAnsi="Bookman Old Style"/>
          <w:lang w:val="pt-PT"/>
        </w:rPr>
      </w:pPr>
      <w:r w:rsidRPr="009F0BF5">
        <w:rPr>
          <w:rStyle w:val="Fontdeparagrafimplicit"/>
          <w:rFonts w:ascii="Bookman Old Style" w:hAnsi="Bookman Old Style"/>
          <w:lang w:val="pt-PT"/>
        </w:rPr>
        <w:t>C U R T E A</w:t>
      </w:r>
    </w:p>
    <w:p w:rsidRPr="009F0BF5" w:rsidR="003D3D74" w14:paraId="547B8448" w14:textId="77777777">
      <w:pPr>
        <w:ind w:firstLine="708"/>
        <w:jc w:val="center"/>
        <w:rPr>
          <w:rStyle w:val="Fontdeparagrafimplicit"/>
          <w:rFonts w:ascii="Bookman Old Style" w:hAnsi="Bookman Old Style"/>
          <w:lang w:val="pt-PT"/>
        </w:rPr>
      </w:pPr>
    </w:p>
    <w:p w:rsidRPr="009F0BF5" w:rsidR="003D3D74" w14:paraId="218EA410" w14:textId="2DB5CFC9">
      <w:pPr>
        <w:ind w:firstLine="708"/>
        <w:jc w:val="both"/>
        <w:rPr>
          <w:rStyle w:val="Fontdeparagrafimplicit"/>
          <w:rFonts w:ascii="Bookman Old Style" w:hAnsi="Bookman Old Style"/>
          <w:lang w:val="pt-PT"/>
        </w:rPr>
      </w:pPr>
      <w:r w:rsidRPr="009F0BF5">
        <w:rPr>
          <w:rStyle w:val="Fontdeparagrafimplicit"/>
          <w:rFonts w:ascii="Bookman Old Style" w:hAnsi="Bookman Old Style"/>
          <w:i/>
          <w:lang w:val="pt-PT"/>
        </w:rPr>
        <w:t xml:space="preserve">Prin sentinţa civilă nr. </w:t>
      </w:r>
      <w:r>
        <w:rPr>
          <w:rStyle w:val="Fontdeparagrafimplicit"/>
          <w:rFonts w:ascii="Bookman Old Style" w:hAnsi="Bookman Old Style"/>
          <w:i/>
          <w:lang w:val="pt-PT"/>
        </w:rPr>
        <w:t xml:space="preserve">......... </w:t>
      </w:r>
      <w:r w:rsidRPr="009F0BF5">
        <w:rPr>
          <w:rStyle w:val="Fontdeparagrafimplicit"/>
          <w:rFonts w:ascii="Bookman Old Style" w:hAnsi="Bookman Old Style"/>
          <w:i/>
          <w:lang w:val="pt-PT"/>
        </w:rPr>
        <w:t xml:space="preserve">din </w:t>
      </w:r>
      <w:r>
        <w:rPr>
          <w:rStyle w:val="Fontdeparagrafimplicit"/>
          <w:rFonts w:ascii="Bookman Old Style" w:hAnsi="Bookman Old Style"/>
          <w:i/>
          <w:lang w:val="pt-PT"/>
        </w:rPr>
        <w:t xml:space="preserve">........... </w:t>
      </w:r>
      <w:r w:rsidRPr="009F0BF5">
        <w:rPr>
          <w:rStyle w:val="Fontdeparagrafimplicit"/>
          <w:rFonts w:ascii="Bookman Old Style" w:hAnsi="Bookman Old Style"/>
          <w:i/>
          <w:lang w:val="pt-PT"/>
        </w:rPr>
        <w:t xml:space="preserve">pronunţată în dosarul nr. </w:t>
      </w:r>
      <w:r>
        <w:rPr>
          <w:rStyle w:val="Fontdeparagrafimplicit"/>
          <w:rFonts w:ascii="Bookman Old Style" w:hAnsi="Bookman Old Style"/>
          <w:i/>
          <w:lang w:val="pt-PT"/>
        </w:rPr>
        <w:t>24</w:t>
      </w:r>
      <w:r w:rsidRPr="009F0BF5">
        <w:rPr>
          <w:rStyle w:val="Fontdeparagrafimplicit"/>
          <w:rFonts w:ascii="Bookman Old Style" w:hAnsi="Bookman Old Style"/>
          <w:i/>
          <w:lang w:val="pt-PT"/>
        </w:rPr>
        <w:t xml:space="preserve"> al Tribunalului </w:t>
      </w:r>
      <w:r>
        <w:rPr>
          <w:rStyle w:val="Fontdeparagrafimplicit"/>
          <w:rFonts w:ascii="Bookman Old Style" w:hAnsi="Bookman Old Style"/>
          <w:i/>
          <w:lang w:val="pt-PT"/>
        </w:rPr>
        <w:t xml:space="preserve">M........... </w:t>
      </w:r>
      <w:r w:rsidRPr="009F0BF5">
        <w:rPr>
          <w:rStyle w:val="Fontdeparagrafimplicit"/>
          <w:rFonts w:ascii="Bookman Old Style" w:hAnsi="Bookman Old Style"/>
          <w:lang w:val="pt-PT"/>
        </w:rPr>
        <w:t xml:space="preserve">s-au respins excepţiile lipsei capacităţii şi calităţii procesuale pasive a pârâţilor Consiliul </w:t>
      </w:r>
      <w:r>
        <w:rPr>
          <w:rStyle w:val="Fontdeparagrafimplicit"/>
          <w:rFonts w:ascii="Bookman Old Style" w:hAnsi="Bookman Old Style"/>
          <w:lang w:val="pt-PT"/>
        </w:rPr>
        <w:t>L</w:t>
      </w:r>
      <w:r w:rsidRPr="009F0BF5">
        <w:rPr>
          <w:rStyle w:val="Fontdeparagrafimplicit"/>
          <w:rFonts w:ascii="Bookman Old Style" w:hAnsi="Bookman Old Style"/>
          <w:lang w:val="pt-PT"/>
        </w:rPr>
        <w:t xml:space="preserve">ocal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Primarul </w:t>
      </w:r>
      <w:r>
        <w:rPr>
          <w:rStyle w:val="Fontdeparagrafimplicit"/>
          <w:rFonts w:ascii="Bookman Old Style" w:hAnsi="Bookman Old Style"/>
          <w:lang w:val="pt-PT"/>
        </w:rPr>
        <w:t>M</w:t>
      </w:r>
      <w:r w:rsidRPr="009F0BF5">
        <w:rPr>
          <w:rStyle w:val="Fontdeparagrafimplicit"/>
          <w:rFonts w:ascii="Bookman Old Style" w:hAnsi="Bookman Old Style"/>
          <w:lang w:val="pt-PT"/>
        </w:rPr>
        <w:t xml:space="preserve">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invocate de aceştia prin întâmpinare.</w:t>
      </w:r>
    </w:p>
    <w:p w:rsidRPr="009F0BF5" w:rsidR="003D3D74" w14:paraId="7838AE7C" w14:textId="0FF314DB">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S-a admis acţiunea formulată de reclamantul Sindicatul Liber din Învăţământ </w:t>
      </w:r>
      <w:r>
        <w:rPr>
          <w:rStyle w:val="Fontdeparagrafimplicit"/>
          <w:rFonts w:ascii="Bookman Old Style" w:hAnsi="Bookman Old Style"/>
          <w:lang w:val="pt-PT"/>
        </w:rPr>
        <w:t xml:space="preserve">M........... </w:t>
      </w:r>
      <w:r w:rsidRPr="009F0BF5">
        <w:rPr>
          <w:rStyle w:val="Fontdeparagrafimplicit"/>
          <w:rFonts w:ascii="Bookman Old Style" w:hAnsi="Bookman Old Style"/>
          <w:lang w:val="pt-PT"/>
        </w:rPr>
        <w:t xml:space="preserve">, în contradictoriu cu pârâţii Grădiniţa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w:t>
      </w:r>
      <w:r w:rsidRPr="009F0BF5">
        <w:rPr>
          <w:rStyle w:val="Fontdeparagrafimplicit"/>
          <w:rFonts w:ascii="Bookman Old Style" w:hAnsi="Bookman Old Style"/>
          <w:b/>
          <w:lang w:val="pt-PT"/>
        </w:rPr>
        <w:t xml:space="preserve"> </w:t>
      </w:r>
      <w:r w:rsidRPr="009F0BF5">
        <w:rPr>
          <w:rStyle w:val="Fontdeparagrafimplicit"/>
          <w:rFonts w:ascii="Bookman Old Style" w:hAnsi="Bookman Old Style"/>
          <w:lang w:val="pt-PT"/>
        </w:rPr>
        <w:t xml:space="preserve">Consiliul local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w:t>
      </w:r>
    </w:p>
    <w:p w:rsidRPr="009F0BF5" w:rsidR="003D3D74" w14:paraId="318ABF7D" w14:textId="31D84D41">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Pârâta Grădiniţa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a fost obligată să calculeze şi să plătească membrilor de sindicat </w:t>
      </w:r>
      <w:r>
        <w:rPr>
          <w:rStyle w:val="Fontdeparagrafimplicit"/>
          <w:rFonts w:ascii="Bookman Old Style" w:hAnsi="Bookman Old Style"/>
          <w:lang w:val="pt-PT"/>
        </w:rPr>
        <w:t xml:space="preserve">1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2</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3</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4</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5</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6</w:t>
      </w:r>
      <w:r w:rsidRPr="009F0BF5">
        <w:rPr>
          <w:rStyle w:val="Fontdeparagrafimplicit"/>
          <w:rFonts w:ascii="Bookman Old Style" w:hAnsi="Bookman Old Style"/>
          <w:lang w:val="pt-PT"/>
        </w:rPr>
        <w:t xml:space="preserve">, diferenţele salariale rezultate din neaplicarea prevederilor legale privind reducerea normei didactice cu 2 ore săptămânal pentru cadrele didactice cu peste 25 ani vechime în învăţământ şi gradul didactic I, respectiv plata a 2 ore pe săptămână, în regim de plata cu ora, pentru perioada 01.11.2009 -01.02.2010, actualizate cu indicele de inflaţie la data plăţii efective. </w:t>
      </w:r>
    </w:p>
    <w:p w:rsidRPr="009F0BF5" w:rsidR="003D3D74" w14:paraId="32E0DC61" w14:textId="5DF67DB1">
      <w:pPr>
        <w:ind w:firstLine="708"/>
        <w:jc w:val="both"/>
        <w:rPr>
          <w:rStyle w:val="Fontdeparagrafimplicit"/>
          <w:rFonts w:ascii="Bookman Old Style" w:hAnsi="Bookman Old Style"/>
          <w:i/>
          <w:lang w:val="pt-PT"/>
        </w:rPr>
      </w:pPr>
      <w:r w:rsidRPr="009F0BF5">
        <w:rPr>
          <w:rStyle w:val="Fontdeparagrafimplicit"/>
          <w:rFonts w:ascii="Bookman Old Style" w:hAnsi="Bookman Old Style"/>
          <w:lang w:val="pt-PT"/>
        </w:rPr>
        <w:t xml:space="preserve">Pârâţii Consiliul Local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au fost obligaţi să aloce unităţii de învăţământ pârâte a cărei finanţare au obligaţia de a o susţine sumele necesare pentru plata drepturilor salariale mai sus menţionate.</w:t>
      </w:r>
    </w:p>
    <w:p w:rsidRPr="009F0BF5" w:rsidR="003D3D74" w14:paraId="77733107" w14:textId="6999E749">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Pentru a hotărî astfel prima instanţă a reţinut </w:t>
      </w:r>
      <w:r w:rsidRPr="009F0BF5">
        <w:rPr>
          <w:rStyle w:val="Fontdeparagrafimplicit"/>
          <w:rFonts w:ascii="Bookman Old Style" w:hAnsi="Bookman Old Style"/>
          <w:b/>
          <w:lang w:val="pt-PT"/>
        </w:rPr>
        <w:t xml:space="preserve">în ceea ce priveşte excepţia lipsei calităţii procesuale pasive a pârâţilor Primarul municipiului </w:t>
      </w:r>
      <w:r>
        <w:rPr>
          <w:rStyle w:val="Fontdeparagrafimplicit"/>
          <w:rFonts w:ascii="Bookman Old Style" w:hAnsi="Bookman Old Style"/>
          <w:b/>
          <w:lang w:val="pt-PT"/>
        </w:rPr>
        <w:t xml:space="preserve">B............ </w:t>
      </w:r>
      <w:r w:rsidRPr="009F0BF5">
        <w:rPr>
          <w:rStyle w:val="Fontdeparagrafimplicit"/>
          <w:rFonts w:ascii="Bookman Old Style" w:hAnsi="Bookman Old Style"/>
          <w:b/>
          <w:lang w:val="pt-PT"/>
        </w:rPr>
        <w:t xml:space="preserve">şi Consiliul local </w:t>
      </w:r>
      <w:r>
        <w:rPr>
          <w:rStyle w:val="Fontdeparagrafimplicit"/>
          <w:rFonts w:ascii="Bookman Old Style" w:hAnsi="Bookman Old Style"/>
          <w:b/>
          <w:lang w:val="pt-PT"/>
        </w:rPr>
        <w:t xml:space="preserve">B.......... </w:t>
      </w:r>
      <w:r w:rsidRPr="009F0BF5">
        <w:rPr>
          <w:rStyle w:val="Fontdeparagrafimplicit"/>
          <w:rFonts w:ascii="Bookman Old Style" w:hAnsi="Bookman Old Style"/>
          <w:lang w:val="pt-PT"/>
        </w:rPr>
        <w:t xml:space="preserve">, că finanţarea unităţilor de învăţământ preuniversitar de stat, respectiv finanţarea de bază ce interesează în speţă, se </w:t>
      </w:r>
      <w:r w:rsidRPr="009F0BF5">
        <w:rPr>
          <w:rStyle w:val="Fontdeparagrafimplicit"/>
          <w:rFonts w:ascii="Bookman Old Style" w:hAnsi="Bookman Old Style"/>
          <w:lang w:val="pt-PT"/>
        </w:rPr>
        <w:t xml:space="preserve">asigură prin bugetele locale ale unităţilor administrativ-teritoriale de care aparţin unităţile de învăţământ, din sumele defalcate din venituri ale bugetului de stat şi din alte venituri ale bugetului local, primarul are calitatea de ordonator principal de credite, instanţa a apreciat că legitimitatea procesuală pasivă a pârâtului Primarul oraşului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este conferită de art. 21 din Legea nr. 273/2006 privind finanţele publice locale, art. 4 din OUG 22/2002 coroborate cu art. 167 din Legea nr. 84/1995, iar potrivit art. 167 din Legea 84/95 Consiliul local este finanţatorul unităţilor de învăţământ ca atare excepţia lipsei calităţii procesuale pasive invocată de pârâţii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Consiliul local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a fost respinsă ca neîntemeiată.</w:t>
      </w:r>
    </w:p>
    <w:p w:rsidRPr="009F0BF5" w:rsidR="003D3D74" w14:paraId="192CD7CD" w14:textId="47B44009">
      <w:pPr>
        <w:ind w:firstLine="708"/>
        <w:jc w:val="both"/>
        <w:rPr>
          <w:rStyle w:val="Fontdeparagrafimplicit"/>
          <w:rFonts w:ascii="Bookman Old Style" w:hAnsi="Bookman Old Style"/>
          <w:lang w:val="pt-PT"/>
        </w:rPr>
      </w:pPr>
      <w:r w:rsidRPr="009F0BF5">
        <w:rPr>
          <w:rStyle w:val="Fontdeparagrafimplicit"/>
          <w:rFonts w:ascii="Bookman Old Style" w:hAnsi="Bookman Old Style"/>
          <w:b/>
          <w:lang w:val="pt-PT"/>
        </w:rPr>
        <w:t xml:space="preserve">Cu privire la excepţia lipsei capacităţii procesuale pasive invocată de Primarul municipiului </w:t>
      </w:r>
      <w:r>
        <w:rPr>
          <w:rStyle w:val="Fontdeparagrafimplicit"/>
          <w:rFonts w:ascii="Bookman Old Style" w:hAnsi="Bookman Old Style"/>
          <w:b/>
          <w:lang w:val="pt-PT"/>
        </w:rPr>
        <w:t xml:space="preserve">B............ </w:t>
      </w:r>
      <w:r w:rsidRPr="009F0BF5">
        <w:rPr>
          <w:rStyle w:val="Fontdeparagrafimplicit"/>
          <w:rFonts w:ascii="Bookman Old Style" w:hAnsi="Bookman Old Style"/>
          <w:b/>
          <w:lang w:val="en-US"/>
        </w:rPr>
        <w:t>şi</w:t>
      </w:r>
      <w:r w:rsidRPr="009F0BF5">
        <w:rPr>
          <w:rStyle w:val="Fontdeparagrafimplicit"/>
          <w:rFonts w:ascii="Bookman Old Style" w:hAnsi="Bookman Old Style"/>
          <w:b/>
          <w:lang w:val="en-US"/>
        </w:rPr>
        <w:t xml:space="preserve"> </w:t>
      </w:r>
      <w:r w:rsidRPr="009F0BF5">
        <w:rPr>
          <w:rStyle w:val="Fontdeparagrafimplicit"/>
          <w:rFonts w:ascii="Bookman Old Style" w:hAnsi="Bookman Old Style"/>
          <w:b/>
          <w:lang w:val="en-US"/>
        </w:rPr>
        <w:t>Consiliul</w:t>
      </w:r>
      <w:r w:rsidRPr="009F0BF5">
        <w:rPr>
          <w:rStyle w:val="Fontdeparagrafimplicit"/>
          <w:rFonts w:ascii="Bookman Old Style" w:hAnsi="Bookman Old Style"/>
          <w:b/>
          <w:lang w:val="en-US"/>
        </w:rPr>
        <w:t xml:space="preserve"> local B............ </w:t>
      </w:r>
      <w:r w:rsidRPr="009F0BF5">
        <w:rPr>
          <w:rStyle w:val="Fontdeparagrafimplicit"/>
          <w:rFonts w:ascii="Bookman Old Style" w:hAnsi="Bookman Old Style"/>
          <w:lang w:val="en-US"/>
        </w:rPr>
        <w:t>instanţa</w:t>
      </w:r>
      <w:r w:rsidRPr="009F0BF5">
        <w:rPr>
          <w:rStyle w:val="Fontdeparagrafimplicit"/>
          <w:rFonts w:ascii="Bookman Old Style" w:hAnsi="Bookman Old Style"/>
          <w:lang w:val="en-US"/>
        </w:rPr>
        <w:t xml:space="preserve"> a </w:t>
      </w:r>
      <w:r w:rsidRPr="009F0BF5">
        <w:rPr>
          <w:rStyle w:val="Fontdeparagrafimplicit"/>
          <w:rFonts w:ascii="Bookman Old Style" w:hAnsi="Bookman Old Style"/>
          <w:lang w:val="en-US"/>
        </w:rPr>
        <w:t>reţinut</w:t>
      </w:r>
      <w:r w:rsidRPr="009F0BF5">
        <w:rPr>
          <w:rStyle w:val="Fontdeparagrafimplicit"/>
          <w:rFonts w:ascii="Bookman Old Style" w:hAnsi="Bookman Old Style"/>
          <w:lang w:val="en-US"/>
        </w:rPr>
        <w:t xml:space="preserve"> </w:t>
      </w:r>
      <w:r w:rsidRPr="009F0BF5">
        <w:rPr>
          <w:rStyle w:val="Fontdeparagrafimplicit"/>
          <w:rFonts w:ascii="Bookman Old Style" w:hAnsi="Bookman Old Style"/>
          <w:lang w:val="en-US"/>
        </w:rPr>
        <w:t>că</w:t>
      </w:r>
      <w:r w:rsidRPr="009F0BF5">
        <w:rPr>
          <w:rStyle w:val="Fontdeparagrafimplicit"/>
          <w:rFonts w:ascii="Bookman Old Style" w:hAnsi="Bookman Old Style"/>
          <w:lang w:val="en-US"/>
        </w:rPr>
        <w:t xml:space="preserve"> </w:t>
      </w:r>
      <w:r w:rsidRPr="009F0BF5">
        <w:rPr>
          <w:rStyle w:val="Fontdeparagrafimplicit"/>
          <w:rFonts w:ascii="Bookman Old Style" w:hAnsi="Bookman Old Style"/>
          <w:lang w:val="en-US"/>
        </w:rPr>
        <w:t>potrivit</w:t>
      </w:r>
      <w:r w:rsidRPr="009F0BF5">
        <w:rPr>
          <w:rStyle w:val="Fontdeparagrafimplicit"/>
          <w:rFonts w:ascii="Bookman Old Style" w:hAnsi="Bookman Old Style"/>
          <w:lang w:val="en-US"/>
        </w:rPr>
        <w:t xml:space="preserve"> art. 41 </w:t>
      </w:r>
      <w:r w:rsidRPr="009F0BF5">
        <w:rPr>
          <w:rStyle w:val="Fontdeparagrafimplicit"/>
          <w:rFonts w:ascii="Bookman Old Style" w:hAnsi="Bookman Old Style"/>
          <w:lang w:val="en-US"/>
        </w:rPr>
        <w:t>alin</w:t>
      </w:r>
      <w:r w:rsidRPr="009F0BF5">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 xml:space="preserve">1 Cod </w:t>
      </w:r>
      <w:r w:rsidRPr="006E1BCB">
        <w:rPr>
          <w:rStyle w:val="Fontdeparagrafimplicit"/>
          <w:rFonts w:ascii="Bookman Old Style" w:hAnsi="Bookman Old Style"/>
          <w:lang w:val="en-US"/>
        </w:rPr>
        <w:t>procedură</w:t>
      </w:r>
      <w:r w:rsidRPr="006E1BCB">
        <w:rPr>
          <w:rStyle w:val="Fontdeparagrafimplicit"/>
          <w:rFonts w:ascii="Bookman Old Style" w:hAnsi="Bookman Old Style"/>
          <w:lang w:val="en-US"/>
        </w:rPr>
        <w:t xml:space="preserve"> civilă „</w:t>
      </w:r>
      <w:r w:rsidRPr="006E1BCB">
        <w:rPr>
          <w:rStyle w:val="Fontdeparagrafimplicit"/>
          <w:rFonts w:ascii="Bookman Old Style" w:hAnsi="Bookman Old Style"/>
          <w:lang w:val="en-US"/>
        </w:rPr>
        <w:t>orice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persoană</w:t>
      </w:r>
      <w:r w:rsidRPr="006E1BCB">
        <w:rPr>
          <w:rStyle w:val="Fontdeparagrafimplicit"/>
          <w:rFonts w:ascii="Bookman Old Style" w:hAnsi="Bookman Old Style"/>
          <w:lang w:val="en-US"/>
        </w:rPr>
        <w:t xml:space="preserve"> care are </w:t>
      </w:r>
      <w:r w:rsidRPr="006E1BCB">
        <w:rPr>
          <w:rStyle w:val="Fontdeparagrafimplicit"/>
          <w:rFonts w:ascii="Bookman Old Style" w:hAnsi="Bookman Old Style"/>
          <w:lang w:val="en-US"/>
        </w:rPr>
        <w:t>folosinţa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drepturilor</w:t>
      </w:r>
      <w:r w:rsidRPr="006E1BCB">
        <w:rPr>
          <w:rStyle w:val="Fontdeparagrafimplicit"/>
          <w:rFonts w:ascii="Bookman Old Style" w:hAnsi="Bookman Old Style"/>
          <w:lang w:val="en-US"/>
        </w:rPr>
        <w:t xml:space="preserve"> civile </w:t>
      </w:r>
      <w:r w:rsidRPr="006E1BCB">
        <w:rPr>
          <w:rStyle w:val="Fontdeparagrafimplicit"/>
          <w:rFonts w:ascii="Bookman Old Style" w:hAnsi="Bookman Old Style"/>
          <w:lang w:val="en-US"/>
        </w:rPr>
        <w:t>poate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să</w:t>
      </w:r>
      <w:r w:rsidRPr="006E1BCB">
        <w:rPr>
          <w:rStyle w:val="Fontdeparagrafimplicit"/>
          <w:rFonts w:ascii="Bookman Old Style" w:hAnsi="Bookman Old Style"/>
          <w:lang w:val="en-US"/>
        </w:rPr>
        <w:t xml:space="preserve"> fie </w:t>
      </w:r>
      <w:r w:rsidRPr="006E1BCB">
        <w:rPr>
          <w:rStyle w:val="Fontdeparagrafimplicit"/>
          <w:rFonts w:ascii="Bookman Old Style" w:hAnsi="Bookman Old Style"/>
          <w:lang w:val="en-US"/>
        </w:rPr>
        <w:t>parte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judecată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iar</w:t>
      </w:r>
      <w:r w:rsidRPr="006E1BCB">
        <w:rPr>
          <w:rStyle w:val="Fontdeparagrafimplicit"/>
          <w:rFonts w:ascii="Bookman Old Style" w:hAnsi="Bookman Old Style"/>
          <w:lang w:val="en-US"/>
        </w:rPr>
        <w:t xml:space="preserve"> art. 42 Cod </w:t>
      </w:r>
      <w:r w:rsidRPr="006E1BCB">
        <w:rPr>
          <w:rStyle w:val="Fontdeparagrafimplicit"/>
          <w:rFonts w:ascii="Bookman Old Style" w:hAnsi="Bookman Old Style"/>
          <w:lang w:val="en-US"/>
        </w:rPr>
        <w:t>procedură</w:t>
      </w:r>
      <w:r w:rsidRPr="006E1BCB">
        <w:rPr>
          <w:rStyle w:val="Fontdeparagrafimplicit"/>
          <w:rFonts w:ascii="Bookman Old Style" w:hAnsi="Bookman Old Style"/>
          <w:lang w:val="en-US"/>
        </w:rPr>
        <w:t xml:space="preserve"> civilă se </w:t>
      </w:r>
      <w:r w:rsidRPr="006E1BCB">
        <w:rPr>
          <w:rStyle w:val="Fontdeparagrafimplicit"/>
          <w:rFonts w:ascii="Bookman Old Style" w:hAnsi="Bookman Old Style"/>
          <w:lang w:val="en-US"/>
        </w:rPr>
        <w:t>dispune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persoanele</w:t>
      </w:r>
      <w:r w:rsidRPr="006E1BCB">
        <w:rPr>
          <w:rStyle w:val="Fontdeparagrafimplicit"/>
          <w:rFonts w:ascii="Bookman Old Style" w:hAnsi="Bookman Old Style"/>
          <w:lang w:val="en-US"/>
        </w:rPr>
        <w:t xml:space="preserve"> care nu au </w:t>
      </w:r>
      <w:r w:rsidRPr="006E1BCB">
        <w:rPr>
          <w:rStyle w:val="Fontdeparagrafimplicit"/>
          <w:rFonts w:ascii="Bookman Old Style" w:hAnsi="Bookman Old Style"/>
          <w:lang w:val="en-US"/>
        </w:rPr>
        <w:t>exerciţiul</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drepturilor</w:t>
      </w:r>
      <w:r w:rsidRPr="006E1BCB">
        <w:rPr>
          <w:rStyle w:val="Fontdeparagrafimplicit"/>
          <w:rFonts w:ascii="Bookman Old Style" w:hAnsi="Bookman Old Style"/>
          <w:lang w:val="en-US"/>
        </w:rPr>
        <w:t xml:space="preserve"> lor nu pot </w:t>
      </w:r>
      <w:r w:rsidRPr="006E1BCB">
        <w:rPr>
          <w:rStyle w:val="Fontdeparagrafimplicit"/>
          <w:rFonts w:ascii="Bookman Old Style" w:hAnsi="Bookman Old Style"/>
          <w:lang w:val="en-US"/>
        </w:rPr>
        <w:t>sta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judecată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decât</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dacă</w:t>
      </w:r>
      <w:r w:rsidRPr="006E1BCB">
        <w:rPr>
          <w:rStyle w:val="Fontdeparagrafimplicit"/>
          <w:rFonts w:ascii="Bookman Old Style" w:hAnsi="Bookman Old Style"/>
          <w:lang w:val="en-US"/>
        </w:rPr>
        <w:t xml:space="preserve"> sunt </w:t>
      </w:r>
      <w:r w:rsidRPr="006E1BCB">
        <w:rPr>
          <w:rStyle w:val="Fontdeparagrafimplicit"/>
          <w:rFonts w:ascii="Bookman Old Style" w:hAnsi="Bookman Old Style"/>
          <w:lang w:val="en-US"/>
        </w:rPr>
        <w:t>reprezentate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Capacitatea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procesuală</w:t>
      </w:r>
      <w:r w:rsidRPr="006E1BCB">
        <w:rPr>
          <w:rStyle w:val="Fontdeparagrafimplicit"/>
          <w:rFonts w:ascii="Bookman Old Style" w:hAnsi="Bookman Old Style"/>
          <w:lang w:val="en-US"/>
        </w:rPr>
        <w:t xml:space="preserve"> de </w:t>
      </w:r>
      <w:r w:rsidRPr="006E1BCB">
        <w:rPr>
          <w:rStyle w:val="Fontdeparagrafimplicit"/>
          <w:rFonts w:ascii="Bookman Old Style" w:hAnsi="Bookman Old Style"/>
          <w:lang w:val="en-US"/>
        </w:rPr>
        <w:t>folosinţă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constă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aptitudinea</w:t>
      </w:r>
      <w:r w:rsidRPr="006E1BCB">
        <w:rPr>
          <w:rStyle w:val="Fontdeparagrafimplicit"/>
          <w:rFonts w:ascii="Bookman Old Style" w:hAnsi="Bookman Old Style"/>
          <w:lang w:val="en-US"/>
        </w:rPr>
        <w:t xml:space="preserve"> de </w:t>
      </w:r>
      <w:r w:rsidRPr="006E1BCB">
        <w:rPr>
          <w:rStyle w:val="Fontdeparagrafimplicit"/>
          <w:rFonts w:ascii="Bookman Old Style" w:hAnsi="Bookman Old Style"/>
          <w:lang w:val="en-US"/>
        </w:rPr>
        <w:t>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avea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drepturi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obligaţii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iar</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capacitatea</w:t>
      </w:r>
      <w:r w:rsidRPr="006E1BCB">
        <w:rPr>
          <w:rStyle w:val="Fontdeparagrafimplicit"/>
          <w:rFonts w:ascii="Bookman Old Style" w:hAnsi="Bookman Old Style"/>
          <w:lang w:val="en-US"/>
        </w:rPr>
        <w:t xml:space="preserve"> de </w:t>
      </w:r>
      <w:r w:rsidRPr="006E1BCB">
        <w:rPr>
          <w:rStyle w:val="Fontdeparagrafimplicit"/>
          <w:rFonts w:ascii="Bookman Old Style" w:hAnsi="Bookman Old Style"/>
          <w:lang w:val="en-US"/>
        </w:rPr>
        <w:t>exerciţiu</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constă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aptitudinea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unei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persoanei</w:t>
      </w:r>
      <w:r w:rsidRPr="006E1BCB">
        <w:rPr>
          <w:rStyle w:val="Fontdeparagrafimplicit"/>
          <w:rFonts w:ascii="Bookman Old Style" w:hAnsi="Bookman Old Style"/>
          <w:lang w:val="en-US"/>
        </w:rPr>
        <w:t xml:space="preserve"> de a-</w:t>
      </w:r>
      <w:r w:rsidRPr="006E1BCB">
        <w:rPr>
          <w:rStyle w:val="Fontdeparagrafimplicit"/>
          <w:rFonts w:ascii="Bookman Old Style" w:hAnsi="Bookman Old Style"/>
          <w:lang w:val="en-US"/>
        </w:rPr>
        <w:t>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valorifica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singură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drepturile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procedurale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şi</w:t>
      </w:r>
      <w:r w:rsidRPr="006E1BCB">
        <w:rPr>
          <w:rStyle w:val="Fontdeparagrafimplicit"/>
          <w:rFonts w:ascii="Bookman Old Style" w:hAnsi="Bookman Old Style"/>
          <w:lang w:val="en-US"/>
        </w:rPr>
        <w:t xml:space="preserve"> de a-</w:t>
      </w:r>
      <w:r w:rsidRPr="006E1BCB">
        <w:rPr>
          <w:rStyle w:val="Fontdeparagrafimplicit"/>
          <w:rFonts w:ascii="Bookman Old Style" w:hAnsi="Bookman Old Style"/>
          <w:lang w:val="en-US"/>
        </w:rPr>
        <w:t>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îndeplini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singură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obligaţiile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procedurale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Persoana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juridică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exercită</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drepturile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îndeplineşte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obligaţiile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prin</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organele</w:t>
      </w:r>
      <w:r w:rsidRPr="006E1BCB">
        <w:rPr>
          <w:rStyle w:val="Fontdeparagrafimplicit"/>
          <w:rFonts w:ascii="Bookman Old Style" w:hAnsi="Bookman Old Style"/>
          <w:lang w:val="en-US"/>
        </w:rPr>
        <w:t xml:space="preserve"> sale, </w:t>
      </w:r>
      <w:r w:rsidRPr="006E1BCB">
        <w:rPr>
          <w:rStyle w:val="Fontdeparagrafimplicit"/>
          <w:rFonts w:ascii="Bookman Old Style" w:hAnsi="Bookman Old Style"/>
          <w:lang w:val="en-US"/>
        </w:rPr>
        <w:t>actele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făcute</w:t>
      </w:r>
      <w:r w:rsidRPr="006E1BCB">
        <w:rPr>
          <w:rStyle w:val="Fontdeparagrafimplicit"/>
          <w:rFonts w:ascii="Bookman Old Style" w:hAnsi="Bookman Old Style"/>
          <w:lang w:val="en-US"/>
        </w:rPr>
        <w:t xml:space="preserve"> de </w:t>
      </w:r>
      <w:r w:rsidRPr="006E1BCB">
        <w:rPr>
          <w:rStyle w:val="Fontdeparagrafimplicit"/>
          <w:rFonts w:ascii="Bookman Old Style" w:hAnsi="Bookman Old Style"/>
          <w:lang w:val="en-US"/>
        </w:rPr>
        <w:t>aceste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organe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limitele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puterilor</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ce</w:t>
      </w:r>
      <w:r w:rsidRPr="006E1BCB">
        <w:rPr>
          <w:rStyle w:val="Fontdeparagrafimplicit"/>
          <w:rFonts w:ascii="Bookman Old Style" w:hAnsi="Bookman Old Style"/>
          <w:lang w:val="en-US"/>
        </w:rPr>
        <w:t xml:space="preserve"> le-au </w:t>
      </w:r>
      <w:r w:rsidRPr="006E1BCB">
        <w:rPr>
          <w:rStyle w:val="Fontdeparagrafimplicit"/>
          <w:rFonts w:ascii="Bookman Old Style" w:hAnsi="Bookman Old Style"/>
          <w:lang w:val="en-US"/>
        </w:rPr>
        <w:t>fost</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conferite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fiind</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actele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persoanei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juridice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însăşi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Potrivit</w:t>
      </w:r>
      <w:r w:rsidRPr="006E1BCB">
        <w:rPr>
          <w:rStyle w:val="Fontdeparagrafimplicit"/>
          <w:rFonts w:ascii="Bookman Old Style" w:hAnsi="Bookman Old Style"/>
          <w:lang w:val="en-US"/>
        </w:rPr>
        <w:t xml:space="preserve"> art. 36 </w:t>
      </w:r>
      <w:r w:rsidRPr="006E1BCB">
        <w:rPr>
          <w:rStyle w:val="Fontdeparagrafimplicit"/>
          <w:rFonts w:ascii="Bookman Old Style" w:hAnsi="Bookman Old Style"/>
          <w:lang w:val="en-US"/>
        </w:rPr>
        <w:t>alin</w:t>
      </w:r>
      <w:r w:rsidRPr="006E1BCB">
        <w:rPr>
          <w:rStyle w:val="Fontdeparagrafimplicit"/>
          <w:rFonts w:ascii="Bookman Old Style" w:hAnsi="Bookman Old Style"/>
          <w:lang w:val="en-US"/>
        </w:rPr>
        <w:t xml:space="preserve">. 4 din </w:t>
      </w:r>
      <w:r w:rsidRPr="006E1BCB">
        <w:rPr>
          <w:rStyle w:val="Fontdeparagrafimplicit"/>
          <w:rFonts w:ascii="Bookman Old Style" w:hAnsi="Bookman Old Style"/>
          <w:lang w:val="en-US"/>
        </w:rPr>
        <w:t>Legea</w:t>
      </w:r>
      <w:r w:rsidRPr="006E1BCB">
        <w:rPr>
          <w:rStyle w:val="Fontdeparagrafimplicit"/>
          <w:rFonts w:ascii="Bookman Old Style" w:hAnsi="Bookman Old Style"/>
          <w:lang w:val="en-US"/>
        </w:rPr>
        <w:t xml:space="preserve"> nr. 215/2001 </w:t>
      </w:r>
      <w:r w:rsidRPr="006E1BCB">
        <w:rPr>
          <w:rStyle w:val="Fontdeparagrafimplicit"/>
          <w:rFonts w:ascii="Bookman Old Style" w:hAnsi="Bookman Old Style"/>
          <w:lang w:val="en-US"/>
        </w:rPr>
        <w:t>Consiliul</w:t>
      </w:r>
      <w:r w:rsidRPr="006E1BCB">
        <w:rPr>
          <w:rStyle w:val="Fontdeparagrafimplicit"/>
          <w:rFonts w:ascii="Bookman Old Style" w:hAnsi="Bookman Old Style"/>
          <w:lang w:val="en-US"/>
        </w:rPr>
        <w:t xml:space="preserve"> local </w:t>
      </w:r>
      <w:r w:rsidRPr="006E1BCB">
        <w:rPr>
          <w:rStyle w:val="Fontdeparagrafimplicit"/>
          <w:rFonts w:ascii="Bookman Old Style" w:hAnsi="Bookman Old Style"/>
          <w:lang w:val="en-US"/>
        </w:rPr>
        <w:t>aprobă</w:t>
      </w:r>
      <w:r w:rsidRPr="006E1BCB">
        <w:rPr>
          <w:rStyle w:val="Fontdeparagrafimplicit"/>
          <w:rFonts w:ascii="Bookman Old Style" w:hAnsi="Bookman Old Style"/>
          <w:lang w:val="en-US"/>
        </w:rPr>
        <w:t xml:space="preserve"> la </w:t>
      </w:r>
      <w:r w:rsidRPr="006E1BCB">
        <w:rPr>
          <w:rStyle w:val="Fontdeparagrafimplicit"/>
          <w:rFonts w:ascii="Bookman Old Style" w:hAnsi="Bookman Old Style"/>
          <w:lang w:val="en-US"/>
        </w:rPr>
        <w:t>propunerea</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primarului</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bugetul</w:t>
      </w:r>
      <w:r w:rsidRPr="006E1BCB">
        <w:rPr>
          <w:rStyle w:val="Fontdeparagrafimplicit"/>
          <w:rFonts w:ascii="Bookman Old Style" w:hAnsi="Bookman Old Style"/>
          <w:lang w:val="en-US"/>
        </w:rPr>
        <w:t xml:space="preserve"> local, </w:t>
      </w:r>
      <w:r w:rsidRPr="006E1BCB">
        <w:rPr>
          <w:rStyle w:val="Fontdeparagrafimplicit"/>
          <w:rFonts w:ascii="Bookman Old Style" w:hAnsi="Bookman Old Style"/>
          <w:lang w:val="en-US"/>
        </w:rPr>
        <w:t>virările</w:t>
      </w:r>
      <w:r w:rsidRPr="006E1BCB">
        <w:rPr>
          <w:rStyle w:val="Fontdeparagrafimplicit"/>
          <w:rFonts w:ascii="Bookman Old Style" w:hAnsi="Bookman Old Style"/>
          <w:lang w:val="en-US"/>
        </w:rPr>
        <w:t xml:space="preserve"> de </w:t>
      </w:r>
      <w:r w:rsidRPr="006E1BCB">
        <w:rPr>
          <w:rStyle w:val="Fontdeparagrafimplicit"/>
          <w:rFonts w:ascii="Bookman Old Style" w:hAnsi="Bookman Old Style"/>
          <w:lang w:val="en-US"/>
        </w:rPr>
        <w:t>credite</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iar</w:t>
      </w:r>
      <w:r w:rsidRPr="006E1BCB">
        <w:rPr>
          <w:rStyle w:val="Fontdeparagrafimplicit"/>
          <w:rFonts w:ascii="Bookman Old Style" w:hAnsi="Bookman Old Style"/>
          <w:lang w:val="en-US"/>
        </w:rPr>
        <w:t xml:space="preserve"> </w:t>
      </w:r>
      <w:r w:rsidRPr="006E1BCB">
        <w:rPr>
          <w:rStyle w:val="Fontdeparagrafimplicit"/>
          <w:rFonts w:ascii="Bookman Old Style" w:hAnsi="Bookman Old Style"/>
          <w:lang w:val="en-US"/>
        </w:rPr>
        <w:t>potrivit</w:t>
      </w:r>
      <w:r w:rsidRPr="006E1BCB">
        <w:rPr>
          <w:rStyle w:val="Fontdeparagrafimplicit"/>
          <w:rFonts w:ascii="Bookman Old Style" w:hAnsi="Bookman Old Style"/>
          <w:lang w:val="en-US"/>
        </w:rPr>
        <w:t xml:space="preserve"> art. 167 </w:t>
      </w:r>
      <w:r w:rsidRPr="006E1BCB">
        <w:rPr>
          <w:rStyle w:val="Fontdeparagrafimplicit"/>
          <w:rFonts w:ascii="Bookman Old Style" w:hAnsi="Bookman Old Style"/>
          <w:lang w:val="en-US"/>
        </w:rPr>
        <w:t>alin</w:t>
      </w:r>
      <w:r w:rsidRPr="006E1BCB">
        <w:rPr>
          <w:rStyle w:val="Fontdeparagrafimplicit"/>
          <w:rFonts w:ascii="Bookman Old Style" w:hAnsi="Bookman Old Style"/>
          <w:lang w:val="en-US"/>
        </w:rPr>
        <w:t xml:space="preserve">. </w:t>
      </w:r>
      <w:r w:rsidRPr="009F0BF5">
        <w:rPr>
          <w:rStyle w:val="Fontdeparagrafimplicit"/>
          <w:rFonts w:ascii="Bookman Old Style" w:hAnsi="Bookman Old Style"/>
          <w:lang w:val="pt-PT"/>
        </w:rPr>
        <w:t xml:space="preserve">2 şi 4 din Legea 84/1995 finanţarea complementară se asigură din bugetele locale. Aşadar excepţia lipsei capacităţii procesuale pasive a Primarului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Consiliului local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a fost respinsă ca neîntemeiată</w:t>
      </w:r>
    </w:p>
    <w:p w:rsidRPr="009F0BF5" w:rsidR="003D3D74" w14:paraId="685F897E" w14:textId="487EA9BD">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Pe fondul cauzei, instanţa a reţinut că membrii de sindicat </w:t>
      </w:r>
      <w:r>
        <w:rPr>
          <w:rStyle w:val="Fontdeparagrafimplicit"/>
          <w:rFonts w:ascii="Bookman Old Style" w:hAnsi="Bookman Old Style"/>
          <w:lang w:val="pt-PT"/>
        </w:rPr>
        <w:t xml:space="preserve">1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2</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3</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4</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5</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6</w:t>
      </w:r>
      <w:r w:rsidRPr="009F0BF5">
        <w:rPr>
          <w:rStyle w:val="Fontdeparagrafimplicit"/>
          <w:rFonts w:ascii="Bookman Old Style" w:hAnsi="Bookman Old Style"/>
          <w:lang w:val="pt-PT"/>
        </w:rPr>
        <w:t xml:space="preserve"> sunt angajaţii pârâtei Grădiniţa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în calitate de cadru didactic, are gradul didactic I şi o vechime în învăţământ de peste 25 de ani, aşa cum a rezultat din adeverinţa nr. </w:t>
      </w:r>
      <w:r w:rsidR="006E1BCB">
        <w:rPr>
          <w:rStyle w:val="Fontdeparagrafimplicit"/>
          <w:rFonts w:ascii="Bookman Old Style" w:hAnsi="Bookman Old Style"/>
          <w:lang w:val="pt-PT"/>
        </w:rPr>
        <w:t>8</w:t>
      </w:r>
      <w:r w:rsidRPr="009F0BF5">
        <w:rPr>
          <w:rStyle w:val="Fontdeparagrafimplicit"/>
          <w:rFonts w:ascii="Bookman Old Style" w:hAnsi="Bookman Old Style"/>
          <w:lang w:val="pt-PT"/>
        </w:rPr>
        <w:t xml:space="preserve"> din 20.03.2010, depusă la fila 7 din dosar. </w:t>
      </w:r>
    </w:p>
    <w:p w:rsidRPr="009F0BF5" w:rsidR="003D3D74" w14:paraId="342AA58E"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În conformitate cu dispoziţiile art. 45 alin. 1 din Legea nr. 128/1997, personalul didactic de predare şi de instruire practică, cu o vechime în învăţământ de peste 25 de ani, cu gradul didactic I, beneficiază de reducerea normei didactice cu două ore săptămânal, fără diminuarea salariului. </w:t>
      </w:r>
    </w:p>
    <w:p w:rsidRPr="009F0BF5" w:rsidR="003D3D74" w14:paraId="631DF8F3"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Pentru orele prestate în plus săptămânal cadrele didactice urmează a fi remunerate în regim de plata cu ora. </w:t>
      </w:r>
    </w:p>
    <w:p w:rsidRPr="009F0BF5" w:rsidR="003D3D74" w14:paraId="0FE45D3E"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Conform prevederilor art. 13 din anexa nr.1 din Ordinul Ministerului Educaţiei, Cercetării, Tineretului şi Sportului nr. 3753/2011 „personalul didactic de predare şi de instruire practică cu o vechime în învăţământ de peste 25 de ani, cu gradul didactic I, beneficiază de reducerea normei didactice cu două ore săptămânal până la sfârşitul anului şcolar 2010-2011”.</w:t>
      </w:r>
    </w:p>
    <w:p w:rsidRPr="009F0BF5" w:rsidR="003D3D74" w14:paraId="46D9DAA1"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Legea nr.63/2011 privind încadrarea şi salarizarea în anul 2011 a personalului didactic şi didactic auxiliar din învăţământ prevede în anexa 6, Capitolul I, art. 10 alin.3 faptul că „personalul didactic din învăţământul preuniversitar cu o vechime efectivă în învăţământ de peste 25 de ani, cu gradul didactic I, beneficiază de reducerea normei didactice cu două ore săptămânal, fără diminuarea salariului. Acest personal didactic poate fi salarizat în sistem de plată cu ora cu tariful orar stabilit în funcţie de norma didactică redusă, pentru orele didactice ce depăşesc această normă.</w:t>
      </w:r>
    </w:p>
    <w:p w:rsidRPr="009F0BF5" w:rsidR="003D3D74" w14:paraId="2EA53ACA" w14:textId="242914C3">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Drepturile salariale solicitate nu au fost acordate începând cu data de  01.11.2009, astfel cum a rezultat din adeverinţa nr. </w:t>
      </w:r>
      <w:r>
        <w:rPr>
          <w:rStyle w:val="Fontdeparagrafimplicit"/>
          <w:rFonts w:ascii="Bookman Old Style" w:hAnsi="Bookman Old Style"/>
          <w:lang w:val="pt-PT"/>
        </w:rPr>
        <w:t>7/16.03.2010</w:t>
      </w:r>
      <w:r w:rsidRPr="009F0BF5">
        <w:rPr>
          <w:rStyle w:val="Fontdeparagrafimplicit"/>
          <w:rFonts w:ascii="Bookman Old Style" w:hAnsi="Bookman Old Style"/>
          <w:lang w:val="pt-PT"/>
        </w:rPr>
        <w:t xml:space="preserve"> - fila 9. </w:t>
      </w:r>
    </w:p>
    <w:p w:rsidRPr="009F0BF5" w:rsidR="003D3D74" w14:paraId="13CD2B3B" w14:textId="24034983">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Raportat la considerentele mai sus-expuse, instanţa a apreciat acţiunea formulată ca fiind întemeiată şi, în consecinţă, a fost admisă şi a obligat pârâta Grădiniţa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la calculul şi plata diferenţelor salariale rezultate din neaplicarea prevederilor legale privind reducerea normei didactice cu 2 ore săptămânal pentru cadrele didactice cu peste 25 ani vechime în învăţământ şi gradul didactic I, respectiv plata a 2 ore pe săptămână, în regim de plata cu ora, pentru perioada 01.11.2009-01.02.2010, actualizate cu indicele de inflaţie la data plăţii efective. </w:t>
      </w:r>
    </w:p>
    <w:p w:rsidRPr="009F0BF5" w:rsidR="003D3D74" w14:paraId="410033BA" w14:textId="376F1209">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Instanţa a obligat pe pârâţii Consiliul local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să aloce unităţii de învăţământ pârâte a cărei finanţare au obligaţia de a o susţine sumele necesare pentru plata drepturilor salariale mai sus menţionate.</w:t>
      </w:r>
    </w:p>
    <w:p w:rsidRPr="009F0BF5" w:rsidR="003D3D74" w14:paraId="3FCD3060" w14:textId="3CBC2818">
      <w:pPr>
        <w:ind w:firstLine="720"/>
        <w:jc w:val="both"/>
        <w:rPr>
          <w:rStyle w:val="Fontdeparagrafimplicit"/>
          <w:rFonts w:ascii="Bookman Old Style" w:hAnsi="Bookman Old Style"/>
          <w:lang w:val="pt-PT"/>
        </w:rPr>
      </w:pPr>
      <w:r w:rsidRPr="009F0BF5">
        <w:rPr>
          <w:rStyle w:val="Fontdeparagrafimplicit"/>
          <w:rFonts w:ascii="Bookman Old Style" w:hAnsi="Bookman Old Style"/>
          <w:i/>
          <w:lang w:val="pt-PT"/>
        </w:rPr>
        <w:t xml:space="preserve">Împotriva acestei hotărâri au declarat recurs pârâţii PRIMARUL MUNICIPIULUI </w:t>
      </w:r>
      <w:r>
        <w:rPr>
          <w:rStyle w:val="Fontdeparagrafimplicit"/>
          <w:rFonts w:ascii="Bookman Old Style" w:hAnsi="Bookman Old Style"/>
          <w:i/>
          <w:lang w:val="pt-PT"/>
        </w:rPr>
        <w:t xml:space="preserve">B.......... </w:t>
      </w:r>
      <w:r w:rsidRPr="009F0BF5">
        <w:rPr>
          <w:rStyle w:val="Fontdeparagrafimplicit"/>
          <w:rFonts w:ascii="Bookman Old Style" w:hAnsi="Bookman Old Style"/>
          <w:i/>
          <w:lang w:val="pt-PT"/>
        </w:rPr>
        <w:t xml:space="preserve">, CONSILIUL LOCAL AL MUNICIPIULUI </w:t>
      </w:r>
      <w:r>
        <w:rPr>
          <w:rStyle w:val="Fontdeparagrafimplicit"/>
          <w:rFonts w:ascii="Bookman Old Style" w:hAnsi="Bookman Old Style"/>
          <w:i/>
          <w:lang w:val="pt-PT"/>
        </w:rPr>
        <w:t xml:space="preserve">B.......... </w:t>
      </w:r>
      <w:r w:rsidRPr="009F0BF5">
        <w:rPr>
          <w:rStyle w:val="Fontdeparagrafimplicit"/>
          <w:rFonts w:ascii="Bookman Old Style" w:hAnsi="Bookman Old Style"/>
          <w:lang w:val="pt-PT"/>
        </w:rPr>
        <w:t>.</w:t>
      </w:r>
    </w:p>
    <w:p w:rsidRPr="009F0BF5" w:rsidR="003D3D74" w14:paraId="3DC5A97E" w14:textId="6433AB1E">
      <w:pPr>
        <w:jc w:val="both"/>
        <w:rPr>
          <w:rStyle w:val="Fontdeparagrafimplicit"/>
          <w:rFonts w:ascii="Bookman Old Style" w:hAnsi="Bookman Old Style"/>
          <w:i/>
          <w:lang w:val="pt-PT"/>
        </w:rPr>
      </w:pPr>
      <w:r w:rsidRPr="009F0BF5">
        <w:rPr>
          <w:rStyle w:val="Fontdeparagrafimplicit"/>
          <w:rFonts w:ascii="Bookman Old Style" w:hAnsi="Bookman Old Style"/>
          <w:lang w:val="pt-PT"/>
        </w:rPr>
        <w:tab/>
      </w:r>
      <w:r w:rsidRPr="009F0BF5">
        <w:rPr>
          <w:rStyle w:val="Fontdeparagrafimplicit"/>
          <w:rFonts w:ascii="Bookman Old Style" w:hAnsi="Bookman Old Style"/>
          <w:i/>
          <w:lang w:val="pt-PT"/>
        </w:rPr>
        <w:t xml:space="preserve">Pârâtul CONSILIUL LOCAL AL MUNICIPIULUI </w:t>
      </w:r>
      <w:r>
        <w:rPr>
          <w:rStyle w:val="Fontdeparagrafimplicit"/>
          <w:rFonts w:ascii="Bookman Old Style" w:hAnsi="Bookman Old Style"/>
          <w:i/>
          <w:lang w:val="pt-PT"/>
        </w:rPr>
        <w:t xml:space="preserve">B............ </w:t>
      </w:r>
      <w:r w:rsidRPr="009F0BF5">
        <w:rPr>
          <w:rStyle w:val="Fontdeparagrafimplicit"/>
          <w:rFonts w:ascii="Bookman Old Style" w:hAnsi="Bookman Old Style"/>
          <w:i/>
          <w:lang w:val="pt-PT"/>
        </w:rPr>
        <w:t xml:space="preserve">a solicitat </w:t>
      </w:r>
      <w:r w:rsidRPr="009F0BF5">
        <w:rPr>
          <w:rStyle w:val="Fontdeparagrafimplicit"/>
          <w:rFonts w:ascii="Bookman Old Style" w:hAnsi="Bookman Old Style"/>
          <w:lang w:val="pt-PT"/>
        </w:rPr>
        <w:t xml:space="preserve">admiterea recursului, modificarea sentinţei atacate în sensul admiterii excepţiei lipsei calităţii procesuale pasive a Consiliului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şi pe fond respingerea acţiunii ca inadmisibilă</w:t>
      </w:r>
      <w:r w:rsidRPr="009F0BF5">
        <w:rPr>
          <w:rStyle w:val="Fontdeparagrafimplicit"/>
          <w:rFonts w:ascii="Bookman Old Style" w:hAnsi="Bookman Old Style"/>
          <w:i/>
          <w:lang w:val="pt-PT"/>
        </w:rPr>
        <w:t>.</w:t>
      </w:r>
    </w:p>
    <w:p w:rsidRPr="009F0BF5" w:rsidR="003D3D74" w14:paraId="63041FB6" w14:textId="51AA18DD">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În motivarea recursului, recurentul a arătat că</w:t>
      </w:r>
      <w:r>
        <w:t xml:space="preserve"> </w:t>
      </w:r>
      <w:r w:rsidRPr="009F0BF5">
        <w:rPr>
          <w:rStyle w:val="Fontdeparagrafimplicit"/>
          <w:rFonts w:ascii="Bookman Old Style" w:hAnsi="Bookman Old Style"/>
          <w:lang w:val="pt-PT"/>
        </w:rPr>
        <w:t xml:space="preserve">între pârâţii chemaţi în judecată Consiliul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unitatea de învăţământ există raporturi juridice de drept administrativ, în temeiul obligaţiilor legale reciproce şi specifice ce le revin în procesul bugetar. </w:t>
      </w:r>
    </w:p>
    <w:p w:rsidRPr="009F0BF5" w:rsidR="003D3D74" w14:paraId="30417A43"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prealabil ordonatorilor de credite le revine obligaţia de a efectua demersurile legale în vederea asigurării în bugetele proprii şi a instituţiilor din subordine a creditelor necesare efectuării plăţii sumelor stabilite prin titlurile executorii. Între pârâţii recurenţi şi reclamanţi nu există raporturi directe rezultate dintr-un contract individual de muncă. </w:t>
      </w:r>
    </w:p>
    <w:p w:rsidRPr="009F0BF5" w:rsidR="003D3D74" w14:paraId="5AFC1A74"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acest sens, s-a pronunţat şi Înalta Curte de Justiţie şi Casaţie, când a soluţionat recursul în interesul legii, pronunţând Decizia nr. 10/19.09.2011, prin </w:t>
      </w:r>
    </w:p>
    <w:p w:rsidRPr="009F0BF5" w:rsidR="003D3D74" w14:paraId="148FC43C"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care a statuat că raporturile dintre ordonatorii de credite sau ordonatorul de credite şi angajator nu permit atragerea în proces a ordonatorului de credite pentru a fi obligat la alocarea de fonduri. </w:t>
      </w:r>
    </w:p>
    <w:p w:rsidRPr="009F0BF5" w:rsidR="003D3D74" w14:paraId="6A680172"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Acelaşi raţionament poate fi realizat şi în speţă, ceea ce a determinat, de altfel, şi schimbarea practicii instanţei de recurs cu privire la soluţionarea excepţiei lipsei calităţii procesuale pasive a organelor unităţii administrativ teritoriale la unele curţi de apel. </w:t>
      </w:r>
    </w:p>
    <w:p w:rsidRPr="009F0BF5" w:rsidR="003D3D74" w14:paraId="330C4F7A"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Raporturile dintre ordonatorii de credite, dintre ordonatorul de credite şi instituţia din subordine, căreia trebuie să i se asigure fondurile, se cantonează în domeniul raporturilor juridice de drept administrativ, care nu se regăsesc în sfera </w:t>
      </w:r>
    </w:p>
    <w:p w:rsidRPr="009F0BF5" w:rsidR="003D3D74" w14:paraId="7A51C5B9"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de competenţă a instanţei specializată în soluţionarea litigiilor de dreptul muncii, </w:t>
      </w:r>
    </w:p>
    <w:p w:rsidRPr="009F0BF5" w:rsidR="003D3D74" w14:paraId="2E1B3235"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întrucât potrivit prevederilor art. 282 din Codul muncii pot fi părţi în conflictele de muncă: salariaţii, angajatorii, sindicatele şi patronatele şi alte persoane juridice care au vocaţie în temeiul legilor speciale sau a Codului de procedură civilă.</w:t>
      </w:r>
    </w:p>
    <w:p w:rsidRPr="009F0BF5" w:rsidR="003D3D74" w14:paraId="6461F996" w14:textId="25D3C9DE">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concluzie, în absenţa unei dispoziţii legale exprese care să instituie în sarcina pârâţilor Consiliul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şi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obligaţia de alocare de fonduri, instanţa de judecată nu poate reţine calitatea procesuală pasivă şi nu poate obliga aceşti pârâţi la îndeplinirea obligaţiei respective. </w:t>
      </w:r>
    </w:p>
    <w:p w:rsidRPr="009F0BF5" w:rsidR="003D3D74" w14:paraId="1DB0E3A2" w14:textId="67DF4D09">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Pe fondul cauzei învederează că Contractul de muncă nu este opozabil Consiliului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 în condiţiile în care acesta nu este parte contractantă. </w:t>
      </w:r>
    </w:p>
    <w:p w:rsidRPr="009F0BF5" w:rsidR="003D3D74" w14:paraId="26198629"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Consiliul Local e autoritate deliberativă, fără personalitate juridică, fără patrimoniu astfel că nu poare să îşi asume obligaţii pecuniare. </w:t>
      </w:r>
    </w:p>
    <w:p w:rsidRPr="009F0BF5" w:rsidR="003D3D74" w14:paraId="3C3C913C" w14:textId="77777777">
      <w:pPr>
        <w:ind w:firstLine="708"/>
        <w:jc w:val="both"/>
        <w:rPr>
          <w:rStyle w:val="Fontdeparagrafimplicit"/>
          <w:rFonts w:ascii="Bookman Old Style" w:hAnsi="Bookman Old Style"/>
          <w:lang w:val="en-US"/>
        </w:rPr>
      </w:pPr>
      <w:r w:rsidRPr="009F0BF5">
        <w:rPr>
          <w:rStyle w:val="Fontdeparagrafimplicit"/>
          <w:rFonts w:ascii="Bookman Old Style" w:hAnsi="Bookman Old Style"/>
          <w:lang w:val="en-US"/>
        </w:rPr>
        <w:t>În</w:t>
      </w:r>
      <w:r w:rsidRPr="009F0BF5">
        <w:rPr>
          <w:rStyle w:val="Fontdeparagrafimplicit"/>
          <w:rFonts w:ascii="Bookman Old Style" w:hAnsi="Bookman Old Style"/>
          <w:lang w:val="en-US"/>
        </w:rPr>
        <w:t xml:space="preserve"> </w:t>
      </w:r>
      <w:r w:rsidRPr="009F0BF5">
        <w:rPr>
          <w:rStyle w:val="Fontdeparagrafimplicit"/>
          <w:rFonts w:ascii="Bookman Old Style" w:hAnsi="Bookman Old Style"/>
          <w:lang w:val="en-US"/>
        </w:rPr>
        <w:t>drept</w:t>
      </w:r>
      <w:r w:rsidRPr="009F0BF5">
        <w:rPr>
          <w:rStyle w:val="Fontdeparagrafimplicit"/>
          <w:rFonts w:ascii="Bookman Old Style" w:hAnsi="Bookman Old Style"/>
          <w:lang w:val="en-US"/>
        </w:rPr>
        <w:t xml:space="preserve">: art. 304, pct.8, 9, art. 242 alin.2 </w:t>
      </w:r>
    </w:p>
    <w:p w:rsidRPr="009F0BF5" w:rsidR="003D3D74" w14:paraId="7A9C896E" w14:textId="564203C4">
      <w:pPr>
        <w:ind w:firstLine="708"/>
        <w:jc w:val="both"/>
        <w:rPr>
          <w:rStyle w:val="Fontdeparagrafimplicit"/>
          <w:rFonts w:ascii="Bookman Old Style" w:hAnsi="Bookman Old Style"/>
          <w:i/>
          <w:lang w:val="pt-PT"/>
        </w:rPr>
      </w:pPr>
      <w:r w:rsidRPr="009F0BF5">
        <w:rPr>
          <w:rStyle w:val="Fontdeparagrafimplicit"/>
          <w:rFonts w:ascii="Bookman Old Style" w:hAnsi="Bookman Old Style"/>
          <w:i/>
          <w:lang w:val="pt-PT"/>
        </w:rPr>
        <w:t xml:space="preserve">Pârâtul PRIMARUL MUNICIPIULUI </w:t>
      </w:r>
      <w:r>
        <w:rPr>
          <w:rStyle w:val="Fontdeparagrafimplicit"/>
          <w:rFonts w:ascii="Bookman Old Style" w:hAnsi="Bookman Old Style"/>
          <w:i/>
          <w:lang w:val="pt-PT"/>
        </w:rPr>
        <w:t xml:space="preserve">B............ </w:t>
      </w:r>
      <w:r w:rsidRPr="009F0BF5">
        <w:rPr>
          <w:rStyle w:val="Fontdeparagrafimplicit"/>
          <w:rFonts w:ascii="Bookman Old Style" w:hAnsi="Bookman Old Style"/>
          <w:i/>
          <w:lang w:val="pt-PT"/>
        </w:rPr>
        <w:t>a solicitat admiterea recursului, casarea hotărârii recurate şi trimiterea cauzei spre rejudecare.</w:t>
      </w:r>
    </w:p>
    <w:p w:rsidRPr="009F0BF5" w:rsidR="003D3D74" w14:paraId="62512A9C"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motivarea recursului, recurentul a arătat că în fapt, prin sentinţa instanţei de fond Primarul este obligat să asigure sumele necesare unităţii de învăţământ, conform dispozitivului sentinţei. </w:t>
      </w:r>
    </w:p>
    <w:p w:rsidRPr="009F0BF5" w:rsidR="003D3D74" w14:paraId="5EDC8101"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temeiul dispoziţiilor art.304 pct. l din Codul de procedură civilă invocă nulitatea sentinţei atacate deoarece a fost pronunţată de o instanţă ce nu a fost alcătuită potrivit dispoziţiilor legale, respectiv art.55 alin.2 din Legea 304/2004 privind organizarea judiciară. </w:t>
      </w:r>
    </w:p>
    <w:p w:rsidRPr="009F0BF5" w:rsidR="003D3D74" w14:paraId="4C4DF780"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Potrivit art. 55 alin.2 din Legea 304/2004, " Asistenţii judiciari participă la deliberări cu vot consultativ şi semnează hotărârile pronunţate. Opinia acestora se consemnează în hotărâre, iar opinia separată se motivează". </w:t>
      </w:r>
    </w:p>
    <w:p w:rsidRPr="009F0BF5" w:rsidR="003D3D74" w14:paraId="661CD82B"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Distinct de cerinţa de formă privind semnarea sentinţei într-un litigiu de muncă de către asistenţii judiciari, legea obligă în mod adiţional la consemnarea opiniilor acestora în cuprinsul considerentelor hotărârii, cu particularitatea că eventualele opinii separate se motivează obligatoriu. </w:t>
      </w:r>
    </w:p>
    <w:p w:rsidRPr="009F0BF5" w:rsidR="003D3D74" w14:paraId="7B9DCE52"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Indiferent că sunt convergente sau divergente faţă de opinia judecătorului ce intră în compunerea completului în litigiile de muncă, opiniile asistenţilor judiciari trebuie obligatoriu menţionate în hotărâre. </w:t>
      </w:r>
    </w:p>
    <w:p w:rsidRPr="009F0BF5" w:rsidR="003D3D74" w14:paraId="700124C9"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Consideră că nu poate fi acceptată o eventuală teză, în sensul că semnarea de către aceştia a hotărârii echivalează cu consemnarea opiniei lor în hotărâre, deoarece dacă ar fi avut în vedere un asemenea raţionament, legiuitorul nu s-ar mai fi referit expres în alineatul 2 al art.55, la consemnarea opiniei în hotărâre distinct de semnare. </w:t>
      </w:r>
    </w:p>
    <w:p w:rsidRPr="009F0BF5" w:rsidR="003D3D74" w14:paraId="76ED1CBE"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Textul reglementează o cerinţă specială referitoare la probaţiunea compunerii completului specializat în etapa procesuală a deliberării. </w:t>
      </w:r>
    </w:p>
    <w:p w:rsidRPr="009F0BF5" w:rsidR="003D3D74" w14:paraId="01748A41"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cadrul judecăţii în primă instanţă, etapa procesuală a dezbaterilor finalizată prin concluziile de fond, este urmată de etapa procesuală a deliberării, care constituie actul deplin de jurisdicţie al oricărei faze procesuale. </w:t>
      </w:r>
    </w:p>
    <w:p w:rsidRPr="009F0BF5" w:rsidR="003D3D74" w14:paraId="6EE8A25F"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Compunerea specializată a completului de judecată trebuie respectată atât în etapa procesuală a dezbaterilor cât şi în etapa procesuală a deliberării. Dacă în </w:t>
      </w:r>
    </w:p>
    <w:p w:rsidRPr="009F0BF5" w:rsidR="003D3D74" w14:paraId="6DAA10A5"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etapa dezbaterilor, probaţiunea compunerii specializate a completului de judecată, rezultă din practicalele încheierilor de şedinţă, în cadrul etapei procesuale a deliberării aceasta se poate face exclusiv cu elementul intrinsec sentinţei, constând din opinia convergentă sau divergentă, după caz, a asistenţilor judiciari. </w:t>
      </w:r>
    </w:p>
    <w:p w:rsidRPr="009F0BF5" w:rsidR="003D3D74" w14:paraId="304D722B"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Lipsa opiniei asistenţilor judiciari sau a menţiunii exprese că aceştia au participat la deliberare şi achiesează la opinia magistratului judecător, echivalează cu lipsa oricărei probaţiuni în legătură cu respectarea normei speciale privind compunerea specializată a completului, în etapa procesuală a deliberării. </w:t>
      </w:r>
    </w:p>
    <w:p w:rsidRPr="009F0BF5" w:rsidR="003D3D74" w14:paraId="2621A893"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Consideră că o atare probaţiune specială nu poate fi suplinită prin semnăturile olografe ale asistenţilor judiciari din cadrul sentinţei - care lipsesc din prezenta sentinţă . Lipsa opiniilor asistenţilor judiciari din cuprinsul sentinţei </w:t>
      </w:r>
    </w:p>
    <w:p w:rsidRPr="009F0BF5" w:rsidR="003D3D74" w14:paraId="744CD7C8"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recurate, atrage nulitatea necondiţionată de producerea unei vătămări procesuale a respectivei hotărâri judecătoreşti, deoarece face imposibilă exercitarea controlului judiciar cu privire la compunerea completului de judecată în etapa deliberării. </w:t>
      </w:r>
    </w:p>
    <w:p w:rsidRPr="009F0BF5" w:rsidR="003D3D74" w14:paraId="42FEFF54"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Compunerea jurisdicţiei impusă de normele procesuale de ordine publică constituie o garanţie instituită prin legea procesuală naţională în scopul apărării </w:t>
      </w:r>
      <w:r w:rsidRPr="009F0BF5">
        <w:rPr>
          <w:rStyle w:val="Fontdeparagrafimplicit"/>
          <w:rFonts w:ascii="Bookman Old Style" w:hAnsi="Bookman Old Style"/>
          <w:lang w:val="pt-PT"/>
        </w:rPr>
        <w:t xml:space="preserve">dreptului de acces la un tribunal stabilit de lege, independent şi imparţial, care este, în opinia instanţei europene de contencios al drepturilor omului, o componentă esenţială a sistemului de garanţii instituit prin art. 6 parag. 1 al Convenţiei, pentru că orice persoană care este parte într-un proces civil sau penal să beneficieze de un proces echitabil. </w:t>
      </w:r>
    </w:p>
    <w:p w:rsidRPr="009F0BF5" w:rsidR="003D3D74" w14:paraId="4B96141B"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interpretarea textului art. 6 parag. 1 al Convenţiei, Curtea Europeana a Drepturilor Omului a statuat în jurisprudenţa sa referitor la dreptul la un tribunal stabilit de lege, că aptitudinea tribunalului de a fi "stabilit de lege" priveşte nu numai baza legală a însăşi existenţei tribunalului, ci şi structura formaţiunii de judecată pentru fiecare cauză, iar noţiune a de "lege" avută în vedere de art. 6 parag. 1 al Convenţiei priveşte nu numai legislaţia referitoare la stabilirea şi competenţa organelor judiciare, dar şi orice altă dispoziţie de drept intern a cărei nerespectare ar fi de natura să conducă la constatarea iregularităţii </w:t>
      </w:r>
    </w:p>
    <w:p w:rsidRPr="009F0BF5" w:rsidR="003D3D74" w14:paraId="578E1A70"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participării unui membru al formaţiunii de judecată la soluţionarea unei anumite cauze. </w:t>
      </w:r>
    </w:p>
    <w:p w:rsidRPr="009F0BF5" w:rsidR="003D3D74" w14:paraId="0199113C"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De vreme ce încălcarea dispoziţiilor dreptului intern privind constituirea completului de judecată în faza deliberării, în cauzele privind conflictele de muncă şi litigiile de muncă care se judecă în primă instanţă, conduce la nelegala alcătuire a completului de judecată investit să soluţioneze respectiva cerere, este violat astfel în substanţa sa dreptul la un tribunal stabilit de lege, care conferă protecţie dreptului la un proces echitabil. </w:t>
      </w:r>
    </w:p>
    <w:p w:rsidRPr="009F0BF5" w:rsidR="003D3D74" w14:paraId="6836D667" w14:textId="22D1DD01">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speţă, motivare a sentinţei civile nr.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din data de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pronunţata de Tribunalului </w:t>
      </w:r>
      <w:r>
        <w:rPr>
          <w:rStyle w:val="Fontdeparagrafimplicit"/>
          <w:rFonts w:ascii="Bookman Old Style" w:hAnsi="Bookman Old Style"/>
          <w:lang w:val="pt-PT"/>
        </w:rPr>
        <w:t xml:space="preserve">M........... </w:t>
      </w:r>
      <w:r w:rsidRPr="009F0BF5">
        <w:rPr>
          <w:rStyle w:val="Fontdeparagrafimplicit"/>
          <w:rFonts w:ascii="Bookman Old Style" w:hAnsi="Bookman Old Style"/>
          <w:lang w:val="pt-PT"/>
        </w:rPr>
        <w:t xml:space="preserve">, nu cuprinde opinia fiecărui asistent judiciar. </w:t>
      </w:r>
    </w:p>
    <w:p w:rsidRPr="009F0BF5" w:rsidR="003D3D74" w14:paraId="1ACC22AF" w14:textId="1C7AD244">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Mai mult decât atât sentinţa civilă nr. </w:t>
      </w:r>
      <w:r>
        <w:rPr>
          <w:rStyle w:val="Fontdeparagrafimplicit"/>
          <w:rFonts w:ascii="Bookman Old Style" w:hAnsi="Bookman Old Style"/>
          <w:lang w:val="pt-PT"/>
        </w:rPr>
        <w:t>..........</w:t>
      </w:r>
      <w:r w:rsidRPr="009F0BF5">
        <w:rPr>
          <w:rStyle w:val="Fontdeparagrafimplicit"/>
          <w:rFonts w:ascii="Bookman Old Style" w:hAnsi="Bookman Old Style"/>
          <w:lang w:val="pt-PT"/>
        </w:rPr>
        <w:t xml:space="preserve"> nu este semnată de către judecător, purtând doar menţiunea grefierului " pentru conformitate, fiind astfel încălcate dispoziţiile art. 261 alin. l pct.8 din Codul de procedură civilă. </w:t>
      </w:r>
    </w:p>
    <w:p w:rsidRPr="009F0BF5" w:rsidR="003D3D74" w14:paraId="245B5CC8" w14:textId="77777777">
      <w:pPr>
        <w:ind w:firstLine="708"/>
        <w:jc w:val="both"/>
        <w:rPr>
          <w:rStyle w:val="Fontdeparagrafimplicit"/>
          <w:rFonts w:ascii="Bookman Old Style" w:hAnsi="Bookman Old Style"/>
          <w:lang w:val="en-US"/>
        </w:rPr>
      </w:pPr>
      <w:r w:rsidRPr="009F0BF5">
        <w:rPr>
          <w:rStyle w:val="Fontdeparagrafimplicit"/>
          <w:rFonts w:ascii="Bookman Old Style" w:hAnsi="Bookman Old Style"/>
          <w:lang w:val="en-US"/>
        </w:rPr>
        <w:t>În</w:t>
      </w:r>
      <w:r w:rsidRPr="009F0BF5">
        <w:rPr>
          <w:rStyle w:val="Fontdeparagrafimplicit"/>
          <w:rFonts w:ascii="Bookman Old Style" w:hAnsi="Bookman Old Style"/>
          <w:lang w:val="en-US"/>
        </w:rPr>
        <w:t xml:space="preserve"> </w:t>
      </w:r>
      <w:r w:rsidRPr="009F0BF5">
        <w:rPr>
          <w:rStyle w:val="Fontdeparagrafimplicit"/>
          <w:rFonts w:ascii="Bookman Old Style" w:hAnsi="Bookman Old Style"/>
          <w:lang w:val="en-US"/>
        </w:rPr>
        <w:t>drept</w:t>
      </w:r>
      <w:r w:rsidRPr="009F0BF5">
        <w:rPr>
          <w:rStyle w:val="Fontdeparagrafimplicit"/>
          <w:rFonts w:ascii="Bookman Old Style" w:hAnsi="Bookman Old Style"/>
          <w:lang w:val="en-US"/>
        </w:rPr>
        <w:t xml:space="preserve"> </w:t>
      </w:r>
      <w:r w:rsidRPr="009F0BF5">
        <w:rPr>
          <w:rStyle w:val="Fontdeparagrafimplicit"/>
          <w:rFonts w:ascii="Bookman Old Style" w:hAnsi="Bookman Old Style"/>
          <w:lang w:val="en-US"/>
        </w:rPr>
        <w:t>a</w:t>
      </w:r>
      <w:r w:rsidRPr="009F0BF5">
        <w:rPr>
          <w:rStyle w:val="Fontdeparagrafimplicit"/>
          <w:rFonts w:ascii="Bookman Old Style" w:hAnsi="Bookman Old Style"/>
          <w:lang w:val="en-US"/>
        </w:rPr>
        <w:t xml:space="preserve"> </w:t>
      </w:r>
      <w:r w:rsidRPr="009F0BF5">
        <w:rPr>
          <w:rStyle w:val="Fontdeparagrafimplicit"/>
          <w:rFonts w:ascii="Bookman Old Style" w:hAnsi="Bookman Old Style"/>
          <w:lang w:val="en-US"/>
        </w:rPr>
        <w:t>invocat</w:t>
      </w:r>
      <w:r w:rsidRPr="009F0BF5">
        <w:rPr>
          <w:rStyle w:val="Fontdeparagrafimplicit"/>
          <w:rFonts w:ascii="Bookman Old Style" w:hAnsi="Bookman Old Style"/>
          <w:lang w:val="en-US"/>
        </w:rPr>
        <w:t xml:space="preserve"> art.306 alin.2, 242 alin.2 Cod </w:t>
      </w:r>
      <w:r w:rsidRPr="009F0BF5">
        <w:rPr>
          <w:rStyle w:val="Fontdeparagrafimplicit"/>
          <w:rFonts w:ascii="Bookman Old Style" w:hAnsi="Bookman Old Style"/>
          <w:lang w:val="en-US"/>
        </w:rPr>
        <w:t>procedură</w:t>
      </w:r>
      <w:r w:rsidRPr="009F0BF5">
        <w:rPr>
          <w:rStyle w:val="Fontdeparagrafimplicit"/>
          <w:rFonts w:ascii="Bookman Old Style" w:hAnsi="Bookman Old Style"/>
          <w:lang w:val="en-US"/>
        </w:rPr>
        <w:t xml:space="preserve"> civilă.</w:t>
      </w:r>
    </w:p>
    <w:p w:rsidRPr="009F0BF5" w:rsidR="003D3D74" w14:paraId="600329E3" w14:textId="77777777">
      <w:pPr>
        <w:ind w:firstLine="708"/>
        <w:jc w:val="both"/>
        <w:rPr>
          <w:rStyle w:val="Fontdeparagrafimplicit"/>
          <w:rFonts w:ascii="Bookman Old Style" w:hAnsi="Bookman Old Style"/>
          <w:i/>
          <w:lang w:val="pt-PT"/>
        </w:rPr>
      </w:pPr>
      <w:r w:rsidRPr="009F0BF5">
        <w:rPr>
          <w:rStyle w:val="Fontdeparagrafimplicit"/>
          <w:rFonts w:ascii="Bookman Old Style" w:hAnsi="Bookman Old Style"/>
          <w:i/>
          <w:lang w:val="pt-PT"/>
        </w:rPr>
        <w:t>Analizând actele şi lucrările dosarului, din perspectiva criticilor formulate în cererea de recurs, Curtea reţine următoarele:</w:t>
      </w:r>
    </w:p>
    <w:p w:rsidRPr="009F0BF5" w:rsidR="003D3D74" w14:paraId="746AE35F" w14:textId="6C6A4CA1">
      <w:pPr>
        <w:numPr>
          <w:ilvl w:val="0"/>
          <w:numId w:val="1"/>
        </w:numPr>
        <w:jc w:val="both"/>
        <w:rPr>
          <w:rStyle w:val="Fontdeparagrafimplicit"/>
          <w:rFonts w:ascii="Bookman Old Style" w:hAnsi="Bookman Old Style"/>
          <w:u w:val="single"/>
          <w:lang w:val="pt-PT"/>
        </w:rPr>
      </w:pPr>
      <w:r w:rsidRPr="009F0BF5">
        <w:rPr>
          <w:rStyle w:val="Fontdeparagrafimplicit"/>
          <w:rFonts w:ascii="Bookman Old Style" w:hAnsi="Bookman Old Style"/>
          <w:u w:val="single"/>
          <w:lang w:val="pt-PT"/>
        </w:rPr>
        <w:t xml:space="preserve">Cu privire la recursul pârâtului Primarul Municipiului </w:t>
      </w:r>
      <w:r>
        <w:rPr>
          <w:rStyle w:val="Fontdeparagrafimplicit"/>
          <w:rFonts w:ascii="Bookman Old Style" w:hAnsi="Bookman Old Style"/>
          <w:u w:val="single"/>
          <w:lang w:val="pt-PT"/>
        </w:rPr>
        <w:t xml:space="preserve">B.......... </w:t>
      </w:r>
    </w:p>
    <w:p w:rsidRPr="009F0BF5" w:rsidR="003D3D74" w14:paraId="43A1A1A8" w14:textId="77777777">
      <w:pPr>
        <w:ind w:firstLine="720"/>
        <w:jc w:val="both"/>
        <w:rPr>
          <w:rStyle w:val="Fontdeparagrafimplicit"/>
          <w:rFonts w:ascii="Bookman Old Style" w:hAnsi="Bookman Old Style"/>
          <w:lang w:val="pt-PT"/>
        </w:rPr>
      </w:pPr>
      <w:r w:rsidRPr="009F0BF5">
        <w:rPr>
          <w:rStyle w:val="Fontdeparagrafimplicit"/>
          <w:rFonts w:ascii="Bookman Old Style" w:hAnsi="Bookman Old Style"/>
          <w:lang w:val="pt-PT"/>
        </w:rPr>
        <w:t>Din verificarea dosarului de fond rezultă că criticile subsumate motivului de recurs prevăzut de art. 304 pct. 1 C.proc.civ. sunt nefondate, deoarece completul care a soluţionat în primă instanţă prezenta cauză având ca obiect un conflict de muncă, în mod corect şi în concordanţă cu prevederile art. 55 alin. 1 din Legea nr. 304/2004 privind organizarea judiciară, a fost constituit dintr-un judecător şi 2 asistenţi judiciari.</w:t>
      </w:r>
    </w:p>
    <w:p w:rsidRPr="009F0BF5" w:rsidR="003D3D74" w14:paraId="2AC38479"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În ce priveşte nulitatea hotărârii atacate, argumentată de faptul că opinia asistenţilor judiciari nu a fost consemnată în hotărâre, Curtea reţine că dispoziţiile art. 55 alin. 2 din Legea nr. 304/2004 stabilesc că „Asistenţii judiciari participă la deliberări cu vot consultativ şi semnează hotărârile pronunţate. Opinia acestora se consemnează în hotărâre, iar opinia separată se motivează”.</w:t>
      </w:r>
    </w:p>
    <w:p w:rsidRPr="009F0BF5" w:rsidR="003D3D74" w14:paraId="29BDD2A7"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Din conţinutul acestei prevederi rezultă că atunci când opinia asistenţilor judiciari coincide cu aceea a judecătorului cauzei, nu este necesară menţionarea distinctă în minută şi, apoi, în dispozitivul sentinţei a opiniei acestora, fiind evident că semnarea minutei ce cuprinde soluţia fără opinie separată de către aceştia alături de judecător, demonstrează că soluţia reflectă şi propria lor opinie.</w:t>
      </w:r>
    </w:p>
    <w:p w:rsidRPr="009F0BF5" w:rsidR="003D3D74" w14:paraId="72470916"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În speţă, într-adevăr minuta ce cuprinde soluţia recurată a fost semnată alături de judecător şi de către cei doi asistenţi judiciari, fără a se menţiona şi existenţa unei opinii, ceea ce înseamnă că nu au existat, între aceştia, diferenţe de opinie care să impună menţionarea distinctă a opiniei asistenţilor judiciari. </w:t>
      </w:r>
    </w:p>
    <w:p w:rsidRPr="009F0BF5" w:rsidR="003D3D74" w14:paraId="2A348894"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Indicarea distinctă a opiniei, urmată de motivarea acesteia, este necesară numai atunci când opinia asistenţilor judiciari nu ar coincide, în totul sau în </w:t>
      </w:r>
      <w:r w:rsidRPr="009F0BF5">
        <w:rPr>
          <w:rStyle w:val="Fontdeparagrafimplicit"/>
          <w:rFonts w:ascii="Bookman Old Style" w:hAnsi="Bookman Old Style"/>
          <w:lang w:val="pt-PT"/>
        </w:rPr>
        <w:t>parte, cu aceea a judecătorului. Într-o asemenea situaţie, menţionarea separată a opiniei şi apoi motivarea acesteia reprezintă modalităţi procedurale ce permit a se cunoaşte că între opinia judecătorului şi aceea a unuia sau a ambilor asistenţi judiciari, au existat diferenţe, precum şi justificarea legală a opiniei asistenţilor judiciari.</w:t>
      </w:r>
    </w:p>
    <w:p w:rsidRPr="009F0BF5" w:rsidR="003D3D74" w14:paraId="3C686BB5"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Curtea apreciază că nu se poate reţine în sensul celor pretinse de recurent, şi anume că hotărârea primei instanţe este lovită de nulitate, astfel încât nu este incident motivul de casare prevăzut de art. 304 pct. 5 C.proc.civ., căruia i se subsumează criticile din cererea de recurs, cererea fiind soluţionată în mod echitabil fără a fi încălcate dispoziţiile art. 6.1 din Convenţia pentru Drepturile Omului. </w:t>
      </w:r>
    </w:p>
    <w:p w:rsidRPr="009F0BF5" w:rsidR="003D3D74" w14:paraId="0CF8E5B5"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Contrar susţinerilor recurentului, se constată că hotărârea recurată, respectiv unul dintre cele două exemplare originale depus potrivit art. 266 C.proc.civ. la dosarul de fond, a fost semnată de către judecător, fiind respectate prevederile art. 261 alin. 1 pct. 8 C.proc.civ. Menţiunea indicată de către recurent, şi anume „pentru conformitate”, nu s-a aplicat pe exemplarul original al sentinţei aflat la dosarul cauzei, ci doar copiile comunicate părţilor potrivit art. 266 alin. 3 C.proc.civ. </w:t>
      </w:r>
    </w:p>
    <w:p w:rsidRPr="009F0BF5" w:rsidR="003D3D74" w14:paraId="43911A42"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Ţinând seama de aceste considerente, Curtea apreciază ca hotărârea fondului este legală şi temeinică, astfel ca o va menţine ca atare, urmând ca în temeiul dispoziţiilor art. 312 alin. 1 C.proc.civ. să respingă ca nefondat recursul declarat de pârât, în cauză nefiind incidente motivele de recurs invocate.</w:t>
      </w:r>
    </w:p>
    <w:p w:rsidRPr="009F0BF5" w:rsidR="003D3D74" w14:paraId="30A93716" w14:textId="77777777">
      <w:pPr>
        <w:ind w:firstLine="708"/>
        <w:jc w:val="both"/>
        <w:rPr>
          <w:rStyle w:val="Fontdeparagrafimplicit"/>
          <w:rFonts w:ascii="Bookman Old Style" w:hAnsi="Bookman Old Style"/>
          <w:lang w:val="pt-PT"/>
        </w:rPr>
      </w:pPr>
    </w:p>
    <w:p w:rsidRPr="009F0BF5" w:rsidR="003D3D74" w14:paraId="66B30A0D" w14:textId="44D0C842">
      <w:pPr>
        <w:numPr>
          <w:ilvl w:val="0"/>
          <w:numId w:val="1"/>
        </w:numPr>
        <w:jc w:val="both"/>
        <w:rPr>
          <w:rStyle w:val="Fontdeparagrafimplicit"/>
          <w:rFonts w:ascii="Bookman Old Style" w:hAnsi="Bookman Old Style"/>
          <w:u w:val="single"/>
          <w:lang w:val="pt-PT"/>
        </w:rPr>
      </w:pPr>
      <w:r w:rsidRPr="009F0BF5">
        <w:rPr>
          <w:rStyle w:val="Fontdeparagrafimplicit"/>
          <w:rFonts w:ascii="Bookman Old Style" w:hAnsi="Bookman Old Style"/>
          <w:u w:val="single"/>
          <w:lang w:val="pt-PT"/>
        </w:rPr>
        <w:t xml:space="preserve">Cu privire la recursul pârâtului Consiliul Local al Municipiului </w:t>
      </w:r>
      <w:r>
        <w:rPr>
          <w:rStyle w:val="Fontdeparagrafimplicit"/>
          <w:rFonts w:ascii="Bookman Old Style" w:hAnsi="Bookman Old Style"/>
          <w:u w:val="single"/>
          <w:lang w:val="pt-PT"/>
        </w:rPr>
        <w:t xml:space="preserve">B.......... </w:t>
      </w:r>
    </w:p>
    <w:p w:rsidRPr="009F0BF5" w:rsidR="003D3D74" w14:paraId="7D95845D" w14:textId="77777777">
      <w:pPr>
        <w:ind w:firstLine="705"/>
        <w:jc w:val="both"/>
        <w:rPr>
          <w:rStyle w:val="Fontdeparagrafimplicit"/>
          <w:rFonts w:ascii="Bookman Old Style" w:hAnsi="Bookman Old Style"/>
          <w:lang w:val="pt-PT"/>
        </w:rPr>
      </w:pPr>
      <w:r w:rsidRPr="009F0BF5">
        <w:rPr>
          <w:rStyle w:val="Fontdeparagrafimplicit"/>
          <w:rFonts w:ascii="Bookman Old Style" w:hAnsi="Bookman Old Style"/>
          <w:lang w:val="pt-PT"/>
        </w:rPr>
        <w:t>Singurele motive de recurs invocate de acest pârât vizează lipsa calităţii sale procesuale pasive.</w:t>
      </w:r>
    </w:p>
    <w:p w:rsidRPr="009F0BF5" w:rsidR="003D3D74" w14:paraId="6C03D659" w14:textId="72A9D35C">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În acest sens, Curtea notează că este evident că împrocesuarea Consiliului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s-a făcut în considerarea calităţii acestuia de organ deliberativ al unităţii administrativ teritoriale, deci în reprezentarea unităţii administrativ teritoriale, aspect care reiese în mod neîndoielnic din modul de formulare a cererii introductive de instanţă. Astfel, prin acţiune se solicită drepturi salariale de către cadrele didactice or, potrivit dispoziţiilor art.1 din HG nr.538/2001, cheltuielile privind finanţarea instituţiilor de învăţământ preuniversitar de stat sunt plătite din bugetele locale ale unităţilor administrativ teritoriale unde îşi au sediul.</w:t>
      </w:r>
    </w:p>
    <w:p w:rsidRPr="009F0BF5" w:rsidR="003D3D74" w14:paraId="6A430A31"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Ca urmare, este evident că ceea ce urmăreşte reclamantul este obţinerea unor surse financiare din cadrul bugetului local.</w:t>
      </w:r>
    </w:p>
    <w:p w:rsidRPr="009F0BF5" w:rsidR="003D3D74" w14:paraId="28EAEF5D"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Pe de altă parte, potrivit art.36 alin.4 din Legea nr.215/2001 Consiliul Local este cel care aproba, la propunerea primarului, bugetul local, virările de credite, modul de utilizare a rezervei bugetare şi contul de încheiere a exerciţiului bugetar.</w:t>
      </w:r>
    </w:p>
    <w:p w:rsidRPr="009F0BF5" w:rsidR="003D3D74" w14:paraId="57ED9C66"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Aceste atribuţii au fost avute în vedere de către reclamant pentru a solicita în contradictoriu cu acest pârât admiterea acţiunii.</w:t>
      </w:r>
    </w:p>
    <w:p w:rsidRPr="009F0BF5" w:rsidR="003D3D74" w14:paraId="5195D82F"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Ca atare, Curtea reţine că admiterea acţiunii faţă de acest pârât se datorează nu calităţii sale de ordonator de credite (calitate pe care o are de altfel primarul) ci, aşa cum s-a arătat mai sus, calităţii de organ deliberativ în măsură să aprobe bugetul  local şi care astfel, în reprezentarea unităţii administrativ teritoriale, are abilitatea de a asigura sumele necesare plăţii drepturilor salariale ale cadrelor didactice.</w:t>
      </w:r>
    </w:p>
    <w:p w:rsidRPr="009F0BF5" w:rsidR="003D3D74" w14:paraId="7C9368D3" w14:textId="77777777">
      <w:pPr>
        <w:jc w:val="both"/>
        <w:rPr>
          <w:rStyle w:val="Fontdeparagrafimplicit"/>
          <w:rFonts w:ascii="Bookman Old Style" w:hAnsi="Bookman Old Style"/>
          <w:lang w:val="pt-PT"/>
        </w:rPr>
      </w:pPr>
      <w:r w:rsidRPr="009F0BF5">
        <w:rPr>
          <w:rStyle w:val="Fontdeparagrafimplicit"/>
          <w:rFonts w:ascii="Bookman Old Style" w:hAnsi="Bookman Old Style"/>
          <w:lang w:val="pt-PT"/>
        </w:rPr>
        <w:tab/>
        <w:t xml:space="preserve">Faţă de considerentele ce preced, Curtea urmează a respinge ca nefondat recursul acestui pârât, potrivit dispoziţiilor art.312 alin.1 C.pr.civ. </w:t>
      </w:r>
    </w:p>
    <w:p w:rsidRPr="009F0BF5" w:rsidR="003D3D74" w14:paraId="3E295A1E" w14:textId="77777777">
      <w:pPr>
        <w:ind w:firstLine="708"/>
        <w:jc w:val="both"/>
        <w:rPr>
          <w:rStyle w:val="Fontdeparagrafimplicit"/>
          <w:rFonts w:ascii="Bookman Old Style" w:hAnsi="Bookman Old Style"/>
          <w:lang w:val="pt-PT"/>
        </w:rPr>
      </w:pPr>
    </w:p>
    <w:p w:rsidRPr="009F0BF5" w:rsidR="003D3D74" w14:paraId="5373074A" w14:textId="77777777">
      <w:pPr>
        <w:ind w:left="705"/>
        <w:jc w:val="both"/>
        <w:rPr>
          <w:rStyle w:val="Fontdeparagrafimplicit"/>
          <w:rFonts w:ascii="Bookman Old Style" w:hAnsi="Bookman Old Style"/>
          <w:lang w:val="pt-PT"/>
        </w:rPr>
      </w:pPr>
    </w:p>
    <w:p w:rsidRPr="009F0BF5" w:rsidR="003D3D74" w14:paraId="7EEB8C47" w14:textId="77777777">
      <w:pPr>
        <w:ind w:firstLine="708"/>
        <w:jc w:val="both"/>
        <w:rPr>
          <w:rStyle w:val="Fontdeparagrafimplicit"/>
          <w:rFonts w:ascii="Bookman Old Style" w:hAnsi="Bookman Old Style"/>
          <w:i/>
          <w:lang w:val="pt-PT"/>
        </w:rPr>
      </w:pPr>
    </w:p>
    <w:p w:rsidRPr="009F0BF5" w:rsidR="003D3D74" w14:paraId="2D717D4D" w14:textId="77777777">
      <w:pPr>
        <w:ind w:firstLine="708"/>
        <w:jc w:val="center"/>
        <w:rPr>
          <w:rStyle w:val="Fontdeparagrafimplicit"/>
          <w:rFonts w:ascii="Bookman Old Style" w:hAnsi="Bookman Old Style"/>
          <w:lang w:val="pt-PT"/>
        </w:rPr>
      </w:pPr>
      <w:r w:rsidRPr="009F0BF5">
        <w:rPr>
          <w:rStyle w:val="Fontdeparagrafimplicit"/>
          <w:rFonts w:ascii="Bookman Old Style" w:hAnsi="Bookman Old Style"/>
          <w:lang w:val="pt-PT"/>
        </w:rPr>
        <w:t>PENTRU ACESTE MOTIVE</w:t>
      </w:r>
    </w:p>
    <w:p w:rsidRPr="009F0BF5" w:rsidR="003D3D74" w14:paraId="75E0B009" w14:textId="77777777">
      <w:pPr>
        <w:ind w:firstLine="708"/>
        <w:jc w:val="center"/>
        <w:rPr>
          <w:rStyle w:val="Fontdeparagrafimplicit"/>
          <w:rFonts w:ascii="Bookman Old Style" w:hAnsi="Bookman Old Style"/>
          <w:lang w:val="pt-PT"/>
        </w:rPr>
      </w:pPr>
      <w:r w:rsidRPr="009F0BF5">
        <w:rPr>
          <w:rStyle w:val="Fontdeparagrafimplicit"/>
          <w:rFonts w:ascii="Bookman Old Style" w:hAnsi="Bookman Old Style"/>
          <w:lang w:val="pt-PT"/>
        </w:rPr>
        <w:t>ÎN NUMELE LEGII</w:t>
      </w:r>
    </w:p>
    <w:p w:rsidRPr="009F0BF5" w:rsidR="003D3D74" w14:paraId="47CE4AE5" w14:textId="77777777">
      <w:pPr>
        <w:ind w:firstLine="708"/>
        <w:jc w:val="center"/>
        <w:rPr>
          <w:rStyle w:val="Fontdeparagrafimplicit"/>
          <w:rFonts w:ascii="Bookman Old Style" w:hAnsi="Bookman Old Style"/>
          <w:lang w:val="pt-PT"/>
        </w:rPr>
      </w:pPr>
      <w:r w:rsidRPr="009F0BF5">
        <w:rPr>
          <w:rStyle w:val="Fontdeparagrafimplicit"/>
          <w:rFonts w:ascii="Bookman Old Style" w:hAnsi="Bookman Old Style"/>
          <w:lang w:val="pt-PT"/>
        </w:rPr>
        <w:t>D E C I D E:</w:t>
      </w:r>
    </w:p>
    <w:p w:rsidRPr="009F0BF5" w:rsidR="003D3D74" w14:paraId="501C1652" w14:textId="77777777">
      <w:pPr>
        <w:ind w:firstLine="708"/>
        <w:jc w:val="both"/>
        <w:rPr>
          <w:rStyle w:val="Fontdeparagrafimplicit"/>
          <w:rFonts w:ascii="Bookman Old Style" w:hAnsi="Bookman Old Style"/>
          <w:lang w:val="pt-PT"/>
        </w:rPr>
      </w:pPr>
    </w:p>
    <w:p w:rsidRPr="009F0BF5" w:rsidR="003D3D74" w14:paraId="60912D8A" w14:textId="377EE42D">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Respinge ca nefondate recursurile declarate de pârâţii CONSILIUL LOCAL AL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 respectiv PRIMARUL MUNICIPIULUI </w:t>
      </w:r>
      <w:r>
        <w:rPr>
          <w:rStyle w:val="Fontdeparagrafimplicit"/>
          <w:rFonts w:ascii="Bookman Old Style" w:hAnsi="Bookman Old Style"/>
          <w:lang w:val="pt-PT"/>
        </w:rPr>
        <w:t xml:space="preserve">B............ </w:t>
      </w:r>
      <w:r w:rsidRPr="009F0BF5">
        <w:rPr>
          <w:rStyle w:val="Fontdeparagrafimplicit"/>
          <w:rFonts w:ascii="Bookman Old Style" w:hAnsi="Bookman Old Style"/>
          <w:lang w:val="pt-PT"/>
        </w:rPr>
        <w:t xml:space="preserve">împotriva sentinţei civile nr.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din </w:t>
      </w:r>
      <w:r>
        <w:rPr>
          <w:rStyle w:val="Fontdeparagrafimplicit"/>
          <w:rFonts w:ascii="Bookman Old Style" w:hAnsi="Bookman Old Style"/>
          <w:lang w:val="pt-PT"/>
        </w:rPr>
        <w:t xml:space="preserve">........... </w:t>
      </w:r>
      <w:r w:rsidRPr="009F0BF5">
        <w:rPr>
          <w:rStyle w:val="Fontdeparagrafimplicit"/>
          <w:rFonts w:ascii="Bookman Old Style" w:hAnsi="Bookman Old Style"/>
          <w:lang w:val="pt-PT"/>
        </w:rPr>
        <w:t xml:space="preserve">a Tribunalului </w:t>
      </w:r>
      <w:r>
        <w:rPr>
          <w:rStyle w:val="Fontdeparagrafimplicit"/>
          <w:rFonts w:ascii="Bookman Old Style" w:hAnsi="Bookman Old Style"/>
          <w:lang w:val="pt-PT"/>
        </w:rPr>
        <w:t xml:space="preserve">M........... </w:t>
      </w:r>
      <w:r w:rsidRPr="009F0BF5">
        <w:rPr>
          <w:rStyle w:val="Fontdeparagrafimplicit"/>
          <w:rFonts w:ascii="Bookman Old Style" w:hAnsi="Bookman Old Style"/>
          <w:lang w:val="pt-PT"/>
        </w:rPr>
        <w:t xml:space="preserve">pronunţată în dosar nr. </w:t>
      </w:r>
      <w:r>
        <w:rPr>
          <w:rStyle w:val="Fontdeparagrafimplicit"/>
          <w:rFonts w:ascii="Bookman Old Style" w:hAnsi="Bookman Old Style"/>
          <w:lang w:val="pt-PT"/>
        </w:rPr>
        <w:t>24</w:t>
      </w:r>
      <w:r w:rsidRPr="009F0BF5">
        <w:rPr>
          <w:rStyle w:val="Fontdeparagrafimplicit"/>
          <w:rFonts w:ascii="Bookman Old Style" w:hAnsi="Bookman Old Style"/>
          <w:lang w:val="pt-PT"/>
        </w:rPr>
        <w:t>, pe care o menţine.</w:t>
      </w:r>
    </w:p>
    <w:p w:rsidRPr="009F0BF5" w:rsidR="003D3D74" w14:paraId="3C8CFA99" w14:textId="77777777">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Decizia este irevocabilă.</w:t>
      </w:r>
    </w:p>
    <w:p w:rsidRPr="009F0BF5" w:rsidR="003D3D74" w14:paraId="077695E7" w14:textId="57B0B6BD">
      <w:pPr>
        <w:ind w:firstLine="708"/>
        <w:jc w:val="both"/>
        <w:rPr>
          <w:rStyle w:val="Fontdeparagrafimplicit"/>
          <w:rFonts w:ascii="Bookman Old Style" w:hAnsi="Bookman Old Style"/>
          <w:lang w:val="pt-PT"/>
        </w:rPr>
      </w:pPr>
      <w:r w:rsidRPr="009F0BF5">
        <w:rPr>
          <w:rStyle w:val="Fontdeparagrafimplicit"/>
          <w:rFonts w:ascii="Bookman Old Style" w:hAnsi="Bookman Old Style"/>
          <w:lang w:val="pt-PT"/>
        </w:rPr>
        <w:t xml:space="preserve">Dată şi pronunţată în şedinţa publică din </w:t>
      </w:r>
      <w:r>
        <w:rPr>
          <w:rStyle w:val="Fontdeparagrafimplicit"/>
          <w:rFonts w:ascii="Bookman Old Style" w:hAnsi="Bookman Old Style"/>
          <w:lang w:val="pt-PT"/>
        </w:rPr>
        <w:t>.............</w:t>
      </w:r>
      <w:r w:rsidRPr="009F0BF5">
        <w:rPr>
          <w:rStyle w:val="Fontdeparagrafimplicit"/>
          <w:rFonts w:ascii="Bookman Old Style" w:hAnsi="Bookman Old Style"/>
          <w:lang w:val="pt-PT"/>
        </w:rPr>
        <w:t>.</w:t>
      </w:r>
    </w:p>
    <w:p w:rsidRPr="009F0BF5" w:rsidR="003D3D74" w14:paraId="6B617BFB" w14:textId="77777777">
      <w:pPr>
        <w:ind w:firstLine="708"/>
        <w:jc w:val="both"/>
        <w:rPr>
          <w:rStyle w:val="Fontdeparagrafimplicit"/>
          <w:rFonts w:ascii="Bookman Old Style" w:hAnsi="Bookman Old Style"/>
          <w:sz w:val="22"/>
          <w:lang w:val="pt-PT"/>
        </w:rPr>
      </w:pPr>
    </w:p>
    <w:p w:rsidRPr="009F0BF5" w:rsidR="003D3D74" w14:paraId="15DE4DD0" w14:textId="77777777">
      <w:pPr>
        <w:rPr>
          <w:rStyle w:val="Fontdeparagrafimplicit"/>
          <w:rFonts w:ascii="Bookman Old Style" w:hAnsi="Bookman Old Style"/>
          <w:b/>
          <w:sz w:val="22"/>
          <w:lang w:val="pt-PT"/>
        </w:rPr>
      </w:pPr>
      <w:r w:rsidRPr="009F0BF5">
        <w:rPr>
          <w:rStyle w:val="Fontdeparagrafimplicit"/>
          <w:rFonts w:ascii="Bookman Old Style" w:hAnsi="Bookman Old Style"/>
          <w:sz w:val="22"/>
          <w:lang w:val="pt-PT"/>
        </w:rPr>
        <w:t xml:space="preserve">        </w:t>
      </w:r>
      <w:r w:rsidRPr="009F0BF5">
        <w:rPr>
          <w:rStyle w:val="Fontdeparagrafimplicit"/>
          <w:rFonts w:ascii="Bookman Old Style" w:hAnsi="Bookman Old Style"/>
          <w:b/>
          <w:sz w:val="22"/>
          <w:lang w:val="pt-PT"/>
        </w:rPr>
        <w:t xml:space="preserve">PREŞEDINTE                                                            JUDECĂTORI </w:t>
      </w:r>
    </w:p>
    <w:p w:rsidRPr="009F0BF5" w:rsidR="003D3D74" w:rsidP="009F0BF5" w14:paraId="0C5BE155" w14:textId="52E6B50B">
      <w:pPr>
        <w:ind w:firstLine="720"/>
        <w:rPr>
          <w:rStyle w:val="Fontdeparagrafimplicit"/>
          <w:rFonts w:ascii="Bookman Old Style" w:hAnsi="Bookman Old Style"/>
          <w:b/>
          <w:sz w:val="22"/>
          <w:lang w:val="pt-PT"/>
        </w:rPr>
      </w:pPr>
      <w:r>
        <w:rPr>
          <w:rStyle w:val="Fontdeparagrafimplicit"/>
          <w:rFonts w:ascii="Bookman Old Style" w:hAnsi="Bookman Old Style"/>
          <w:b/>
          <w:sz w:val="22"/>
          <w:lang w:val="pt-PT"/>
        </w:rPr>
        <w:t>A0019</w:t>
      </w:r>
      <w:r w:rsidRPr="009F0BF5">
        <w:rPr>
          <w:rStyle w:val="Fontdeparagrafimplicit"/>
          <w:rFonts w:ascii="Bookman Old Style" w:hAnsi="Bookman Old Style"/>
          <w:b/>
          <w:sz w:val="22"/>
          <w:lang w:val="pt-PT"/>
        </w:rPr>
        <w:t xml:space="preserve">     </w:t>
      </w:r>
      <w:r>
        <w:rPr>
          <w:rStyle w:val="Fontdeparagrafimplicit"/>
          <w:rFonts w:ascii="Bookman Old Style" w:hAnsi="Bookman Old Style"/>
          <w:b/>
          <w:sz w:val="22"/>
          <w:lang w:val="pt-PT"/>
        </w:rPr>
        <w:tab/>
      </w:r>
      <w:r>
        <w:rPr>
          <w:rStyle w:val="Fontdeparagrafimplicit"/>
          <w:rFonts w:ascii="Bookman Old Style" w:hAnsi="Bookman Old Style"/>
          <w:b/>
          <w:sz w:val="22"/>
          <w:lang w:val="pt-PT"/>
        </w:rPr>
        <w:tab/>
      </w:r>
      <w:r>
        <w:rPr>
          <w:rStyle w:val="Fontdeparagrafimplicit"/>
          <w:rFonts w:ascii="Bookman Old Style" w:hAnsi="Bookman Old Style"/>
          <w:b/>
          <w:sz w:val="22"/>
          <w:lang w:val="pt-PT"/>
        </w:rPr>
        <w:tab/>
      </w:r>
      <w:r>
        <w:rPr>
          <w:rStyle w:val="Fontdeparagrafimplicit"/>
          <w:rFonts w:ascii="Bookman Old Style" w:hAnsi="Bookman Old Style"/>
          <w:b/>
          <w:sz w:val="22"/>
          <w:lang w:val="pt-PT"/>
        </w:rPr>
        <w:tab/>
      </w:r>
      <w:r>
        <w:rPr>
          <w:rStyle w:val="Fontdeparagrafimplicit"/>
          <w:rFonts w:ascii="Bookman Old Style" w:hAnsi="Bookman Old Style"/>
          <w:b/>
          <w:sz w:val="22"/>
          <w:lang w:val="pt-PT"/>
        </w:rPr>
        <w:tab/>
      </w:r>
      <w:r>
        <w:rPr>
          <w:rStyle w:val="Fontdeparagrafimplicit"/>
          <w:rFonts w:ascii="Bookman Old Style" w:hAnsi="Bookman Old Style"/>
          <w:b/>
          <w:sz w:val="22"/>
          <w:lang w:val="pt-PT"/>
        </w:rPr>
        <w:tab/>
      </w:r>
      <w:r w:rsidRPr="009F0BF5">
        <w:rPr>
          <w:rStyle w:val="Fontdeparagrafimplicit"/>
          <w:rFonts w:ascii="Bookman Old Style" w:hAnsi="Bookman Old Style"/>
          <w:b/>
          <w:sz w:val="22"/>
          <w:lang w:val="pt-PT"/>
        </w:rPr>
        <w:t xml:space="preserve"> </w:t>
      </w:r>
      <w:r>
        <w:rPr>
          <w:rStyle w:val="Fontdeparagrafimplicit"/>
          <w:rFonts w:ascii="Bookman Old Style" w:hAnsi="Bookman Old Style"/>
          <w:b/>
          <w:sz w:val="22"/>
          <w:lang w:val="pt-PT"/>
        </w:rPr>
        <w:t xml:space="preserve">................ </w:t>
      </w:r>
      <w:r w:rsidRPr="009F0BF5">
        <w:rPr>
          <w:rStyle w:val="Fontdeparagrafimplicit"/>
          <w:rFonts w:ascii="Bookman Old Style" w:hAnsi="Bookman Old Style"/>
          <w:b/>
          <w:sz w:val="22"/>
          <w:lang w:val="pt-PT"/>
        </w:rPr>
        <w:t xml:space="preserve">    </w:t>
      </w:r>
      <w:r>
        <w:rPr>
          <w:rStyle w:val="Fontdeparagrafimplicit"/>
          <w:rFonts w:ascii="Bookman Old Style" w:hAnsi="Bookman Old Style"/>
          <w:b/>
          <w:sz w:val="22"/>
          <w:lang w:val="pt-PT"/>
        </w:rPr>
        <w:t xml:space="preserve">................ </w:t>
      </w:r>
      <w:r w:rsidRPr="009F0BF5">
        <w:rPr>
          <w:rStyle w:val="Fontdeparagrafimplicit"/>
          <w:rFonts w:ascii="Bookman Old Style" w:hAnsi="Bookman Old Style"/>
          <w:b/>
          <w:sz w:val="22"/>
          <w:lang w:val="pt-PT"/>
        </w:rPr>
        <w:t xml:space="preserve">          </w:t>
      </w:r>
    </w:p>
    <w:p w:rsidRPr="009F0BF5" w:rsidR="003D3D74" w14:paraId="3BE03945" w14:textId="77777777">
      <w:pPr>
        <w:rPr>
          <w:rStyle w:val="Fontdeparagrafimplicit"/>
          <w:rFonts w:ascii="Bookman Old Style" w:hAnsi="Bookman Old Style"/>
          <w:b/>
          <w:sz w:val="22"/>
          <w:lang w:val="pt-PT"/>
        </w:rPr>
      </w:pPr>
    </w:p>
    <w:p w:rsidRPr="009F0BF5" w:rsidR="003D3D74" w14:paraId="2401D92B" w14:textId="77777777">
      <w:pPr>
        <w:rPr>
          <w:rStyle w:val="Fontdeparagrafimplicit"/>
          <w:rFonts w:ascii="Bookman Old Style" w:hAnsi="Bookman Old Style"/>
          <w:b/>
          <w:sz w:val="22"/>
          <w:lang w:val="pt-PT"/>
        </w:rPr>
      </w:pPr>
    </w:p>
    <w:p w:rsidRPr="009F0BF5" w:rsidR="003D3D74" w14:paraId="75F51CEF" w14:textId="77777777">
      <w:pPr>
        <w:rPr>
          <w:rStyle w:val="Fontdeparagrafimplicit"/>
          <w:rFonts w:ascii="Bookman Old Style" w:hAnsi="Bookman Old Style"/>
          <w:b/>
          <w:sz w:val="22"/>
          <w:lang w:val="pt-PT"/>
        </w:rPr>
      </w:pPr>
    </w:p>
    <w:p w:rsidRPr="009F0BF5" w:rsidR="003D3D74" w14:paraId="5764069E" w14:textId="77777777">
      <w:pPr>
        <w:rPr>
          <w:rStyle w:val="Fontdeparagrafimplicit"/>
          <w:rFonts w:ascii="Bookman Old Style" w:hAnsi="Bookman Old Style"/>
          <w:b/>
          <w:sz w:val="22"/>
          <w:lang w:val="pt-PT"/>
        </w:rPr>
      </w:pPr>
    </w:p>
    <w:p w:rsidRPr="009F0BF5" w:rsidR="003D3D74" w14:paraId="335EB6BD" w14:textId="77777777">
      <w:pPr>
        <w:rPr>
          <w:rStyle w:val="Fontdeparagrafimplicit"/>
          <w:rFonts w:ascii="Bookman Old Style" w:hAnsi="Bookman Old Style"/>
          <w:b/>
          <w:sz w:val="22"/>
          <w:lang w:val="pt-PT"/>
        </w:rPr>
      </w:pPr>
    </w:p>
    <w:p w:rsidRPr="009F0BF5" w:rsidR="003D3D74" w14:paraId="5395343F" w14:textId="77777777">
      <w:pPr>
        <w:rPr>
          <w:rStyle w:val="Fontdeparagrafimplicit"/>
          <w:rFonts w:ascii="Bookman Old Style" w:hAnsi="Bookman Old Style"/>
          <w:b/>
          <w:sz w:val="22"/>
          <w:lang w:val="pt-PT"/>
        </w:rPr>
      </w:pPr>
    </w:p>
    <w:p w:rsidRPr="009F0BF5" w:rsidR="003D3D74" w14:paraId="1E022896" w14:textId="77777777">
      <w:pPr>
        <w:jc w:val="center"/>
        <w:rPr>
          <w:rStyle w:val="Fontdeparagrafimplicit"/>
          <w:rFonts w:ascii="Bookman Old Style" w:hAnsi="Bookman Old Style"/>
          <w:b/>
          <w:sz w:val="22"/>
          <w:lang w:val="pt-PT"/>
        </w:rPr>
      </w:pPr>
      <w:r w:rsidRPr="009F0BF5">
        <w:rPr>
          <w:rStyle w:val="Fontdeparagrafimplicit"/>
          <w:rFonts w:ascii="Bookman Old Style" w:hAnsi="Bookman Old Style"/>
          <w:b/>
          <w:sz w:val="22"/>
          <w:lang w:val="pt-PT"/>
        </w:rPr>
        <w:t xml:space="preserve">                                                                                                GREFIER</w:t>
      </w:r>
    </w:p>
    <w:p w:rsidRPr="009F0BF5" w:rsidR="003D3D74" w14:paraId="53DBB1D9" w14:textId="05B45AA5">
      <w:pPr>
        <w:jc w:val="center"/>
        <w:rPr>
          <w:rStyle w:val="Fontdeparagrafimplicit"/>
          <w:rFonts w:ascii="Bookman Old Style" w:hAnsi="Bookman Old Style"/>
          <w:b/>
          <w:sz w:val="22"/>
          <w:lang w:val="pt-PT"/>
        </w:rPr>
      </w:pPr>
      <w:r w:rsidRPr="009F0BF5">
        <w:rPr>
          <w:rStyle w:val="Fontdeparagrafimplicit"/>
          <w:rFonts w:ascii="Bookman Old Style" w:hAnsi="Bookman Old Style"/>
          <w:b/>
          <w:sz w:val="22"/>
          <w:lang w:val="pt-PT"/>
        </w:rPr>
        <w:t xml:space="preserve">                                                                                                </w:t>
      </w:r>
      <w:r>
        <w:rPr>
          <w:rStyle w:val="Fontdeparagrafimplicit"/>
          <w:rFonts w:ascii="Bookman Old Style" w:hAnsi="Bookman Old Style"/>
          <w:b/>
          <w:sz w:val="22"/>
          <w:lang w:val="pt-PT"/>
        </w:rPr>
        <w:t xml:space="preserve">................ </w:t>
      </w:r>
    </w:p>
    <w:p w:rsidRPr="009F0BF5" w:rsidR="003D3D74" w14:paraId="2E42A3E1" w14:textId="77777777">
      <w:pPr>
        <w:rPr>
          <w:rStyle w:val="Fontdeparagrafimplicit"/>
          <w:rFonts w:ascii="Bookman Old Style" w:hAnsi="Bookman Old Style"/>
          <w:b/>
          <w:sz w:val="22"/>
          <w:lang w:val="pt-PT"/>
        </w:rPr>
      </w:pPr>
    </w:p>
    <w:p w:rsidRPr="009F0BF5" w:rsidR="003D3D74" w14:paraId="4D95C49B" w14:textId="77777777">
      <w:pPr>
        <w:rPr>
          <w:rStyle w:val="Fontdeparagrafimplicit"/>
          <w:rFonts w:ascii="Bookman Old Style" w:hAnsi="Bookman Old Style"/>
          <w:b/>
          <w:sz w:val="22"/>
          <w:lang w:val="pt-PT"/>
        </w:rPr>
      </w:pPr>
    </w:p>
    <w:p w:rsidRPr="009F0BF5" w:rsidR="003D3D74" w14:paraId="05A44E4C" w14:textId="77777777">
      <w:pPr>
        <w:jc w:val="both"/>
        <w:rPr>
          <w:rStyle w:val="Fontdeparagrafimplicit"/>
          <w:rFonts w:ascii="Bookman Old Style" w:hAnsi="Bookman Old Style"/>
          <w:sz w:val="16"/>
          <w:lang w:val="pt-PT"/>
        </w:rPr>
      </w:pPr>
    </w:p>
    <w:p w:rsidRPr="009F0BF5" w:rsidR="003D3D74" w14:paraId="0B5C60E0" w14:textId="77777777">
      <w:pPr>
        <w:jc w:val="both"/>
        <w:rPr>
          <w:rStyle w:val="Fontdeparagrafimplicit"/>
          <w:rFonts w:ascii="Bookman Old Style" w:hAnsi="Bookman Old Style"/>
          <w:sz w:val="16"/>
          <w:lang w:val="pt-PT"/>
        </w:rPr>
      </w:pPr>
    </w:p>
    <w:p w:rsidRPr="009F0BF5" w:rsidR="003D3D74" w14:paraId="71FD2BBE" w14:textId="77777777">
      <w:pPr>
        <w:jc w:val="both"/>
        <w:rPr>
          <w:rStyle w:val="Fontdeparagrafimplicit"/>
          <w:rFonts w:ascii="Bookman Old Style" w:hAnsi="Bookman Old Style"/>
          <w:sz w:val="16"/>
          <w:lang w:val="pt-PT"/>
        </w:rPr>
      </w:pPr>
    </w:p>
    <w:p w:rsidRPr="009F0BF5" w:rsidR="003D3D74" w14:paraId="188404F9" w14:textId="77777777">
      <w:pPr>
        <w:jc w:val="both"/>
        <w:rPr>
          <w:rStyle w:val="Fontdeparagrafimplicit"/>
          <w:rFonts w:ascii="Bookman Old Style" w:hAnsi="Bookman Old Style"/>
          <w:sz w:val="16"/>
          <w:lang w:val="pt-PT"/>
        </w:rPr>
      </w:pPr>
    </w:p>
    <w:p w:rsidRPr="009F0BF5" w:rsidR="003D3D74" w14:paraId="1BBF7C22" w14:textId="77777777">
      <w:pPr>
        <w:jc w:val="both"/>
        <w:rPr>
          <w:rStyle w:val="Fontdeparagrafimplicit"/>
          <w:rFonts w:ascii="Bookman Old Style" w:hAnsi="Bookman Old Style"/>
          <w:sz w:val="16"/>
          <w:lang w:val="pt-PT"/>
        </w:rPr>
      </w:pPr>
    </w:p>
    <w:p w:rsidRPr="009F0BF5" w:rsidR="003D3D74" w14:paraId="1C09D642" w14:textId="00C88098">
      <w:pPr>
        <w:jc w:val="both"/>
        <w:rPr>
          <w:rStyle w:val="Fontdeparagrafimplicit"/>
          <w:rFonts w:ascii="Bookman Old Style" w:hAnsi="Bookman Old Style"/>
          <w:sz w:val="16"/>
          <w:lang w:val="pt-PT"/>
        </w:rPr>
      </w:pPr>
      <w:r w:rsidRPr="009F0BF5">
        <w:rPr>
          <w:rStyle w:val="Fontdeparagrafimplicit"/>
          <w:rFonts w:ascii="Bookman Old Style" w:hAnsi="Bookman Old Style"/>
          <w:sz w:val="16"/>
          <w:lang w:val="pt-PT"/>
        </w:rPr>
        <w:t>Red.</w:t>
      </w:r>
      <w:r>
        <w:rPr>
          <w:rStyle w:val="Fontdeparagrafimplicit"/>
          <w:rFonts w:ascii="Bookman Old Style" w:hAnsi="Bookman Old Style"/>
          <w:sz w:val="16"/>
          <w:lang w:val="pt-PT"/>
        </w:rPr>
        <w:t>A0019</w:t>
      </w:r>
      <w:r w:rsidRPr="009F0BF5">
        <w:rPr>
          <w:rStyle w:val="Fontdeparagrafimplicit"/>
          <w:rFonts w:ascii="Bookman Old Style" w:hAnsi="Bookman Old Style"/>
          <w:sz w:val="16"/>
          <w:lang w:val="pt-PT"/>
        </w:rPr>
        <w:t>/dact.</w:t>
      </w:r>
      <w:r>
        <w:rPr>
          <w:rStyle w:val="Fontdeparagrafimplicit"/>
          <w:rFonts w:ascii="Bookman Old Style" w:hAnsi="Bookman Old Style"/>
          <w:sz w:val="16"/>
          <w:lang w:val="pt-PT"/>
        </w:rPr>
        <w:t>.........</w:t>
      </w:r>
    </w:p>
    <w:p w:rsidRPr="009F0BF5" w:rsidR="003D3D74" w14:paraId="406D5467" w14:textId="0B3B09C0">
      <w:pPr>
        <w:jc w:val="both"/>
        <w:rPr>
          <w:rStyle w:val="Fontdeparagrafimplicit"/>
          <w:rFonts w:ascii="Bookman Old Style" w:hAnsi="Bookman Old Style"/>
          <w:sz w:val="16"/>
          <w:lang w:val="pt-PT"/>
        </w:rPr>
      </w:pPr>
      <w:r w:rsidRPr="009F0BF5">
        <w:rPr>
          <w:rStyle w:val="Fontdeparagrafimplicit"/>
          <w:rFonts w:ascii="Bookman Old Style" w:hAnsi="Bookman Old Style"/>
          <w:sz w:val="16"/>
          <w:lang w:val="pt-PT"/>
        </w:rPr>
        <w:t xml:space="preserve">2ex./ </w:t>
      </w:r>
      <w:r>
        <w:rPr>
          <w:rStyle w:val="Fontdeparagrafimplicit"/>
          <w:rFonts w:ascii="Bookman Old Style" w:hAnsi="Bookman Old Style"/>
          <w:sz w:val="16"/>
          <w:lang w:val="pt-PT"/>
        </w:rPr>
        <w:t>.............</w:t>
      </w:r>
    </w:p>
    <w:p w:rsidRPr="009F0BF5" w:rsidR="003D3D74" w14:paraId="3D4BD6A0" w14:textId="366E5954">
      <w:pPr>
        <w:rPr>
          <w:rStyle w:val="Fontdeparagrafimplicit"/>
          <w:rFonts w:ascii="Bookman Old Style" w:hAnsi="Bookman Old Style"/>
          <w:sz w:val="16"/>
          <w:lang w:val="pt-PT"/>
        </w:rPr>
      </w:pPr>
      <w:r w:rsidRPr="009F0BF5">
        <w:rPr>
          <w:rStyle w:val="Fontdeparagrafimplicit"/>
          <w:rFonts w:ascii="Bookman Old Style" w:hAnsi="Bookman Old Style"/>
          <w:sz w:val="16"/>
          <w:lang w:val="pt-PT"/>
        </w:rPr>
        <w:t>Jud.fond:</w:t>
      </w:r>
      <w:r w:rsidRPr="009F0BF5">
        <w:rPr>
          <w:rStyle w:val="Fontdeparagrafimplicit"/>
          <w:b/>
          <w:i/>
          <w:sz w:val="28"/>
          <w:lang w:val="pt-PT"/>
        </w:rPr>
        <w:t xml:space="preserve"> </w:t>
      </w:r>
      <w:r>
        <w:rPr>
          <w:rStyle w:val="Fontdeparagrafimplicit"/>
          <w:rFonts w:ascii="Bookman Old Style" w:hAnsi="Bookman Old Style"/>
          <w:sz w:val="16"/>
          <w:lang w:val="pt-PT"/>
        </w:rPr>
        <w:t>..........</w:t>
      </w:r>
    </w:p>
    <w:p w:rsidRPr="009F0BF5" w:rsidR="003D3D74" w14:paraId="21757E7C" w14:textId="77777777">
      <w:pPr>
        <w:rPr>
          <w:rStyle w:val="Fontdeparagrafimplicit"/>
          <w:lang w:val="pt-PT"/>
        </w:rPr>
      </w:pPr>
    </w:p>
    <w:p w:rsidRPr="009F0BF5" w:rsidR="003D3D74" w14:paraId="33822407" w14:textId="77777777">
      <w:pPr>
        <w:jc w:val="both"/>
        <w:rPr>
          <w:rStyle w:val="Fontdeparagrafimplicit"/>
          <w:lang w:val="pt-PT"/>
        </w:rPr>
      </w:pPr>
    </w:p>
    <w:p w:rsidRPr="009F0BF5" w:rsidR="003D3D74" w14:paraId="22ACF73D" w14:textId="77777777">
      <w:pPr>
        <w:rPr>
          <w:rStyle w:val="Fontdeparagrafimplicit"/>
          <w:lang w:val="pt-PT"/>
        </w:rPr>
      </w:pPr>
    </w:p>
    <w:p w:rsidRPr="009F0BF5" w:rsidR="003D3D74" w14:paraId="609598B4" w14:textId="77777777">
      <w:pPr>
        <w:rPr>
          <w:rStyle w:val="Fontdeparagrafimplicit"/>
          <w:lang w:val="pt-PT"/>
        </w:rPr>
      </w:pPr>
    </w:p>
    <w:p w:rsidRPr="009F0BF5" w:rsidR="003D3D74" w14:paraId="66101E69" w14:textId="77777777">
      <w:pPr>
        <w:rPr>
          <w:rStyle w:val="Fontdeparagrafimplicit"/>
          <w:lang w:val="pt-PT"/>
        </w:rPr>
      </w:pPr>
    </w:p>
    <w:p w:rsidRPr="009F0BF5" w:rsidR="003D3D74" w14:paraId="136B8700" w14:textId="77777777">
      <w:pPr>
        <w:rPr>
          <w:rStyle w:val="Fontdeparagrafimplicit"/>
          <w:lang w:val="pt-PT"/>
        </w:rPr>
      </w:pPr>
    </w:p>
    <w:sectPr>
      <w:footerReference w:type="even" r:id="rId4"/>
      <w:footerReference w:type="default" r:id="rId5"/>
      <w:pgSz w:w="11906" w:h="16838"/>
      <w:pgMar w:top="851" w:right="851" w:bottom="851"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3D74" w14:paraId="1E85752D"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D3D74" w14:paraId="00ED045C"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3D3D74" w14:paraId="15EEC5F6"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D3D74" w14:paraId="042D2CAD" w14:textId="77777777">
    <w:pPr>
      <w:pStyle w:val="Subsol"/>
      <w:rPr>
        <w:rStyle w:val="Numrdepagin"/>
      </w:rP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3F2F1DED"/>
    <w:multiLevelType w:val="multilevel"/>
    <w:tmpl w:val="91D4F9B6"/>
    <w:lvl w:ilvl="0">
      <w:start w:val="1"/>
      <w:numFmt w:val="decimal"/>
      <w:lvlText w:val="%1."/>
      <w:lvlJc w:val="left"/>
      <w:pPr>
        <w:tabs>
          <w:tab w:val="left" w:pos="1065"/>
        </w:tabs>
        <w:ind w:left="1065" w:hanging="360"/>
      </w:pPr>
    </w:lvl>
    <w:lvl w:ilvl="1">
      <w:start w:val="1"/>
      <w:numFmt w:val="lowerLetter"/>
      <w:lvlText w:val="%2."/>
      <w:lvlJc w:val="left"/>
      <w:pPr>
        <w:tabs>
          <w:tab w:val="left" w:pos="1785"/>
        </w:tabs>
        <w:ind w:left="1785" w:hanging="360"/>
      </w:pPr>
    </w:lvl>
    <w:lvl w:ilvl="2">
      <w:start w:val="1"/>
      <w:numFmt w:val="lowerRoman"/>
      <w:lvlText w:val="%3."/>
      <w:lvlJc w:val="right"/>
      <w:pPr>
        <w:tabs>
          <w:tab w:val="left" w:pos="2505"/>
        </w:tabs>
        <w:ind w:left="2505" w:hanging="180"/>
      </w:pPr>
    </w:lvl>
    <w:lvl w:ilvl="3">
      <w:start w:val="1"/>
      <w:numFmt w:val="decimal"/>
      <w:lvlText w:val="%4."/>
      <w:lvlJc w:val="left"/>
      <w:pPr>
        <w:tabs>
          <w:tab w:val="left" w:pos="3225"/>
        </w:tabs>
        <w:ind w:left="3225" w:hanging="360"/>
      </w:pPr>
    </w:lvl>
    <w:lvl w:ilvl="4">
      <w:start w:val="1"/>
      <w:numFmt w:val="lowerLetter"/>
      <w:lvlText w:val="%5."/>
      <w:lvlJc w:val="left"/>
      <w:pPr>
        <w:tabs>
          <w:tab w:val="left" w:pos="3945"/>
        </w:tabs>
        <w:ind w:left="3945" w:hanging="360"/>
      </w:pPr>
    </w:lvl>
    <w:lvl w:ilvl="5">
      <w:start w:val="1"/>
      <w:numFmt w:val="lowerRoman"/>
      <w:lvlText w:val="%6."/>
      <w:lvlJc w:val="right"/>
      <w:pPr>
        <w:tabs>
          <w:tab w:val="left" w:pos="4665"/>
        </w:tabs>
        <w:ind w:left="4665" w:hanging="180"/>
      </w:pPr>
    </w:lvl>
    <w:lvl w:ilvl="6">
      <w:start w:val="1"/>
      <w:numFmt w:val="decimal"/>
      <w:lvlText w:val="%7."/>
      <w:lvlJc w:val="left"/>
      <w:pPr>
        <w:tabs>
          <w:tab w:val="left" w:pos="5385"/>
        </w:tabs>
        <w:ind w:left="5385" w:hanging="360"/>
      </w:pPr>
    </w:lvl>
    <w:lvl w:ilvl="7">
      <w:start w:val="1"/>
      <w:numFmt w:val="lowerLetter"/>
      <w:lvlText w:val="%8."/>
      <w:lvlJc w:val="left"/>
      <w:pPr>
        <w:tabs>
          <w:tab w:val="left" w:pos="6105"/>
        </w:tabs>
        <w:ind w:left="6105" w:hanging="360"/>
      </w:pPr>
    </w:lvl>
    <w:lvl w:ilvl="8">
      <w:start w:val="1"/>
      <w:numFmt w:val="lowerRoman"/>
      <w:lvlText w:val="%9."/>
      <w:lvlJc w:val="right"/>
      <w:pPr>
        <w:tabs>
          <w:tab w:val="left" w:pos="6825"/>
        </w:tabs>
        <w:ind w:left="6825" w:hanging="180"/>
      </w:pPr>
    </w:lvl>
  </w:abstractNum>
  <w:num w:numId="1" w16cid:durableId="24577470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3D74"/>
    <w:rsid w:val="000350D4"/>
    <w:rsid w:val="003D3D74"/>
    <w:rsid w:val="00490481"/>
    <w:rsid w:val="006E1BCB"/>
    <w:rsid w:val="009F0BF5"/>
    <w:rsid w:val="00AB59D7"/>
  </w:rsids>
  <w:docVars>
    <w:docVar w:name="url" w:val="http://bd-cjca:80/ecris_cdms/document_upload.aspx?id_document=3300000000458011&amp;id_departament=3&amp;id_sesiune=300463&amp;id_user=157&amp;id_institutie=33&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5692F8ED"/>
  <w15:docId w15:val="{C826BA74-139B-429A-A0E4-4C71D0DA9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
    <w:name w:val="a"/>
    <w:basedOn w:val="Normal"/>
    <w:link w:val="Fontdeparagrafimplicit"/>
    <w:rPr>
      <w:lang w:val="pl-PL"/>
    </w:rPr>
  </w:style>
  <w:style w:type="paragraph" w:customStyle="1" w:styleId="CaracterCaracter">
    <w:name w:val="Caracter Caracter"/>
    <w:basedOn w:val="Normal"/>
    <w:rPr>
      <w:lang w:val="pl-PL"/>
    </w:rPr>
  </w:style>
  <w:style w:type="paragraph" w:customStyle="1" w:styleId="Subsol">
    <w:name w:val="Subsol"/>
    <w:basedOn w:val="Normal"/>
    <w:pPr>
      <w:tabs>
        <w:tab w:val="center" w:pos="4320"/>
        <w:tab w:val="right" w:pos="8640"/>
      </w:tabs>
    </w:pPr>
  </w:style>
  <w:style w:type="paragraph" w:customStyle="1" w:styleId="CaracterCaracterCaracterCaracter1CaracterCaracterCaracterCaracterCaracterCaracter">
    <w:name w:val="Caracter Caracter Caracter Caracter1 Caracter Caracter Caracter Caracter Caracter Caracter"/>
    <w:basedOn w:val="Normal"/>
    <w:rPr>
      <w:lang w:val="pl-PL"/>
    </w:rPr>
  </w:style>
  <w:style w:type="paragraph" w:customStyle="1" w:styleId="CharCharCaracterCaracterCharChar1">
    <w:name w:val="Char Char Caracter Caracter Char Char1"/>
    <w:basedOn w:val="Normal"/>
    <w:rPr>
      <w:lang w:val="pl-PL"/>
    </w:r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aliases w:val=" Caracter Caracter1"/>
    <w:link w:val="a"/>
    <w:rPr>
      <w:lang w:val="pl-PL"/>
    </w:rPr>
  </w:style>
  <w:style w:type="character" w:customStyle="1" w:styleId="Numrdepagin">
    <w:name w:val="Număr de pagină"/>
    <w:basedOn w:val="Fontdeparagrafimplicit"/>
    <w:rPr>
      <w:lang w:val="pl-PL"/>
    </w:rPr>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numbering" Target="numbering.xml" /><Relationship Id="rId8"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19</ap:TotalTime>
  <ap:Pages>7</ap:Pages>
  <ap:Words>3354</ap:Words>
  <ap:Characters>19118</ap:Characters>
  <ap:Application>Microsoft Office Word</ap:Application>
  <ap:DocSecurity>0</ap:DocSecurity>
  <ap:Lines>159</ap:Lines>
  <ap:Paragraphs>44</ap:Paragraphs>
  <ap:ScaleCrop>false</ap:ScaleCrop>
  <ap:CharactersWithSpaces>22428</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