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Hot.19</w:t>
      </w:r>
    </w:p>
    <w:p>
      <w:pPr>
        <w:pStyle w:val="Normal"/>
        <w:rPr>
          <w:b/>
        </w:rPr>
      </w:pPr>
      <w:r>
        <w:rPr>
          <w:b/>
        </w:rPr>
        <w:t>Dosar nr. D1</w:t>
      </w:r>
    </w:p>
    <w:p>
      <w:pPr>
        <w:pStyle w:val="Normal"/>
        <w:rPr>
          <w:b/>
        </w:rPr>
      </w:pPr>
      <w:r>
        <w:rPr>
          <w:b/>
        </w:rPr>
      </w:r>
      <w:bookmarkStart w:name="_Hlk83891306" w:id="0"/>
      <w:bookmarkStart w:name="_Hlk83891306" w:id="1"/>
    </w:p>
    <w:p>
      <w:pPr>
        <w:pStyle w:val="Normal"/>
        <w:rPr>
          <w:b/>
        </w:rPr>
      </w:pPr>
      <w:r>
        <w:rPr>
          <w:b/>
        </w:rPr>
      </w:r>
    </w:p>
    <w:p>
      <w:pPr>
        <w:pStyle w:val="Normal"/>
        <w:rPr/>
      </w:pPr>
      <w:r>
        <w:rPr/>
      </w:r>
    </w:p>
    <w:p>
      <w:pPr>
        <w:pStyle w:val="Normal"/>
        <w:jc w:val="center"/>
        <w:rPr>
          <w:b/>
        </w:rPr>
      </w:pPr>
      <w:r>
        <w:rPr>
          <w:b/>
        </w:rPr>
        <w:t>R O M Â N I A</w:t>
      </w:r>
    </w:p>
    <w:p>
      <w:pPr>
        <w:pStyle w:val="Normal"/>
        <w:jc w:val="center"/>
        <w:rPr/>
      </w:pPr>
      <w:r>
        <w:rPr/>
      </w:r>
    </w:p>
    <w:p>
      <w:pPr>
        <w:pStyle w:val="Normal"/>
        <w:jc w:val="center"/>
        <w:rPr/>
      </w:pPr>
      <w:r>
        <w:rPr/>
        <w:t>CURTEA DE APEL ....</w:t>
      </w:r>
    </w:p>
    <w:p>
      <w:pPr>
        <w:pStyle w:val="Normal"/>
        <w:jc w:val="center"/>
        <w:rPr>
          <w:lang w:val="en-US"/>
        </w:rPr>
      </w:pPr>
      <w:r>
        <w:rPr/>
        <w:t>SECŢIA ....</w:t>
      </w:r>
    </w:p>
    <w:p>
      <w:pPr>
        <w:pStyle w:val="Normal"/>
        <w:rPr/>
      </w:pPr>
      <w:r>
        <w:rPr/>
      </w:r>
    </w:p>
    <w:p>
      <w:pPr>
        <w:pStyle w:val="Normal"/>
        <w:jc w:val="center"/>
        <w:rPr>
          <w:b/>
        </w:rPr>
      </w:pPr>
      <w:r>
        <w:rPr>
          <w:b/>
        </w:rPr>
        <w:t>SENTINŢA Nr. ...</w:t>
      </w:r>
    </w:p>
    <w:p>
      <w:pPr>
        <w:pStyle w:val="Normal"/>
        <w:jc w:val="center"/>
        <w:rPr/>
      </w:pPr>
      <w:r>
        <w:rPr/>
        <w:t>Şedinţa publică de la</w:t>
      </w:r>
      <w:r>
        <w:rPr>
          <w:b/>
        </w:rPr>
        <w:t xml:space="preserve"> </w:t>
      </w:r>
      <w:r>
        <w:rPr/>
        <w:t xml:space="preserve">.... </w:t>
      </w:r>
      <w:bookmarkEnd w:id="1"/>
    </w:p>
    <w:p>
      <w:pPr>
        <w:pStyle w:val="Normal"/>
        <w:jc w:val="center"/>
        <w:rPr/>
      </w:pPr>
      <w:r>
        <w:rPr/>
        <w:t>Completul este constituit din:</w:t>
      </w:r>
    </w:p>
    <w:p>
      <w:pPr>
        <w:pStyle w:val="Normal"/>
        <w:jc w:val="center"/>
        <w:rPr/>
      </w:pPr>
      <w:r>
        <w:rPr/>
        <w:t>Preşedinte: A0006 - judecător</w:t>
      </w:r>
    </w:p>
    <w:p>
      <w:pPr>
        <w:pStyle w:val="Normal"/>
        <w:rPr/>
      </w:pPr>
      <w:r>
        <w:rPr/>
        <w:t xml:space="preserve">                                                  </w:t>
      </w:r>
      <w:r>
        <w:rPr/>
        <w:t>Grefier: ...</w:t>
      </w:r>
    </w:p>
    <w:p>
      <w:pPr>
        <w:pStyle w:val="Normal"/>
        <w:rPr/>
      </w:pPr>
      <w:r>
        <w:rPr/>
      </w:r>
    </w:p>
    <w:p>
      <w:pPr>
        <w:pStyle w:val="Normal"/>
        <w:rPr>
          <w:b/>
        </w:rPr>
      </w:pPr>
      <w:r>
        <w:rPr>
          <w:b/>
        </w:rPr>
      </w:r>
    </w:p>
    <w:p>
      <w:pPr>
        <w:pStyle w:val="Normal"/>
        <w:ind w:firstLine="708"/>
        <w:jc w:val="both"/>
        <w:rPr/>
      </w:pPr>
      <w:bookmarkStart w:name="_Hlk83891334" w:id="2"/>
      <w:r>
        <w:rPr>
          <w:lang w:val="en-US"/>
        </w:rPr>
        <w:t xml:space="preserve">Pe rol, soluționarea cererii formulate de reclamantul </w:t>
      </w:r>
      <w:r>
        <w:rPr>
          <w:b/>
        </w:rPr>
        <w:t>R1</w:t>
      </w:r>
      <w:r>
        <w:rPr/>
        <w:t>,</w:t>
      </w:r>
      <w:r>
        <w:rPr>
          <w:b/>
        </w:rPr>
        <w:t xml:space="preserve"> </w:t>
      </w:r>
      <w:r>
        <w:rPr/>
        <w:t xml:space="preserve">în contradictoriu cu pârâţii </w:t>
      </w:r>
      <w:r>
        <w:rPr>
          <w:b/>
        </w:rPr>
        <w:t xml:space="preserve">Administraţia Naţională a Penitenciarelor </w:t>
      </w:r>
      <w:r>
        <w:rPr/>
        <w:t>şi</w:t>
      </w:r>
      <w:r>
        <w:rPr>
          <w:b/>
        </w:rPr>
        <w:t xml:space="preserve"> Penitenciarul ...,</w:t>
      </w:r>
      <w:r>
        <w:rPr/>
        <w:t xml:space="preserve"> având ca obiect „refuz soluţionare cerere”.</w:t>
      </w:r>
    </w:p>
    <w:p>
      <w:pPr>
        <w:pStyle w:val="Normal"/>
        <w:ind w:firstLine="708"/>
        <w:jc w:val="both"/>
        <w:rPr/>
      </w:pPr>
      <w:r>
        <w:rPr/>
        <w:t xml:space="preserve">Procedura de citare a părţilor este legal </w:t>
      </w:r>
      <w:bookmarkStart w:name="_Hlk492288674" w:id="3"/>
      <w:r>
        <w:rPr/>
        <w:t>îndeplinită</w:t>
      </w:r>
      <w:bookmarkEnd w:id="3"/>
      <w:r>
        <w:rPr/>
        <w:t>.</w:t>
      </w:r>
    </w:p>
    <w:p>
      <w:pPr>
        <w:pStyle w:val="Normal"/>
        <w:ind w:firstLine="708"/>
        <w:jc w:val="both"/>
        <w:rPr/>
      </w:pPr>
      <w:r>
        <w:rPr/>
        <w:t>Reclamantul a solicitat asigurarea prezenţei sale prin videoconferinţă.</w:t>
      </w:r>
    </w:p>
    <w:p>
      <w:pPr>
        <w:pStyle w:val="Normal"/>
        <w:ind w:firstLine="708"/>
        <w:jc w:val="both"/>
        <w:rPr/>
      </w:pPr>
      <w:r>
        <w:rPr/>
        <w:t>La apelul nominal, făcut în şedinţa publică, a răspuns reclamantul R1 (prin videoconferinţă), lipsind pârâţii.</w:t>
      </w:r>
    </w:p>
    <w:p>
      <w:pPr>
        <w:pStyle w:val="Normal"/>
        <w:ind w:firstLine="708"/>
        <w:jc w:val="both"/>
        <w:rPr/>
      </w:pPr>
      <w:r>
        <w:rPr/>
        <w:t xml:space="preserve">S-a făcut referatul cauzei, de către grefierul de şedinţă, care învederează instanţei </w:t>
      </w:r>
      <w:r>
        <w:rPr>
          <w:color w:val="000000"/>
        </w:rPr>
        <w:t xml:space="preserve">obiectul cauzei, stadiul judecăţii şi modalitatea de îndeplinire a procedurii de citare, faptul că cererea este timbrată, iar pârâţii au formulat întâmpinări, prin care au solicitat şi judecarea cauzei în lipsă, </w:t>
      </w:r>
      <w:r>
        <w:rPr/>
        <w:t>conform dispoziţiilor art. 411 alin. 1, pct. 2, teza finală noul Cod procedură civilă, după care:</w:t>
      </w:r>
    </w:p>
    <w:p>
      <w:pPr>
        <w:pStyle w:val="Normal"/>
        <w:ind w:firstLine="567"/>
        <w:jc w:val="both"/>
        <w:rPr>
          <w:lang w:val="en-US"/>
        </w:rPr>
      </w:pPr>
      <w:r>
        <w:rPr>
          <w:lang w:val="en-US"/>
        </w:rPr>
        <w:t>Instanţa, în conformitate cu art. 131 Cod procedură civilă, pune în discuţie competenţa generală, materială şi teritorială a Curţii de Apel .... - Secţia ... de a soluţiona cererea de chemare în judecată.</w:t>
      </w:r>
    </w:p>
    <w:p>
      <w:pPr>
        <w:pStyle w:val="Normal"/>
        <w:ind w:firstLine="567"/>
        <w:jc w:val="both"/>
        <w:rPr>
          <w:lang w:val="en-US"/>
        </w:rPr>
      </w:pPr>
      <w:r>
        <w:rPr>
          <w:color w:val="000000"/>
        </w:rPr>
        <w:t xml:space="preserve">Reclamantul R1 apreciază ca fiind competentă </w:t>
      </w:r>
      <w:r>
        <w:rPr>
          <w:lang w:val="en-US"/>
        </w:rPr>
        <w:t>cu soluţionarea cauzei Curtea de Apel .....</w:t>
      </w:r>
    </w:p>
    <w:p>
      <w:pPr>
        <w:pStyle w:val="Normal"/>
        <w:ind w:firstLine="567"/>
        <w:jc w:val="both"/>
        <w:rPr>
          <w:lang w:val="en-US"/>
        </w:rPr>
      </w:pPr>
      <w:r>
        <w:rPr>
          <w:lang w:val="en-US"/>
        </w:rPr>
        <w:t>Curtea, în raport de dispoziţiile Recursului în Interesul legii nr.3/2023 constată că este competentă, general, material şi teritorial să judece prezenta cauză.</w:t>
      </w:r>
    </w:p>
    <w:p>
      <w:pPr>
        <w:pStyle w:val="Normal"/>
        <w:ind w:firstLine="708"/>
        <w:jc w:val="both"/>
        <w:rPr>
          <w:color w:val="000000"/>
        </w:rPr>
      </w:pPr>
      <w:r>
        <w:rPr/>
        <w:t xml:space="preserve">La interpelarea instanței, reclamantul </w:t>
      </w:r>
      <w:r>
        <w:rPr>
          <w:color w:val="000000"/>
        </w:rPr>
        <w:t>R1 menţionează că este la Penitenciarul ... din mai 2023 şi, anterior, în anul 2022, a fost la ....</w:t>
      </w:r>
    </w:p>
    <w:p>
      <w:pPr>
        <w:pStyle w:val="Normal"/>
        <w:ind w:firstLine="708"/>
        <w:jc w:val="both"/>
        <w:rPr>
          <w:color w:val="000000"/>
        </w:rPr>
      </w:pPr>
      <w:r>
        <w:rPr>
          <w:color w:val="000000"/>
        </w:rPr>
        <w:t xml:space="preserve">Cu privire la probatoriu, solicită admiterea probei cu înscrisurile depuse la dosarul cauzei. De asemenea, menționează că </w:t>
      </w:r>
      <w:r>
        <w:rPr/>
        <w:t>nu mai are cereri de formulat.</w:t>
      </w:r>
    </w:p>
    <w:p>
      <w:pPr>
        <w:pStyle w:val="Normal"/>
        <w:ind w:firstLine="708"/>
        <w:jc w:val="both"/>
        <w:rPr>
          <w:color w:val="000000"/>
        </w:rPr>
      </w:pPr>
      <w:r>
        <w:rPr>
          <w:color w:val="000000"/>
        </w:rPr>
        <w:t>Constatând că părţile nu mai au cereri de formulat, excepţii de invocat şi probe de solicitat, instanţa apreciază cauza în stare de judecată şi acordă cuvântul părţii prezente pentru a pune concluzii asupra acţiunii.</w:t>
      </w:r>
    </w:p>
    <w:p>
      <w:pPr>
        <w:pStyle w:val="Normal"/>
        <w:ind w:firstLine="708"/>
        <w:jc w:val="both"/>
        <w:rPr/>
      </w:pPr>
      <w:r>
        <w:rPr/>
        <w:t xml:space="preserve">Reclamantul R1 solicită admiterea cererii şi transferarea la </w:t>
      </w:r>
      <w:r>
        <w:rPr>
          <w:color w:val="000000"/>
        </w:rPr>
        <w:t>..., pentru continuarea studiilor</w:t>
      </w:r>
      <w:r>
        <w:rPr/>
        <w:t xml:space="preserve">. </w:t>
      </w:r>
    </w:p>
    <w:p>
      <w:pPr>
        <w:pStyle w:val="NoSpacing"/>
        <w:rPr>
          <w:b/>
          <w:color w:val="000000"/>
        </w:rPr>
      </w:pPr>
      <w:r>
        <w:rPr/>
        <w:t xml:space="preserve">                                                                 </w:t>
      </w:r>
      <w:r>
        <w:rPr>
          <w:b/>
          <w:color w:val="000000"/>
        </w:rPr>
        <w:t>C U R T E A</w:t>
      </w:r>
    </w:p>
    <w:p>
      <w:pPr>
        <w:pStyle w:val="Normal"/>
        <w:jc w:val="both"/>
        <w:rPr>
          <w:color w:val="000000"/>
        </w:rPr>
      </w:pPr>
      <w:r>
        <w:rPr>
          <w:color w:val="000000"/>
        </w:rPr>
      </w:r>
    </w:p>
    <w:p>
      <w:pPr>
        <w:pStyle w:val="Normal"/>
        <w:ind w:firstLine="708"/>
        <w:jc w:val="both"/>
        <w:rPr>
          <w:color w:val="000000"/>
        </w:rPr>
      </w:pPr>
      <w:r>
        <w:rPr>
          <w:color w:val="000000"/>
        </w:rPr>
        <w:t>Asupra cauzei de faţă, deliberând, constată următoarele;</w:t>
      </w:r>
    </w:p>
    <w:p>
      <w:pPr>
        <w:pStyle w:val="Normal"/>
        <w:jc w:val="both"/>
        <w:rPr>
          <w:color w:val="000000"/>
        </w:rPr>
      </w:pPr>
      <w:r>
        <w:rPr>
          <w:color w:val="000000"/>
        </w:rPr>
        <w:tab/>
        <w:t>Prin cererea înregistrată pe rolul Curţii de Apel ...., Secţia ..., la data de 11.10.2023, sub nr. D1, reclamantul R1 a chemat în judecată pârâţii Administraţia Naţională a Penitenciarelor şi Penitenciarul ..., solicitând aprobarea cererii privind continuarea studiilor școlare și anume clasa a-XII-a.</w:t>
      </w:r>
    </w:p>
    <w:p>
      <w:pPr>
        <w:pStyle w:val="Normal"/>
        <w:ind w:firstLine="708"/>
        <w:jc w:val="both"/>
        <w:rPr>
          <w:color w:val="000000"/>
        </w:rPr>
      </w:pPr>
      <w:r>
        <w:rPr>
          <w:color w:val="000000"/>
        </w:rPr>
        <w:t>În motivarea cererii, reclamantul R1 a susţinut că a formulat cerere de transfer la Penitenciarul ... pentru continuarea studiilor, și anume clasa a-XII-a, întrucât clasa a-XI-a a absolvit-o tot la .... A arătat că cererea cu nr. ...4/28.09.2023 a fost respinsă de directorul penitenciarului.</w:t>
      </w:r>
    </w:p>
    <w:p>
      <w:pPr>
        <w:pStyle w:val="Normal"/>
        <w:ind w:firstLine="708"/>
        <w:jc w:val="both"/>
        <w:rPr>
          <w:color w:val="000000"/>
        </w:rPr>
      </w:pPr>
      <w:r>
        <w:rPr>
          <w:b/>
          <w:color w:val="000000"/>
        </w:rPr>
        <w:t xml:space="preserve">La data de 26 octombrie 2023, reclamantul a depus înscrisuri </w:t>
      </w:r>
      <w:r>
        <w:rPr>
          <w:color w:val="000000"/>
        </w:rPr>
        <w:t>și a arătat că i-a fost încălcat dreptul la educație de către A.N.P. prin directorul instituției, solicitând transferarea sa la P.N.T. ... pentru continuarea studiilor, întrucât acesta este singurul penitenciar din regiunea Olteniei unde poate continua clasa a - XII - a, fără frecvență.</w:t>
      </w:r>
    </w:p>
    <w:p>
      <w:pPr>
        <w:pStyle w:val="Normal"/>
        <w:ind w:firstLine="708"/>
        <w:jc w:val="both"/>
        <w:rPr>
          <w:color w:val="000000"/>
        </w:rPr>
      </w:pPr>
      <w:r>
        <w:rPr>
          <w:b/>
          <w:color w:val="000000"/>
        </w:rPr>
        <w:t xml:space="preserve">La data de 21.11.2023, pârâta Administraţia Naţională a Penitenciarelor a depus „întâmpinare” prin care a solicitat respingerea acţiunii formulate </w:t>
      </w:r>
      <w:r>
        <w:rPr>
          <w:color w:val="000000"/>
        </w:rPr>
        <w:t>prin care s-a solicitat transferarea de la Penitenciarul ..., la Penitenciarul ..., în vederea participării la cursurile de instruire școlară organizate în cadrul acestei unități.</w:t>
      </w:r>
      <w:bookmarkStart w:name="bookmark12" w:id="4"/>
      <w:bookmarkStart w:name="bookmark14" w:id="5"/>
      <w:bookmarkStart w:name="bookmark13" w:id="6"/>
    </w:p>
    <w:p>
      <w:pPr>
        <w:pStyle w:val="Normal"/>
        <w:ind w:firstLine="708"/>
        <w:jc w:val="both"/>
        <w:rPr>
          <w:color w:val="000000"/>
        </w:rPr>
      </w:pPr>
      <w:r>
        <w:rPr>
          <w:color w:val="000000"/>
        </w:rPr>
        <w:t xml:space="preserve"> </w:t>
      </w:r>
      <w:r>
        <w:rPr>
          <w:color w:val="000000"/>
        </w:rPr>
        <w:t xml:space="preserve">Pe cale de excepție, </w:t>
      </w:r>
      <w:bookmarkEnd w:id="4"/>
      <w:bookmarkEnd w:id="5"/>
      <w:bookmarkEnd w:id="6"/>
      <w:r>
        <w:rPr>
          <w:color w:val="000000"/>
        </w:rPr>
        <w:t>a invocat netimbrarea cererii de chemare în judecată, conform dispozițiilor Ordonanței de urgență nr. 80 din 26 iunie 2013 privind taxele judiciare de timbru, publicată în Monitorul Oficial al României nr. 392/29 iunie 2013.</w:t>
      </w:r>
    </w:p>
    <w:p>
      <w:pPr>
        <w:pStyle w:val="Normal"/>
        <w:ind w:firstLine="708"/>
        <w:jc w:val="both"/>
        <w:rPr>
          <w:color w:val="000000"/>
        </w:rPr>
      </w:pPr>
      <w:r>
        <w:rPr>
          <w:color w:val="000000"/>
        </w:rPr>
        <w:t>Având în vedere dispozițiile art. 17 alin. (2) din Legea nr. 554/2004 „Pentru cererile formulate în baza prezentei legi se percep taxele de timbru prevăzute de O.U.G. 80/2013 privind taxele judiciare de timbru, cu modificările și completărije ulterioare."</w:t>
      </w:r>
    </w:p>
    <w:p>
      <w:pPr>
        <w:pStyle w:val="Normal"/>
        <w:ind w:firstLine="708"/>
        <w:jc w:val="both"/>
        <w:rPr>
          <w:color w:val="000000"/>
        </w:rPr>
      </w:pPr>
      <w:r>
        <w:rPr>
          <w:color w:val="000000"/>
        </w:rPr>
        <w:t>Conform articolul 197 din Codul de procedură civilă: „în cazul în care cererea este supusă timbrării, dovada achitării taxelor datorate se atașează cererii. Netimbrarea sau timbrarea insuficientă atrage anularea cererii de chemare în judecată, în condițiile legii.”</w:t>
      </w:r>
    </w:p>
    <w:p>
      <w:pPr>
        <w:pStyle w:val="Normal"/>
        <w:ind w:firstLine="708"/>
        <w:jc w:val="both"/>
        <w:rPr>
          <w:color w:val="000000"/>
        </w:rPr>
      </w:pPr>
      <w:r>
        <w:rPr>
          <w:color w:val="000000"/>
        </w:rPr>
        <w:t>Totodată, potrivit art. 33 alin. (1) din OUG nr. 80/2013 privind taxele judiciare de timbru „Taxele judiciare de timbru se plătesc anticipat, cu excepțiile prevăzute de lege."</w:t>
      </w:r>
    </w:p>
    <w:p>
      <w:pPr>
        <w:pStyle w:val="Normal"/>
        <w:ind w:firstLine="708"/>
        <w:jc w:val="both"/>
        <w:rPr>
          <w:color w:val="000000"/>
        </w:rPr>
      </w:pPr>
      <w:r>
        <w:rPr>
          <w:color w:val="000000"/>
        </w:rPr>
        <w:t>Articolul 2 din OUG nr. 80/2013 privind taxele judiciare de timbru prevede că: “Taxele judiciare de timbru se stabilesc în mod diferențiat, după cum obiectul acestora este sau nu evaluabil în bani, cu excepțiile prevăzute de lege.”</w:t>
      </w:r>
    </w:p>
    <w:p>
      <w:pPr>
        <w:pStyle w:val="Normal"/>
        <w:ind w:firstLine="708"/>
        <w:jc w:val="both"/>
        <w:rPr>
          <w:color w:val="000000"/>
        </w:rPr>
      </w:pPr>
      <w:r>
        <w:rPr>
          <w:color w:val="000000"/>
        </w:rPr>
        <w:t>De asemenea, art. 16 din OUG nr. 80/2013, arată că: ”în materia contenciosului administrativ, cererile introduse de cei vătămați în drepturile lor printr-un act administrativ sau prin refuzul neiustificat al unei autorități administrative de a le rezolva cererea referitoare la un drept recunoscut de iepe se taxează după cum urmează:</w:t>
      </w:r>
      <w:bookmarkStart w:name="bookmark15" w:id="7"/>
      <w:bookmarkEnd w:id="7"/>
      <w:r>
        <w:rPr>
          <w:color w:val="000000"/>
        </w:rPr>
        <w:t xml:space="preserve">  cererile pentru anularea actului sau, după caz, recunoașterea dreptului pretins, precum și pentru eliberarea unui certificat, a unei adeverințe sau a oricărui altui înscris - 50 lei;</w:t>
      </w:r>
      <w:bookmarkStart w:name="bookmark16" w:id="8"/>
      <w:bookmarkEnd w:id="8"/>
      <w:r>
        <w:rPr>
          <w:color w:val="000000"/>
        </w:rPr>
        <w:t xml:space="preserve"> cererile cu caracter patrimonial, prin care se solicită și repararea pagubelor suferite printr-un act administrativ -10% din valoarea pretinsă, dar nu mai mult de 300 lei. ”</w:t>
      </w:r>
    </w:p>
    <w:p>
      <w:pPr>
        <w:pStyle w:val="Normal"/>
        <w:ind w:firstLine="708"/>
        <w:jc w:val="both"/>
        <w:rPr>
          <w:color w:val="000000"/>
        </w:rPr>
      </w:pPr>
      <w:r>
        <w:rPr>
          <w:color w:val="000000"/>
        </w:rPr>
        <w:t>În concluzie, având în vedere aspectele prezentate mai sus, precum și faptul că, atașat cererii de chemare în judecată, nu se regăseste dovada achitării taxei judiciare de timbru de către reclamant, a solicitat anularea acțiunii ca netimbrată.</w:t>
      </w:r>
      <w:bookmarkStart w:name="bookmark17" w:id="9"/>
      <w:bookmarkStart w:name="bookmark19" w:id="10"/>
      <w:bookmarkStart w:name="bookmark18" w:id="11"/>
    </w:p>
    <w:p>
      <w:pPr>
        <w:pStyle w:val="Normal"/>
        <w:ind w:firstLine="708"/>
        <w:jc w:val="both"/>
        <w:rPr>
          <w:color w:val="000000"/>
        </w:rPr>
      </w:pPr>
      <w:r>
        <w:rPr>
          <w:color w:val="000000"/>
        </w:rPr>
        <w:t>Pe fond, a solicitat respingerea acțiunii reclamantului ca nefondată</w:t>
      </w:r>
      <w:bookmarkEnd w:id="9"/>
      <w:bookmarkEnd w:id="10"/>
      <w:bookmarkEnd w:id="11"/>
      <w:r>
        <w:rPr>
          <w:color w:val="000000"/>
        </w:rPr>
        <w:t>.</w:t>
      </w:r>
    </w:p>
    <w:p>
      <w:pPr>
        <w:pStyle w:val="Normal"/>
        <w:ind w:firstLine="708"/>
        <w:jc w:val="both"/>
        <w:rPr>
          <w:color w:val="000000"/>
        </w:rPr>
      </w:pPr>
      <w:r>
        <w:rPr>
          <w:color w:val="000000"/>
        </w:rPr>
        <w:t>Administrația Națională a Penitenciarelor, prin intermediul administrațiilor locurilor de deținere, are obligația legală de a asigura pentru toate persoanele custodiate un mediu bazat pe respectarea legislației în vigoare, normele de siguranță personală, luând toate măsurile care se impun pentru respectarea drepturilor persoanelor private de libertate, pentru protejarea vieții, a sănătății și integrității corporale a acestora.</w:t>
      </w:r>
    </w:p>
    <w:p>
      <w:pPr>
        <w:pStyle w:val="Normal"/>
        <w:ind w:firstLine="708"/>
        <w:jc w:val="both"/>
        <w:rPr>
          <w:color w:val="000000"/>
        </w:rPr>
      </w:pPr>
      <w:r>
        <w:rPr>
          <w:color w:val="000000"/>
        </w:rPr>
        <w:t>Criteriile și situațiile care determină transferarea deținuților între unitățile penitenciare din subordinea Administrației Naționale a Penitenciarelor sunt prevăzute de Legea nr. 254/2013 privind executarea pedepselor și a măsurilor privative de libertate dispuse de organele judiciare în cursul procesului penal, precum și de Regulamentul de aprobare a Legii nr. 245/2013 aprobat prin Hotărârea nr. 157/2016.</w:t>
      </w:r>
    </w:p>
    <w:p>
      <w:pPr>
        <w:pStyle w:val="Normal"/>
        <w:ind w:firstLine="708"/>
        <w:jc w:val="both"/>
        <w:rPr>
          <w:color w:val="000000"/>
        </w:rPr>
      </w:pPr>
      <w:r>
        <w:rPr>
          <w:color w:val="000000"/>
        </w:rPr>
        <w:t>Potrivit art. 45 alin. (2) din Legea nr. 254/2013 privind executarea pedepselor și a măsurilor privative de libertate dispuse de organele judiciare în cursul procesului penal „Transferarea persoanelor condamnate în alt penitenciar, ca urmare a stabilirii sau schimbării regimului de executare a pedepselor privative de libertate sau pentru alte motive întemeiate, se dispune, la propunerea comisiei prevăzute la art. 32 sau la cererea persoanei condamnate, cu avizul comisiei prevăzute la art. 32, de către directorul general al Administrației Naționale a Penitenciarelor”.</w:t>
      </w:r>
    </w:p>
    <w:p>
      <w:pPr>
        <w:pStyle w:val="Normal"/>
        <w:ind w:firstLine="708"/>
        <w:jc w:val="both"/>
        <w:rPr>
          <w:color w:val="000000"/>
        </w:rPr>
      </w:pPr>
      <w:r>
        <w:rPr>
          <w:color w:val="000000"/>
        </w:rPr>
        <w:t>În conformitate cu art. 108 alin. (4) din Regulamentul de aplicare a Legii nr. 254/2013 „Transferarea deținuților la un alt penitenciar se face conform profilării penitenciarelor, stabilite prin decizia directorului general al Administrației Naționale a Penitenciarelor prevăzută la art. 45 alin. (1) din Legea nr. 254/2013, și va ține cont, de regulă, ca penitenciarul să fie situat cât mai aproape de localitatea de domiciliu a acestora".</w:t>
      </w:r>
    </w:p>
    <w:p>
      <w:pPr>
        <w:pStyle w:val="Normal"/>
        <w:ind w:firstLine="708"/>
        <w:jc w:val="both"/>
        <w:rPr>
          <w:color w:val="000000"/>
        </w:rPr>
      </w:pPr>
      <w:r>
        <w:rPr>
          <w:color w:val="000000"/>
        </w:rPr>
        <w:t>Mai mult, potrivit art. 108 alin. (1) lit. (g) din Regulamentul de aplicare a Legii nr. 254/2013 „Comisia pentru stabilirea, individualizarea și schimbarea regimului de executare face propuneri Administrației Naționale a Penitenciarelor, în cazul altor motive temeinic justificate.”</w:t>
      </w:r>
    </w:p>
    <w:p>
      <w:pPr>
        <w:pStyle w:val="Normal"/>
        <w:ind w:firstLine="708"/>
        <w:jc w:val="both"/>
        <w:rPr>
          <w:color w:val="000000"/>
        </w:rPr>
      </w:pPr>
      <w:r>
        <w:rPr>
          <w:color w:val="000000"/>
        </w:rPr>
        <w:t>Prin Decizia directorului general al Administrației Naționale a Penitenciarelor nr. ...3/2020 cu modificările și completările ulterioare s-a stabilit profilarea locurilor de deținere din subordinea Administrației Naționale a Penitenciarelor.</w:t>
      </w:r>
    </w:p>
    <w:p>
      <w:pPr>
        <w:pStyle w:val="Normal"/>
        <w:ind w:firstLine="708"/>
        <w:jc w:val="both"/>
        <w:rPr>
          <w:color w:val="000000"/>
        </w:rPr>
      </w:pPr>
      <w:r>
        <w:rPr>
          <w:color w:val="000000"/>
        </w:rPr>
        <w:t>Art. 3 alin. (5) din Decizia directorului general al Administrației Naționale a Penitenciarelor nr. ...3/2020 privind profilarea locurilor de deținere, prevede că: „în vederea echilibrării efectivelor de persoane private de libertate, pentru reducerea gradului de aglomerare din unele unități penitenciare, dar și din alte motive întemeiate, conducerea Administrației Naționale a Penitenciarelor poate dispune transferul persoanelor private de libertate în alte locuri de deținere profilate pe custodierea aceleiași categorii și a persoanelor private de libertate cu domiciliile în alte județe”.</w:t>
      </w:r>
    </w:p>
    <w:p>
      <w:pPr>
        <w:pStyle w:val="Normal"/>
        <w:ind w:firstLine="708"/>
        <w:jc w:val="both"/>
        <w:rPr>
          <w:color w:val="000000"/>
        </w:rPr>
      </w:pPr>
      <w:r>
        <w:rPr>
          <w:color w:val="000000"/>
        </w:rPr>
        <w:t>Cu privire la situația reclamantului, a arătat că, în temeiul art. 108 alin. (1) lit. g din Regulamentul de aprobare a Legii nr. 245/2013 aprobat prin Hotărârea Guvernului nr. 157/2016, administrația Penitenciarului ....-... a solicitat Administrației Naționale a Penitenciarelor în data de 09/05/2023, transferarea la alte unități penitenciare, în vederea executării pedepsei, a mai multe persoane condamnate, printre care și numitul R1.</w:t>
      </w:r>
    </w:p>
    <w:p>
      <w:pPr>
        <w:pStyle w:val="Normal"/>
        <w:ind w:firstLine="708"/>
        <w:jc w:val="both"/>
        <w:rPr>
          <w:color w:val="000000"/>
        </w:rPr>
      </w:pPr>
      <w:r>
        <w:rPr>
          <w:color w:val="000000"/>
        </w:rPr>
        <w:t>La analizarea situației s-au avut în vedere prevederile Deciziei directorului general nr. ...3/28.02.2020 privind profilarea locurilor de deținere, regimul de executare, sex, vârstă, situația juridică și situația privind capacitatea de cazare a unităților subordonate și a efectivelor acestora pe regimuri.</w:t>
      </w:r>
    </w:p>
    <w:p>
      <w:pPr>
        <w:pStyle w:val="Normal"/>
        <w:ind w:firstLine="708"/>
        <w:jc w:val="both"/>
        <w:rPr>
          <w:color w:val="000000"/>
        </w:rPr>
      </w:pPr>
      <w:r>
        <w:rPr>
          <w:color w:val="000000"/>
        </w:rPr>
        <w:t>Astfel, în vederea asigurării spațiului de cazare și a drepturilor conform regimului de executare, s-a luat măsura transferării sus-numitului, la Penitenciarul ..., conform dispoziției A.N.P. nr. ...8 din data de 10.05.2023 (în acest sens documentele justificative transmise de Penitenciarul ....-..., adresele nr. ...2 din 26.04.2023 si nr. ...5 din 02.05.2023).</w:t>
      </w:r>
    </w:p>
    <w:p>
      <w:pPr>
        <w:pStyle w:val="Normal"/>
        <w:ind w:firstLine="708"/>
        <w:jc w:val="both"/>
        <w:rPr>
          <w:color w:val="000000"/>
        </w:rPr>
      </w:pPr>
      <w:r>
        <w:rPr>
          <w:color w:val="000000"/>
        </w:rPr>
        <w:t>Repartizarea deținuților în mod uniform la nivelul unităților penitenciare este influențată de multiplele categorii de persoane custodiate pentru care, prin lege, se asigură separațiunea, precum și de compartimentarea spațiilor de cazare din unități pentru a garanta respectarea dispozițiilor legale.</w:t>
      </w:r>
    </w:p>
    <w:p>
      <w:pPr>
        <w:pStyle w:val="Normal"/>
        <w:ind w:firstLine="708"/>
        <w:jc w:val="both"/>
        <w:rPr>
          <w:color w:val="000000"/>
        </w:rPr>
      </w:pPr>
      <w:r>
        <w:rPr>
          <w:color w:val="000000"/>
        </w:rPr>
        <w:t>Transferarea persoanelor private de libertate se realizează în mod gradual, cu respectarea prevederilor legale.</w:t>
      </w:r>
    </w:p>
    <w:p>
      <w:pPr>
        <w:pStyle w:val="Normal"/>
        <w:ind w:firstLine="708"/>
        <w:jc w:val="both"/>
        <w:rPr>
          <w:color w:val="000000"/>
        </w:rPr>
      </w:pPr>
      <w:r>
        <w:rPr>
          <w:color w:val="000000"/>
        </w:rPr>
        <w:t>Pentru echilibrarea efectivelor de deținuți și utilizarea eficientă a spațiilor, Administrația Națională a Penitenciarelor monitorizează permanent numărul persoanelor private de libertate atât prin prisma efectelor politicilor penale ale statului, cât și prin evoluția categoriilor de deținuți custodiați și zonele de domiciliu ale acestora, reevaluând periodic sau ori de câte ori situația o impune, profilul fiecărei unități penitenciare, respectiv categoriile de deținuți ce urmează a fi custodiate.</w:t>
      </w:r>
    </w:p>
    <w:p>
      <w:pPr>
        <w:pStyle w:val="Normal"/>
        <w:ind w:firstLine="708"/>
        <w:jc w:val="both"/>
        <w:rPr>
          <w:color w:val="000000"/>
        </w:rPr>
      </w:pPr>
      <w:r>
        <w:rPr>
          <w:color w:val="000000"/>
        </w:rPr>
        <w:t>În ceea ce privește solicitarea reclamată de transfer a persoanei private de libertate R1, a arătat faptul că în temeiul art. 45 alin. (2) din Legea nr. 254/2013, coroborat cu art. 108 alin. (2) din Regulamentul de aprobare a Legii nr. 245/2013 aprobat prin Hotărârea Guvernului nr. 157/2016, administrația Penitenciarului ... a înaintat Administrației Naționale a Penitenciarelor avizul cu privire la cererea deținutului de transfer la Penitenciarul ..., în vederea continuării studiilor.</w:t>
      </w:r>
    </w:p>
    <w:p>
      <w:pPr>
        <w:pStyle w:val="Normal"/>
        <w:ind w:firstLine="708"/>
        <w:jc w:val="both"/>
        <w:rPr>
          <w:color w:val="000000"/>
        </w:rPr>
      </w:pPr>
      <w:r>
        <w:rPr>
          <w:color w:val="000000"/>
        </w:rPr>
        <w:t>Solicitarea a fost analizată în raport de profilarea locurilor de deținere, capacitatea de cazare, sexul, vârsta situația juridică, regimul de executare, domiciliul persoanei private de libertate, echilibrarea efectivelor populației carcerele, motivele transferurilor anterioare, situația operativă.</w:t>
      </w:r>
    </w:p>
    <w:p>
      <w:pPr>
        <w:pStyle w:val="Normal"/>
        <w:ind w:firstLine="708"/>
        <w:jc w:val="both"/>
        <w:rPr>
          <w:color w:val="000000"/>
        </w:rPr>
      </w:pPr>
      <w:r>
        <w:rPr>
          <w:color w:val="000000"/>
        </w:rPr>
        <w:t>După analizarea situației acestuia, întrucât transferul nu este oportun în vederea continuării studiilor la unitatea solicitată, s-a luat măsura netransferării potrivit adresei A.N.P nr. ...3 din data de 03/10/2023.</w:t>
      </w:r>
    </w:p>
    <w:p>
      <w:pPr>
        <w:pStyle w:val="Normal"/>
        <w:ind w:firstLine="708"/>
        <w:jc w:val="both"/>
        <w:rPr>
          <w:color w:val="000000"/>
        </w:rPr>
      </w:pPr>
      <w:r>
        <w:rPr>
          <w:color w:val="000000"/>
        </w:rPr>
        <w:t xml:space="preserve">Din perspectiva direcției de specialitate din cadrul Administrației Naționale a Penitenciarelor, care analizează cererile de transfer ale deținuțiior care vizează înscrierea/continuarea cursurilor de instruire școlară sau formare profesională, verifică respectarea prevederilor legale și exprimă avizul de specialitate cu privire la posibilitatea asigurării acestui demers, </w:t>
      </w:r>
      <w:bookmarkStart w:name="_Hlk158722111" w:id="12"/>
      <w:r>
        <w:rPr>
          <w:color w:val="000000"/>
        </w:rPr>
        <w:t>raportat la susținerile reclamantului care vizează neacordarea dreptului la continuarea cursurilor școlare prin înscrierea acestuia în clasa a XIl-a, la Penitenciarul ..., a precizat că înscrierea persoanelor condamnate la cursurile școlare se face ținându-se cont de prioritizarea nevoilor educative ale acestora și în baza recomandărilor consemnate în Planul individualizat de evaluare și intervenție educativă și terapeutică, de posibilitățile locului de deținere, starea de sănătate, tipul regimului de executare și măsurile de siguranță aplicate, în conformitate cu prevederile actului normativ amintit anterior</w:t>
      </w:r>
      <w:bookmarkEnd w:id="12"/>
      <w:r>
        <w:rPr>
          <w:color w:val="000000"/>
        </w:rPr>
        <w:t>.</w:t>
      </w:r>
    </w:p>
    <w:p>
      <w:pPr>
        <w:pStyle w:val="Normal"/>
        <w:ind w:firstLine="708"/>
        <w:jc w:val="both"/>
        <w:rPr>
          <w:color w:val="000000"/>
        </w:rPr>
      </w:pPr>
      <w:bookmarkStart w:name="_Hlk158722124" w:id="13"/>
      <w:r>
        <w:rPr>
          <w:color w:val="000000"/>
        </w:rPr>
        <w:t>În condițiile art. 79 din Legea nr. 254/2013 privind executarea pedepselor și a măsurilor privative de libertate dispuse de organele judiciare în cursul procesului penal, cu modificările și completările ulterioare: „Persoanele condamnate pot participa, în funcție de posibilitățile penitenciarului, la cursuri de instruire școlară sau universitare, în condițiile protocolului de colaborare încheiat cu Ministerul Educației Naționale, ținându-se cont de nevoile prioritare de intervenție identificate, de starea de sănătate, de tipul regimului de executare și de măsurile de siguranță aplicate”.</w:t>
      </w:r>
      <w:bookmarkEnd w:id="13"/>
    </w:p>
    <w:p>
      <w:pPr>
        <w:pStyle w:val="Normal"/>
        <w:ind w:firstLine="708"/>
        <w:jc w:val="both"/>
        <w:rPr>
          <w:color w:val="000000"/>
        </w:rPr>
      </w:pPr>
      <w:r>
        <w:rPr>
          <w:color w:val="000000"/>
        </w:rPr>
        <w:t>Deținutul R1 execută o pedeapsă privativă de libertate de 13 ani, 11 luni și 16 zile pentru infracțiunea de tâlhărie.</w:t>
      </w:r>
    </w:p>
    <w:p>
      <w:pPr>
        <w:pStyle w:val="Normal"/>
        <w:ind w:firstLine="708"/>
        <w:jc w:val="both"/>
        <w:rPr>
          <w:color w:val="000000"/>
        </w:rPr>
      </w:pPr>
      <w:bookmarkStart w:name="_Hlk158722140" w:id="14"/>
      <w:r>
        <w:rPr>
          <w:color w:val="000000"/>
        </w:rPr>
        <w:t>Pe perioada executării pedepsei privative de libertate, acesta a urmat cursuri de instruire școlară pentru clasele VI-XI. în anul 2022, în timp ce se afla în custodia Penitenciarului ..., a fost înscris în clasa a Xll-a, la cursurile desfășurate de către Centrul Școlar pentru Educație Incluzivă ..., dar a refuzat participarea, aspect consemnat în procesul verbal nr. ...7/08.12.2022. în conținutul acestuia se precizează faptul că motivul refuzului îl constituie transferul la Penitenciarul ..., pentru a fi mai aproape de familie.</w:t>
      </w:r>
      <w:bookmarkEnd w:id="14"/>
    </w:p>
    <w:p>
      <w:pPr>
        <w:pStyle w:val="Normal"/>
        <w:ind w:firstLine="708"/>
        <w:jc w:val="both"/>
        <w:rPr>
          <w:color w:val="000000"/>
        </w:rPr>
      </w:pPr>
      <w:r>
        <w:rPr>
          <w:color w:val="000000"/>
        </w:rPr>
        <w:t>Începând cu luna mai 2023, acesta execută pedeapsa la Penitenciarul ....</w:t>
      </w:r>
    </w:p>
    <w:p>
      <w:pPr>
        <w:pStyle w:val="Normal"/>
        <w:ind w:firstLine="708"/>
        <w:jc w:val="both"/>
        <w:rPr>
          <w:color w:val="000000"/>
        </w:rPr>
      </w:pPr>
      <w:bookmarkStart w:name="_Hlk158722150" w:id="15"/>
      <w:r>
        <w:rPr>
          <w:color w:val="000000"/>
        </w:rPr>
        <w:t>Referitor la transferul la Penitenciarul ..., în vederea continuării studiilor, a precizat faptul că, în cursul lunii octombrie, la nivelul direcției de specialitate, acesta a fost avizat negativ, deoarece Penitenciarul ... se confrunta cu un număr de solicitări, mai mare decât locurile propuse de unitatea școlară colaboratoare, sens în care se analiza posibilitatea înscrierii la acest demers doar a deținuților care se aflau deja în custodia unității penitenciare.</w:t>
      </w:r>
      <w:bookmarkEnd w:id="15"/>
    </w:p>
    <w:p>
      <w:pPr>
        <w:pStyle w:val="Normal"/>
        <w:ind w:firstLine="708"/>
        <w:jc w:val="both"/>
        <w:rPr>
          <w:color w:val="000000"/>
        </w:rPr>
      </w:pPr>
      <w:r>
        <w:rPr>
          <w:color w:val="000000"/>
        </w:rPr>
        <w:t>A precizat faptul că deținutul a fost analizat în cadrul comisiei de liberare condiționată în luna iunie și a primit un nou termen de analiză pentru luna decembrie a.c. În acest sens, deținutul a avut posibilitatea continuării studiilor la Penitenciarul ..., în anul 2022, dar a refuzat. Cererea de transfer pentru a urma cursurile școlare a fost formulată în luna august 2023, ulterior analizei în cadrul comisiei de liberare condiționată și stabilirii unui nou termen.</w:t>
      </w:r>
    </w:p>
    <w:p>
      <w:pPr>
        <w:pStyle w:val="Normal"/>
        <w:ind w:firstLine="708"/>
        <w:jc w:val="both"/>
        <w:rPr>
          <w:color w:val="000000"/>
        </w:rPr>
      </w:pPr>
      <w:r>
        <w:rPr>
          <w:color w:val="000000"/>
        </w:rPr>
        <w:t>A atașat procesul verbal de refuz nr. ...7/08.12.2022, adresa nr. ...6/12.07.2023 a Penitenciarului ....</w:t>
      </w:r>
    </w:p>
    <w:p>
      <w:pPr>
        <w:pStyle w:val="Normal"/>
        <w:ind w:firstLine="708"/>
        <w:jc w:val="both"/>
        <w:rPr>
          <w:color w:val="000000"/>
        </w:rPr>
      </w:pPr>
      <w:r>
        <w:rPr>
          <w:color w:val="000000"/>
        </w:rPr>
        <w:t>Sub aspectul aprecierii de către reclamant a obligativității Administrației Naționale a Penitenciarelor de a dispune transferarea în Penitenciarul ..., a arătat că participarea în cadrul cursurilor școlare este condiționată de îndeplinirea anumitor criterii și nu este una absolută, înscrierea în cadrul cursurilor școlare realizându-se pe bază de cerere aprobată, de prezentarea documentației care atestă nivelul studiilor absolvite, de posibilitățile materiale concrete ale fiecărei unități penitenciare de a desfășura cursuri școlare.</w:t>
      </w:r>
    </w:p>
    <w:p>
      <w:pPr>
        <w:pStyle w:val="Normal"/>
        <w:ind w:firstLine="708"/>
        <w:jc w:val="both"/>
        <w:rPr>
          <w:color w:val="000000"/>
        </w:rPr>
      </w:pPr>
      <w:bookmarkStart w:name="_Hlk158722169" w:id="16"/>
      <w:r>
        <w:rPr>
          <w:color w:val="000000"/>
        </w:rPr>
        <w:t>Nu toate persoanele solicitante care formulează așadar cereri de înscriere la cursurile școlare sunt și efectiv înscrise, acest lucru depinzând de posibilitățile efective și concrete ale locurilor de deținere. În orice caz, reclamantul s-a prevalat de dreptul său de a formula cerere de transfer pentru continuarea studiilor școlare, însă în considerarea aspectelor precizate mai sus, aceasta nu i-a fost aprobată, dispunându-se netransferarea lui la Penitenciarul ....</w:t>
      </w:r>
      <w:bookmarkEnd w:id="16"/>
    </w:p>
    <w:p>
      <w:pPr>
        <w:pStyle w:val="Normal"/>
        <w:ind w:firstLine="708"/>
        <w:jc w:val="both"/>
        <w:rPr>
          <w:color w:val="000000"/>
        </w:rPr>
      </w:pPr>
      <w:r>
        <w:rPr>
          <w:color w:val="000000"/>
        </w:rPr>
        <w:t>Prin urmare, a apreciat că reclamantul nu a justificat niciun motiv care să poată fi apreciat drept relevant pentru instituirea obligativității de a dispune transferarea sa, precum și faptul că acestuia i s-ar fi încălcat vreun drept.</w:t>
      </w:r>
    </w:p>
    <w:p>
      <w:pPr>
        <w:pStyle w:val="Normal"/>
        <w:ind w:firstLine="708"/>
        <w:jc w:val="both"/>
        <w:rPr>
          <w:color w:val="000000"/>
        </w:rPr>
      </w:pPr>
      <w:r>
        <w:rPr>
          <w:color w:val="000000"/>
        </w:rPr>
        <w:t>Așadar, reclamantul are posibilitatea de a reveni în orice moment cu o nouă solicitare de transfer, aceasta urmând să fie analizată în funcție de criteriile legale.</w:t>
      </w:r>
    </w:p>
    <w:p>
      <w:pPr>
        <w:pStyle w:val="Normal"/>
        <w:ind w:firstLine="708"/>
        <w:jc w:val="both"/>
        <w:rPr>
          <w:color w:val="000000"/>
        </w:rPr>
      </w:pPr>
      <w:r>
        <w:rPr>
          <w:color w:val="000000"/>
        </w:rPr>
        <w:t>În concluzie, dispoziția emisă de Administrația Națională a Penitenciarelor, prin care s-a luat măsura netransferării reclamantului a fost fundamentată de motive obiective, având caracter justificat în raport de prevederile legale ce au stat la baza emiterii ei, niciun act normativ în vigoare neinstituind în sarcina instituției obligativitatea transferării deținuților în funcție de solicitările acestora de participare la cursuri instructiv-educative, fiecare situație în parte fiind analizată riguros în funcție de criteriile arătate mai sus cu privire la oportunitatea desfășurării unor astfel de demersuri.</w:t>
      </w:r>
    </w:p>
    <w:p>
      <w:pPr>
        <w:pStyle w:val="Normal"/>
        <w:ind w:firstLine="708"/>
        <w:jc w:val="both"/>
        <w:rPr>
          <w:color w:val="000000"/>
        </w:rPr>
      </w:pPr>
      <w:r>
        <w:rPr>
          <w:color w:val="000000"/>
        </w:rPr>
        <w:t>În acest sens a reținut si Înalta Curte de Casație si Justiție în Decizia nr.3072 din data de 21.05.2021, pronunțată în dosarul nr. 938/59/2020 prin care tranșează în mod clar: ’’Așadar, în materia transferării persoanelor private de libertate, pentru executarea pedepsei există doar o competență legală, exclusivă, cea a A.N.P., prin intermediul directorului său general."</w:t>
      </w:r>
    </w:p>
    <w:p>
      <w:pPr>
        <w:pStyle w:val="Normal"/>
        <w:ind w:firstLine="708"/>
        <w:jc w:val="both"/>
        <w:rPr>
          <w:color w:val="000000"/>
        </w:rPr>
      </w:pPr>
      <w:r>
        <w:rPr>
          <w:color w:val="000000"/>
        </w:rPr>
        <w:t>Pe cale de consecință, a solicitat admiterea excepției invocate, iar pe fond respingerea acțiunii reclamantului ca neîntemeiată.</w:t>
      </w:r>
    </w:p>
    <w:p>
      <w:pPr>
        <w:pStyle w:val="Normal"/>
        <w:ind w:firstLine="708"/>
        <w:jc w:val="both"/>
        <w:rPr>
          <w:color w:val="000000"/>
        </w:rPr>
      </w:pPr>
      <w:r>
        <w:rPr>
          <w:color w:val="000000"/>
        </w:rPr>
        <w:t>În drept şi-a întemeiat apărările pe dispozițiile art. 205 - 208 Cod procedură civilă, Legea nr. 254/2013 și H G. nr. 157/2016.</w:t>
      </w:r>
    </w:p>
    <w:p>
      <w:pPr>
        <w:pStyle w:val="Normal"/>
        <w:ind w:firstLine="708"/>
        <w:jc w:val="both"/>
        <w:rPr>
          <w:color w:val="000000"/>
        </w:rPr>
      </w:pPr>
      <w:r>
        <w:rPr>
          <w:color w:val="000000"/>
        </w:rPr>
        <w:t>În dovedire a solicitat proba cu  înscrisuri.</w:t>
      </w:r>
    </w:p>
    <w:p>
      <w:pPr>
        <w:pStyle w:val="Normal"/>
        <w:ind w:firstLine="708"/>
        <w:jc w:val="both"/>
        <w:rPr>
          <w:color w:val="000000"/>
        </w:rPr>
      </w:pPr>
      <w:r>
        <w:rPr>
          <w:b/>
          <w:color w:val="000000"/>
        </w:rPr>
        <w:t>La data de 23.11.2023, pârâtul Penitenciarul ... a depus „întâmpinare”</w:t>
      </w:r>
      <w:r>
        <w:rPr>
          <w:color w:val="000000"/>
        </w:rPr>
        <w:t xml:space="preserve"> prin care a solicitat respingerea acţiunii formulate ca nefondată.</w:t>
      </w:r>
    </w:p>
    <w:p>
      <w:pPr>
        <w:pStyle w:val="Normal"/>
        <w:ind w:firstLine="708"/>
        <w:jc w:val="both"/>
        <w:rPr>
          <w:color w:val="000000"/>
        </w:rPr>
      </w:pPr>
      <w:r>
        <w:rPr>
          <w:color w:val="000000"/>
        </w:rPr>
        <w:t>Pe cale de excepție, a invocat netimbrarea cererii de chemare în judecată, conform dispozițiilor Ordonanței de urgență nr. 80 din 26 iunie 2013. privind taxele judiciare de timbru, publicată în Monitorul Oficial al României nr. 392/29 iunie2013.</w:t>
      </w:r>
    </w:p>
    <w:p>
      <w:pPr>
        <w:pStyle w:val="Normal"/>
        <w:ind w:firstLine="708"/>
        <w:jc w:val="both"/>
        <w:rPr>
          <w:color w:val="000000"/>
        </w:rPr>
      </w:pPr>
      <w:r>
        <w:rPr>
          <w:color w:val="000000"/>
        </w:rPr>
        <w:t>A invocat excepția lipsei calității procesuale pasive a Penitenciarului ..., arătând că formularea unei cereri de transfer, în aceste condiții, nu are ca finalitate obligația realizării transferului unui deținut, întrucât legislația amintită conferă directorului general al ANPM în calitate de decident instrumentele necesare pentru evaluarea situației de ansamblu a condițiilor de detenție, supraaglomerare la nivel de sistem, necesare pentru evaluarea unei decizii fundamentate, în acest sens reținând și Înalta Curte de Casatie si Justiție în Decizia nr. 3072 din data de 21.05.2021, pronunțată în dosarul nr. 938/59/2020. Așadar, în materia transferării persoanelor private de libertate, pentru executarea pedepsei există doar o competentă legală, exclusivă, cea a A.N.P., prin intermediul directorului său general.</w:t>
      </w:r>
    </w:p>
    <w:p>
      <w:pPr>
        <w:pStyle w:val="Normal"/>
        <w:ind w:firstLine="708"/>
        <w:jc w:val="both"/>
        <w:rPr>
          <w:color w:val="000000"/>
        </w:rPr>
      </w:pPr>
      <w:r>
        <w:rPr>
          <w:color w:val="000000"/>
        </w:rPr>
        <w:t>Pe fond, a solicitat respingerea acțiunii reclamantului ca nefondată.</w:t>
      </w:r>
    </w:p>
    <w:p>
      <w:pPr>
        <w:pStyle w:val="Normal"/>
        <w:ind w:firstLine="708"/>
        <w:jc w:val="both"/>
        <w:rPr>
          <w:color w:val="000000"/>
        </w:rPr>
      </w:pPr>
      <w:r>
        <w:rPr>
          <w:color w:val="000000"/>
        </w:rPr>
        <w:t>În drept a invocat  dispozițiile art. 205 - 208 Cod procedură civilă, Legea nr. 254/2013 și H G. nr. 157/2016.</w:t>
      </w:r>
    </w:p>
    <w:p>
      <w:pPr>
        <w:pStyle w:val="Normal"/>
        <w:ind w:firstLine="708"/>
        <w:jc w:val="both"/>
        <w:rPr>
          <w:color w:val="000000"/>
        </w:rPr>
      </w:pPr>
      <w:r>
        <w:rPr>
          <w:color w:val="000000"/>
        </w:rPr>
        <w:t>În dovedirea acţiunii a solicitat proba cu  înscrisuri.</w:t>
      </w:r>
    </w:p>
    <w:p>
      <w:pPr>
        <w:pStyle w:val="Normal"/>
        <w:ind w:firstLine="708"/>
        <w:jc w:val="both"/>
        <w:rPr>
          <w:color w:val="000000"/>
        </w:rPr>
      </w:pPr>
      <w:r>
        <w:rPr>
          <w:color w:val="000000"/>
        </w:rPr>
        <w:t>În temeiul art. 223 alin. (3) și art. 411 alin.1 pct. 2 teza a ll-a din Codul de procedura Civilă a solicitat judecarea cauzei și în lipsă.</w:t>
      </w:r>
    </w:p>
    <w:p>
      <w:pPr>
        <w:pStyle w:val="Normal"/>
        <w:ind w:firstLine="708"/>
        <w:jc w:val="both"/>
        <w:rPr>
          <w:b/>
          <w:color w:val="000000"/>
        </w:rPr>
      </w:pPr>
      <w:r>
        <w:rPr>
          <w:b/>
          <w:color w:val="000000"/>
        </w:rPr>
        <w:t xml:space="preserve">Analizând actele şi lucrările dosarului, în raport de dispoziţiile legale incidente, Curtea reţine următoarele: </w:t>
      </w:r>
    </w:p>
    <w:p>
      <w:pPr>
        <w:pStyle w:val="Normal"/>
        <w:ind w:firstLine="708"/>
        <w:jc w:val="both"/>
        <w:rPr>
          <w:color w:val="000000"/>
        </w:rPr>
      </w:pPr>
      <w:r>
        <w:rPr>
          <w:color w:val="000000"/>
        </w:rPr>
        <w:t>Promovând prezentul demers judiciar, reclamantul R1 a solicitat obligarea pârâtei Administrația Națională a Penitenciarelor la transferarea acestuia de la Penitenciarul ... la Penitenciarul ..., în vederea participării la cursurile de instruire școlară organizate în cadrul acestei unități.</w:t>
      </w:r>
    </w:p>
    <w:p>
      <w:pPr>
        <w:pStyle w:val="Normal"/>
        <w:ind w:firstLine="720"/>
        <w:jc w:val="both"/>
        <w:rPr>
          <w:i/>
          <w:i/>
          <w:color w:val="000000"/>
        </w:rPr>
      </w:pPr>
      <w:r>
        <w:rPr>
          <w:i/>
          <w:color w:val="000000"/>
        </w:rPr>
        <w:t>Analizând cu prioritate, în raport de dispoziţiile art.248 C.proc.civ., excepţiile invocate prin întâmpinările depuse de pârâţi, Curtea reține următoarele:</w:t>
      </w:r>
    </w:p>
    <w:p>
      <w:pPr>
        <w:pStyle w:val="Normal"/>
        <w:ind w:firstLine="567"/>
        <w:jc w:val="both"/>
        <w:rPr>
          <w:color w:val="000000"/>
        </w:rPr>
      </w:pPr>
      <w:r>
        <w:rPr>
          <w:color w:val="000000"/>
        </w:rPr>
        <w:t xml:space="preserve">În ceea ce privește </w:t>
      </w:r>
      <w:r>
        <w:rPr>
          <w:i/>
          <w:color w:val="000000"/>
        </w:rPr>
        <w:t>excepția netimbrării cererii de chemare în judecată</w:t>
      </w:r>
      <w:r>
        <w:rPr>
          <w:color w:val="000000"/>
        </w:rPr>
        <w:t>, Curtea reține că reclamantul și-a îndeplinit obligația de a achita taxa judiciară de timbru în cuantum de 50 lei, aceasta fiind depusă la dosarul cauzei la data de 24.10.2023 (fila 8 dosar), astfel că va respinge excepția invocată.</w:t>
      </w:r>
    </w:p>
    <w:p>
      <w:pPr>
        <w:pStyle w:val="Normal"/>
        <w:ind w:firstLine="567"/>
        <w:jc w:val="both"/>
        <w:rPr>
          <w:color w:val="000000"/>
        </w:rPr>
      </w:pPr>
      <w:r>
        <w:rPr>
          <w:color w:val="000000"/>
        </w:rPr>
        <w:t xml:space="preserve">În referire la </w:t>
      </w:r>
      <w:r>
        <w:rPr>
          <w:i/>
          <w:color w:val="000000"/>
        </w:rPr>
        <w:t>excepția lipsei calității procesuale pasive a pârâtului Penitenciarul ...,</w:t>
      </w:r>
      <w:r>
        <w:rPr>
          <w:color w:val="000000"/>
        </w:rPr>
        <w:t xml:space="preserve"> motivat de faptul că acesta nu are obligația realizării transferului unui deținut, competența revenindu-i Directorului general al ANP, în calitate de decident, Curtea reține faptul că, în temeiul art. 45 alin. 2 din Legea nr. 254/2013 coroborat cu art. 108 alin. 2 din Regulamentul de aprobare a Legii nr. 254/2013 aprobat prin HG nr. 157/2016, administrația Penitenciarului ... a înaintat Administrației Naționale a Penitenciarelor avizul cu privire la cererea deținutului de transfer la Penitenciarul ..., în vederea continuării studiilor.</w:t>
      </w:r>
    </w:p>
    <w:p>
      <w:pPr>
        <w:pStyle w:val="Normal"/>
        <w:ind w:firstLine="567"/>
        <w:jc w:val="both"/>
        <w:rPr>
          <w:color w:val="000000"/>
        </w:rPr>
      </w:pPr>
      <w:r>
        <w:rPr>
          <w:color w:val="000000"/>
        </w:rPr>
        <w:t>În aceste condiții, deși pârâtul nu este organul însărcinat să decidă cu privire la transferul deținutului, prin raportare la prevederile legale anterior citate, rezultă că acesta are atributii în cadrul acestei proceduri administrative, concretizate în cauză prin eliberarea unui aviz prealabil emiterii deciziei Directorului ANP.</w:t>
      </w:r>
    </w:p>
    <w:p>
      <w:pPr>
        <w:pStyle w:val="Normal"/>
        <w:ind w:firstLine="567"/>
        <w:jc w:val="both"/>
        <w:rPr>
          <w:i/>
          <w:i/>
          <w:color w:val="000000"/>
        </w:rPr>
      </w:pPr>
      <w:r>
        <w:rPr>
          <w:color w:val="000000"/>
        </w:rPr>
        <w:t>Pentru aceste considerente, instanța va respinge excepția invocată ca neîntemeiată, fiind legitimată participarea procesuală pasivă a Penitenciarului ....</w:t>
      </w:r>
    </w:p>
    <w:p>
      <w:pPr>
        <w:pStyle w:val="Normal"/>
        <w:ind w:firstLine="567"/>
        <w:jc w:val="both"/>
        <w:rPr>
          <w:color w:val="000000"/>
        </w:rPr>
      </w:pPr>
      <w:r>
        <w:rPr>
          <w:color w:val="000000"/>
        </w:rPr>
        <w:t>Pe fondul cauzei, se reține că reclamantul, pe perioada executării pedepsei privative de libertate, a urmat cursuri de instruire școlară pentru clasele VI-XI. În anul 2022, în timp ce se afla în custodia Penitenciarului ..., a fost înscris în clasa a XII-a, la cursurile desfășurate de către Centrul Școlar pentru Educație Incluzivă ..., dar a refuzat participarea pentru a fi mai aproape de familie, aspect consemnat în procesul verbal nr. ...7/08.12.2022. Ulterior, acesta a fost transferat la Penitenciarul .... - ... și la Penitenciarul ....</w:t>
      </w:r>
    </w:p>
    <w:p>
      <w:pPr>
        <w:pStyle w:val="Normal"/>
        <w:ind w:firstLine="567"/>
        <w:jc w:val="both"/>
        <w:rPr>
          <w:b/>
          <w:color w:val="000000"/>
        </w:rPr>
      </w:pPr>
      <w:r>
        <w:rPr>
          <w:color w:val="000000"/>
        </w:rPr>
        <w:t xml:space="preserve">În data de 05.09.2023, reclamantul a fost analizat în cadrul comisiei pentru individualizarea regimului privind transferul în care s-a solicitat transferul la Penitenciarul ... pentru continuarea cursurilor de instruire școlară, clasa XII, primind aviz favorabil din partea comisiei. Ulterior, </w:t>
      </w:r>
      <w:r>
        <w:rPr>
          <w:b/>
          <w:color w:val="000000"/>
        </w:rPr>
        <w:t>prin adresa ANP nr. ...3/03.10.2023 s-a dispus netransferarea persoanei private de libertate.</w:t>
      </w:r>
    </w:p>
    <w:p>
      <w:pPr>
        <w:pStyle w:val="Normal"/>
        <w:ind w:firstLine="708"/>
        <w:jc w:val="both"/>
        <w:rPr/>
      </w:pPr>
      <w:r>
        <w:rPr/>
        <w:t xml:space="preserve">Obiectul acţiunii astfel cum a fost susţinut de către reclamant prin cererea de chemare in judecata este acela de refuz nejustificat de soluţionare a unei cereri. </w:t>
      </w:r>
    </w:p>
    <w:p>
      <w:pPr>
        <w:pStyle w:val="Normal"/>
        <w:ind w:firstLine="708"/>
        <w:jc w:val="both"/>
        <w:rPr/>
      </w:pPr>
      <w:r>
        <w:rPr/>
        <w:t>În esenţă prin normele de la art. 1 alineat 1 , art 2 si 8 din legea 554/2004 este oferit subiectelor de drept privat un mecanism de contencios administrativ subiectiv , în cadrul careia sancţiunile juridice  conferite de lege sunt incidente  în masura in care actul sau refuzul autorităţii are drept consecinţă vătămarea dreptului subiectiv.</w:t>
      </w:r>
    </w:p>
    <w:p>
      <w:pPr>
        <w:pStyle w:val="Normal"/>
        <w:ind w:firstLine="708"/>
        <w:jc w:val="both"/>
        <w:rPr/>
      </w:pPr>
      <w:r>
        <w:rPr/>
        <w:t>Faţă de aceste împrejurări, Curtea apreciază că speţa se circumscrie contenciosului subiectiv, fiind verificata legalitatea unui act administrativ atipic, respectiv refuzul nejustificat al autorităţii publice.</w:t>
      </w:r>
    </w:p>
    <w:p>
      <w:pPr>
        <w:pStyle w:val="Normal"/>
        <w:ind w:firstLine="708"/>
        <w:jc w:val="both"/>
        <w:rPr/>
      </w:pPr>
      <w:r>
        <w:rPr/>
        <w:t>În prealabil verificării legalităţii refuzului autorităţii publice, reclamantul trebuie sa dovedească îndeplinirea in persoana sa a condiţiilor speciale de exercitare a acţiunii prevăzute de art. 8 din Legea nr.554/2004, inclusiv a  vătămării unui drept subiectiv sau interes legitim.</w:t>
      </w:r>
    </w:p>
    <w:p>
      <w:pPr>
        <w:pStyle w:val="Normal"/>
        <w:ind w:firstLine="708"/>
        <w:jc w:val="both"/>
        <w:rPr/>
      </w:pPr>
      <w:r>
        <w:rPr/>
        <w:t>Existenţa unei astfel de vătămări este o condiţie de exercitare a acţiunii in contencios administrativ.</w:t>
      </w:r>
    </w:p>
    <w:p>
      <w:pPr>
        <w:pStyle w:val="Normal"/>
        <w:ind w:firstLine="567"/>
        <w:jc w:val="both"/>
        <w:rPr>
          <w:color w:val="000000"/>
        </w:rPr>
      </w:pPr>
      <w:r>
        <w:rPr>
          <w:color w:val="000000"/>
        </w:rPr>
      </w:r>
    </w:p>
    <w:p>
      <w:pPr>
        <w:pStyle w:val="Normal"/>
        <w:ind w:firstLine="567"/>
        <w:jc w:val="both"/>
        <w:rPr>
          <w:color w:val="000000"/>
        </w:rPr>
      </w:pPr>
      <w:r>
        <w:rPr>
          <w:color w:val="000000"/>
        </w:rPr>
        <w:t>Potrivit dispoziţiilor art. 8 alin. (1) din Legea nr. 554/2004 :"(1) Persoana vătămată într-un drept recunoscut de lege sau într-un interes legitim printr-un act administrativ unilateral, nemulţumită de răspunsul primit la plângerea prealabilă, sau care nu a primit niciun răspuns în termenul prevăzut la art. 2 alin. (1) lit. h), poate sesiza instanţa de contencios administrativ competentă, pentru a solicita anularea în tot sau în parte a actului, repararea pagubei cauzate şi, eventual, reparaţii pentru daune morale. De asemenea, se poate adresa instanţei de contencios administrativ şi cel care se consideră vătămat într-un drept sau interes legitim al său prin nesoluţionarea în termen sau prin refuzul nejustificat de soluţionare a unei cereri, precum şi prin refuzul de efectuare a unei anumite operaţiuni administrative necesare pentru exercitarea sau protejarea dreptului sau interesului legitim".</w:t>
      </w:r>
    </w:p>
    <w:p>
      <w:pPr>
        <w:pStyle w:val="Normal"/>
        <w:ind w:firstLine="567"/>
        <w:jc w:val="both"/>
        <w:rPr>
          <w:color w:val="000000"/>
        </w:rPr>
      </w:pPr>
      <w:r>
        <w:rPr>
          <w:color w:val="000000"/>
        </w:rPr>
        <w:t>Aşadar, dreptul la acţiune este recunoscut de legea contenciosului administrativ în favoarea persoanelor vătămate nu doar în ceea ce priveşte un act administrativ unilateral, ci şi în cazul unui refuz nejustificat de soluţionare a unei cereri.</w:t>
      </w:r>
    </w:p>
    <w:p>
      <w:pPr>
        <w:pStyle w:val="Normal"/>
        <w:ind w:firstLine="567"/>
        <w:jc w:val="both"/>
        <w:rPr>
          <w:i/>
          <w:i/>
        </w:rPr>
      </w:pPr>
      <w:r>
        <w:rPr/>
        <w:t xml:space="preserve">Refuzul nejustificat, definit de art. 2 alin. (1) lit. i) din </w:t>
      </w:r>
      <w:r>
        <w:rPr>
          <w:color w:val="000000"/>
        </w:rPr>
        <w:t>Legea nr. 554/2004</w:t>
      </w:r>
      <w:r>
        <w:rPr/>
        <w:t>, impune analiza dreptului de apreciere al autorităţilor publice, raportat la competenţele prevăzute de lege sau la respectarea drepturilor şi libertăţilor cetăţenilor, exercitarea abuzivă a dreptului de apreciere afectând legalitatea actului administrativ</w:t>
      </w:r>
      <w:r>
        <w:rPr>
          <w:i/>
        </w:rPr>
        <w:t>.</w:t>
      </w:r>
    </w:p>
    <w:p>
      <w:pPr>
        <w:pStyle w:val="Normal"/>
        <w:ind w:firstLine="567"/>
        <w:jc w:val="both"/>
        <w:rPr/>
      </w:pPr>
      <w:r>
        <w:rPr/>
        <w:t>Legalitatea actului prin intermediul oportunităţii</w:t>
      </w:r>
      <w:r>
        <w:rPr>
          <w:i/>
        </w:rPr>
        <w:t xml:space="preserve"> </w:t>
      </w:r>
      <w:r>
        <w:rPr/>
        <w:t>emiterii sale vizează conformitatea actului cu scopul legii, anume interesul public, ocrotit de lege, depăşirea sau încălcarea acestuia putând atrage incidenţa excesului de putere.</w:t>
      </w:r>
    </w:p>
    <w:p>
      <w:pPr>
        <w:pStyle w:val="Normal"/>
        <w:ind w:firstLine="567"/>
        <w:jc w:val="both"/>
        <w:rPr/>
      </w:pPr>
      <w:r>
        <w:rPr/>
        <w:t xml:space="preserve">Înalta Curte de Casaţie şi Justiţie, confruntată cu problema analizării </w:t>
      </w:r>
      <w:r>
        <w:rPr>
          <w:i/>
        </w:rPr>
        <w:t>oportunităţii</w:t>
      </w:r>
      <w:r>
        <w:rPr/>
        <w:t xml:space="preserve"> unui </w:t>
      </w:r>
      <w:r>
        <w:rPr>
          <w:i/>
        </w:rPr>
        <w:t>act administrativ</w:t>
      </w:r>
      <w:r>
        <w:rPr/>
        <w:t>, a reţinut faptul că "norma permisivă, în dreptul administrativ, exprimă puterea discreţionară dată autorităţii de a acţiona sau nu, libertatea de apreciere de a acţiona într-un sens sau altul, ceea ce nu echivalează cu faptul că această putere poate fi utilizată abuziv, fără justificări legale ale opţiunii sale. A accepta contrariul ar însemna acceptarea excesului de putere fără niciun control al activităţii administraţiei, ceea ce este nepermis într-un stat de drept.”</w:t>
      </w:r>
    </w:p>
    <w:p>
      <w:pPr>
        <w:pStyle w:val="Normal"/>
        <w:ind w:firstLine="567"/>
        <w:jc w:val="both"/>
        <w:rPr/>
      </w:pPr>
      <w:r>
        <w:rPr/>
        <w:t>De asemenea, instanța supremă a reținut faptul că ”dreptul de apreciere nu echivalează însă cu posibilitatea de a acţiona abuziv, arbitrar, fără justificări legale şi în afara oricărui control, exercitarea lui fiind supusă principiului proporţionalităţii, care impune respectarea unui echilibru rezonabil între interesul public pe care autoritatea are obligaţia să îl îndeplinească şi drepturile sau interesele legitime private ce pot fi lezate prin conduita administraţiei”.</w:t>
      </w:r>
    </w:p>
    <w:p>
      <w:pPr>
        <w:pStyle w:val="Normal"/>
        <w:ind w:firstLine="567"/>
        <w:jc w:val="both"/>
        <w:rPr>
          <w:color w:val="000000"/>
        </w:rPr>
      </w:pPr>
      <w:r>
        <w:rPr>
          <w:color w:val="000000"/>
        </w:rPr>
        <w:t>În raport cu aceste considerente şi cu solicitarea reclamantului, Curtea constată că acesta nu a fost vătămat într-un drept sau într-un interes legitim, astfel cum este definit de art. 2 lit. p) şi r) din Legea nr. 554/2004, refuzul pârâtului de a dispune transferul acestuia fiind justificat.</w:t>
      </w:r>
    </w:p>
    <w:p>
      <w:pPr>
        <w:pStyle w:val="Normal"/>
        <w:ind w:firstLine="567"/>
        <w:jc w:val="both"/>
        <w:rPr>
          <w:color w:val="000000"/>
        </w:rPr>
      </w:pPr>
      <w:r>
        <w:rPr>
          <w:color w:val="000000"/>
        </w:rPr>
        <w:t xml:space="preserve">Procedura transferului unei persoane condamnate este reglementată de dispoziţiile art. </w:t>
      </w:r>
      <w:hyperlink w:tgtFrame="_blank" w:anchor="/dokument/16934983/2017-07-21?unitId=art(45)&amp;cm=DOCUMENT" r:id="rId2">
        <w:r>
          <w:rPr>
            <w:rStyle w:val="ListLabel1"/>
            <w:color w:val="000000"/>
          </w:rPr>
          <w:t>45</w:t>
        </w:r>
      </w:hyperlink>
      <w:r>
        <w:rPr>
          <w:color w:val="000000"/>
        </w:rPr>
        <w:t xml:space="preserve"> coroborat cu art. </w:t>
      </w:r>
      <w:hyperlink w:tgtFrame="_blank" w:anchor="/dokument/16934983/2017-07-21?unitId=art(32)&amp;cm=DOCUMENT" r:id="rId3">
        <w:r>
          <w:rPr>
            <w:rStyle w:val="ListLabel1"/>
            <w:color w:val="000000"/>
          </w:rPr>
          <w:t>32</w:t>
        </w:r>
      </w:hyperlink>
      <w:r>
        <w:rPr>
          <w:color w:val="000000"/>
        </w:rPr>
        <w:t xml:space="preserve"> din </w:t>
      </w:r>
      <w:hyperlink w:tgtFrame="_blank" w:anchor="/dokument/16934983/2017-07-21?cm=DOCUMENT" r:id="rId4">
        <w:r>
          <w:rPr>
            <w:rStyle w:val="ListLabel1"/>
            <w:color w:val="000000"/>
          </w:rPr>
          <w:t>Legea nr. 254/2013</w:t>
        </w:r>
      </w:hyperlink>
      <w:r>
        <w:rPr>
          <w:color w:val="000000"/>
        </w:rPr>
        <w:t xml:space="preserve"> de art. </w:t>
      </w:r>
      <w:hyperlink w:tgtFrame="_blank" w:anchor="/dokument/16934983/2017-07-21?unitId=art(108)&amp;cm=DOCUMENT" r:id="rId5">
        <w:r>
          <w:rPr>
            <w:rStyle w:val="ListLabel1"/>
            <w:color w:val="000000"/>
          </w:rPr>
          <w:t>108</w:t>
        </w:r>
      </w:hyperlink>
      <w:r>
        <w:rPr>
          <w:color w:val="000000"/>
        </w:rPr>
        <w:t xml:space="preserve"> din Regulamentul de aplicare a </w:t>
      </w:r>
      <w:hyperlink w:tgtFrame="_blank" w:anchor="/dokument/16934983/2017-07-21?cm=DOCUMENT" r:id="rId6">
        <w:r>
          <w:rPr>
            <w:rStyle w:val="ListLabel1"/>
            <w:color w:val="000000"/>
          </w:rPr>
          <w:t>Legii nr. 254/2013</w:t>
        </w:r>
      </w:hyperlink>
      <w:r>
        <w:rPr>
          <w:color w:val="000000"/>
        </w:rPr>
        <w:t xml:space="preserve"> privind executarea pedepselor şi a măsurilor privative de libertate dispuse de organele judiciare în cursul procesului penal şi de art. 71 din OMJ nr. 432/C/2010 care stabilesc în mod exhaustiv condiţiile, împrejurările şi modalităţile în care se poate realiza acest transfer, precum şi căile de contestare a măsurilor adoptate.</w:t>
      </w:r>
    </w:p>
    <w:p>
      <w:pPr>
        <w:pStyle w:val="Normal"/>
        <w:ind w:firstLine="567"/>
        <w:jc w:val="both"/>
        <w:rPr>
          <w:color w:val="000000"/>
        </w:rPr>
      </w:pPr>
      <w:r>
        <w:rPr>
          <w:color w:val="000000"/>
        </w:rPr>
        <w:t>Conform art. 45 din legea nr. 254/2013:  ”(1)Transferarea persoanelor condamnate în alt penitenciar, ca urmare a stabilirii provizorii a regimului de executare, se dispune de către directorul penitenciarului, conform profilării penitenciarelor stabilite prin decizie a directorului general al Administraţiei Naţionale a Penitenciarelor.(2) Transferarea persoanelor condamnate în alt penitenciar, ca urmare a stabilirii sau schimbării regimului de executare a pedepselor privative de libertate sau pentru alte motive întemeiate, se dispune, la propunerea comisiei prevăzute la art. 32 sau la cererea persoanei condamnate, cu avizul comisiei prevăzute la art. 32, de către directorul general al Administraţiei Naţionale a Penitenciarelor.”</w:t>
      </w:r>
    </w:p>
    <w:p>
      <w:pPr>
        <w:pStyle w:val="Normal"/>
        <w:ind w:firstLine="567"/>
        <w:jc w:val="both"/>
        <w:rPr>
          <w:color w:val="000000"/>
        </w:rPr>
      </w:pPr>
      <w:r>
        <w:rPr>
          <w:color w:val="000000"/>
        </w:rPr>
        <w:t xml:space="preserve">Potrivit art. 79 din Legea nr. 254/2013 privind executarea pedepselor și a măsurilor privative de libertate dispuse de organele judiciare în cursul procesului penal, cu modificările și completările ulterioare: „Persoanele condamnate pot participa, </w:t>
      </w:r>
      <w:r>
        <w:rPr>
          <w:b/>
          <w:color w:val="000000"/>
        </w:rPr>
        <w:t>în funcție de posibilitățile penitenciarului,</w:t>
      </w:r>
      <w:r>
        <w:rPr>
          <w:color w:val="000000"/>
        </w:rPr>
        <w:t xml:space="preserve"> la cursuri de instruire școlară sau universitare, în condițiile protocolului de colaborare încheiat cu Ministerul Educației Naționale, ținându-se cont de nevoile prioritare de intervenție identificate, de starea de sănătate, de tipul regimului de executare și de măsurile de siguranță aplicate”.</w:t>
      </w:r>
    </w:p>
    <w:p>
      <w:pPr>
        <w:pStyle w:val="Normal"/>
        <w:ind w:firstLine="567"/>
        <w:jc w:val="both"/>
        <w:rPr>
          <w:color w:val="000000"/>
        </w:rPr>
      </w:pPr>
      <w:r>
        <w:rPr>
          <w:color w:val="000000"/>
        </w:rPr>
        <w:t xml:space="preserve">În ceea ce privește refuzul pârâtei Administrația Națională a Penitenciarelor, materializat prin Adresa nr. ...3/03.10.2023, de a da curs cererii reclamantului de transfer la Penitenciarul ..., instanța reține că acesta are caracter justificat în raport de prevederile legale citate anterior, dar și de situația obiectivă de la locul de deținere. </w:t>
      </w:r>
    </w:p>
    <w:p>
      <w:pPr>
        <w:pStyle w:val="Normal"/>
        <w:ind w:firstLine="708"/>
        <w:jc w:val="both"/>
        <w:rPr>
          <w:color w:val="000000"/>
        </w:rPr>
      </w:pPr>
      <w:r>
        <w:rPr>
          <w:color w:val="000000"/>
        </w:rPr>
        <w:t xml:space="preserve">Asfel, înscrierea persoanelor condamnate la cursurile școlare se face ținându-se cont de prioritizarea nevoilor educative ale acestora și în baza recomandărilor consemnate în Planul individualizat de evaluare și intervenție educativă și terapeutică, de posibilitățile locului de deținere, starea de sănătate, tipul regimului de executare și măsurile de siguranță aplicate. </w:t>
      </w:r>
    </w:p>
    <w:p>
      <w:pPr>
        <w:pStyle w:val="Normal"/>
        <w:ind w:firstLine="708"/>
        <w:jc w:val="both"/>
        <w:rPr>
          <w:color w:val="000000"/>
        </w:rPr>
      </w:pPr>
      <w:r>
        <w:rPr>
          <w:color w:val="000000"/>
        </w:rPr>
        <w:t>În concret, pârâta a învederat faptul că Penitenciarul ... se confrunta cu un număr mare de solicitări de instruire școlară, mai mare decât locurile propuse de unitatea școlară colaboratoare, sens în care s-a analizat posibilitatea înscrierii la acest demers doar a deținuților care se aflau deja în custodia unității penitenciare.</w:t>
      </w:r>
    </w:p>
    <w:p>
      <w:pPr>
        <w:pStyle w:val="Normal"/>
        <w:ind w:firstLine="708"/>
        <w:jc w:val="both"/>
        <w:rPr>
          <w:b/>
        </w:rPr>
      </w:pPr>
      <w:r>
        <w:rPr/>
        <w:t>În concluzie, decizia pârâtei prin care s-a luat măsura netransferării reclamantului la Penitenciarul ... este fundamentată pe motive obiective, aceasta</w:t>
      </w:r>
      <w:r>
        <w:rPr>
          <w:color w:val="000000"/>
        </w:rPr>
        <w:t xml:space="preserve"> având </w:t>
      </w:r>
      <w:r>
        <w:rPr/>
        <w:t xml:space="preserve">obligaţia echilibrării efectivelor de deţinuţi, în vederea asigurării unor condiţii adecvate de executare a pedepselor prin gestionarea judicioasă a spaţiilor, </w:t>
      </w:r>
      <w:r>
        <w:rPr>
          <w:b/>
        </w:rPr>
        <w:t>în sensul menţinerii unui echilibru just între interesele și cererile tuturor persoanelor custodiate.</w:t>
      </w:r>
    </w:p>
    <w:p>
      <w:pPr>
        <w:pStyle w:val="Normal"/>
        <w:ind w:firstLine="567"/>
        <w:jc w:val="both"/>
        <w:rPr/>
      </w:pPr>
      <w:r>
        <w:rPr/>
        <w:t>În considerentele Recursului în Interesul Legii nr.3/2023, Înalta Curte de Casaţie şi Justiţie statuează că, pe de o parte ,  Convenţia europeană a drepturilor omului nu recunoaşte persoanelor private de libertate dreptul de a alege locul în care să execute pedeapsa.</w:t>
      </w:r>
    </w:p>
    <w:p>
      <w:pPr>
        <w:pStyle w:val="Normal"/>
        <w:ind w:firstLine="567"/>
        <w:jc w:val="both"/>
        <w:rPr/>
      </w:pPr>
      <w:r>
        <w:rPr/>
        <w:t>Pe de altă parte, Constituţia României în art</w:t>
      </w:r>
      <w:r>
        <w:rPr>
          <w:rStyle w:val="rvts4"/>
        </w:rPr>
        <w:t>. 32  garantează „ Dreptul la învăţătură” „</w:t>
      </w:r>
      <w:r>
        <w:rPr>
          <w:rStyle w:val="rvts2"/>
        </w:rPr>
        <w:t xml:space="preserve">   (1) Dreptul la învăţătură este asigurat prin învăţământul general obligatoriu, prin învăţământul liceal şi prin cel profesional, prin învăţământul superior, precum şi prin alte forme de instrucţie şi de perfecţionare.</w:t>
      </w:r>
    </w:p>
    <w:p>
      <w:pPr>
        <w:pStyle w:val="Normal"/>
        <w:ind w:firstLine="567"/>
        <w:jc w:val="both"/>
        <w:rPr/>
      </w:pPr>
      <w:r>
        <w:rPr>
          <w:rStyle w:val="rvts2"/>
        </w:rPr>
        <w:t xml:space="preserve">În  alineatul (5) legiuitorul constituant prevede că „ Învăţământul de toate gradele se desfăşoară în unităţi de stat, particulare şi confesionale, </w:t>
      </w:r>
      <w:r>
        <w:rPr>
          <w:rStyle w:val="rvts2"/>
          <w:b/>
        </w:rPr>
        <w:t>în condiţiile legii</w:t>
      </w:r>
      <w:r>
        <w:rPr>
          <w:rStyle w:val="rvts2"/>
        </w:rPr>
        <w:t>.”</w:t>
      </w:r>
    </w:p>
    <w:p>
      <w:pPr>
        <w:pStyle w:val="Normal"/>
        <w:ind w:firstLine="567"/>
        <w:jc w:val="both"/>
        <w:rPr/>
      </w:pPr>
      <w:r>
        <w:rPr>
          <w:rStyle w:val="rvts2"/>
        </w:rPr>
        <w:t>Exercitarea acestui drept în condiţiile legii nu este sinonimă cu desfăşurarea învăţământului în locul şi momentul  dorit de fiecare subiect de drept, astfel încât respingerea cererii de transfer pentru a-şi finaliza forma de învăţămând, începută în 2022 la ..., întreruptă potrivit manifestării de voinţă a reclamantului nu are semnificaţia unei ingerinţe nepermise de legea în dreptul fundamental al reclamantului la învăţământ.</w:t>
      </w:r>
    </w:p>
    <w:p>
      <w:pPr>
        <w:pStyle w:val="Normal"/>
        <w:ind w:firstLine="567"/>
        <w:jc w:val="both"/>
        <w:rPr/>
      </w:pPr>
      <w:r>
        <w:rPr>
          <w:rStyle w:val="rvts2"/>
        </w:rPr>
        <w:t xml:space="preserve">Tot Înalta Curte de Casaţie şi Justiţie , în acelaşi R.I.L. nr.3/2023,  arată în paragraful  </w:t>
      </w:r>
      <w:r>
        <w:rPr/>
        <w:t>92 că „ în jurisprudenţa sa, Curtea Europeană a Drepturilor Omului a statuat că detenţia, ca orice altă măsură care privează o persoană de libertatea sa, implică limitări proprii unei asemenea situaţii, mai ales asupra vieţii sale private şi de familie pe timpul executării pedepselor sau a măsurilor privative de libertate, persoanele private de libertate continuând să se bucure de toate drepturile şi libertăţile fundamentale, mai puţin de dreptul la libertate.</w:t>
      </w:r>
    </w:p>
    <w:p>
      <w:pPr>
        <w:pStyle w:val="Normal"/>
        <w:ind w:firstLine="567"/>
        <w:jc w:val="both"/>
        <w:rPr/>
      </w:pPr>
      <w:r>
        <w:rPr/>
        <w:t>Curtea a reţinut că atât textul Convenţiei, cât şi reglementările internaţionale privind tratamentul deţinuţilor (Regulile penitenciare europene din 1987 şi din 2006, standardele anterioare ale Uniunii Europene şi ale Naţiunilor Unite, şi anume cele din 1973 privind Regulile minime ale Consiliului Europei pentru tratamentul prizonierilor, normele minime ale Organizaţiei Naţiunilor Unite din 1955 pentru tratarea prizonierilor) permit familiilor persoanelor private de libertate să comunice cu acestea atât în scris, cât şi telefonic, astfel că dificultăţile cu care se pot confrunta solicitanţii nu sunt, prin urmare, excesive şi nu vor face viaţa de familie imposibilă (în acest sens cauzele Bădulescu contra Portugaliei, Ciupercescu contra României, Polyakova şi alţii contra Rusiei).</w:t>
      </w:r>
    </w:p>
    <w:p>
      <w:pPr>
        <w:pStyle w:val="Normal"/>
        <w:ind w:firstLine="567"/>
        <w:jc w:val="both"/>
        <w:rPr/>
      </w:pPr>
      <w:r>
        <w:rPr/>
        <w:t>Raportat la Hotărârea Curţii Europene a Drepturilor Omului din 7 martie 2017 în Cauza Polyakova şi alţii contra Rusiei, este de menţionat că regulile europene ale penitenciarelor recomandă alocarea deţinuţilor, pe cât posibil, în penitenciare din apropierea domiciliilor lor, scopul fiind facilitarea vieţii de familie şi a reabilitării persoanei condamnate.</w:t>
      </w:r>
    </w:p>
    <w:p>
      <w:pPr>
        <w:pStyle w:val="Normal"/>
        <w:ind w:firstLine="708"/>
        <w:jc w:val="both"/>
        <w:rPr>
          <w:b/>
        </w:rPr>
      </w:pPr>
      <w:r>
        <w:rPr>
          <w:lang w:val="en-US"/>
        </w:rPr>
        <w:t>Din aceste considerente, în temeiul dispoziţiilor art. 18 din</w:t>
      </w:r>
      <w:r>
        <w:rPr>
          <w:color w:val="000000"/>
          <w:lang w:val="en-US"/>
        </w:rPr>
        <w:t xml:space="preserve"> Legea nr. 554/2004, instanța </w:t>
      </w:r>
      <w:r>
        <w:rPr>
          <w:lang w:val="en-US"/>
        </w:rPr>
        <w:t>va respinge acţiunea ca neîntemeiată.</w:t>
      </w:r>
    </w:p>
    <w:p>
      <w:pPr>
        <w:pStyle w:val="Normal"/>
        <w:jc w:val="both"/>
        <w:rPr>
          <w:color w:val="000000"/>
        </w:rPr>
      </w:pPr>
      <w:r>
        <w:rPr>
          <w:color w:val="000000"/>
        </w:rPr>
      </w:r>
    </w:p>
    <w:p>
      <w:pPr>
        <w:pStyle w:val="Normal"/>
        <w:jc w:val="both"/>
        <w:rPr>
          <w:b/>
        </w:rPr>
      </w:pPr>
      <w:r>
        <w:rPr>
          <w:b/>
        </w:rPr>
      </w:r>
    </w:p>
    <w:p>
      <w:pPr>
        <w:pStyle w:val="Normal"/>
        <w:jc w:val="center"/>
        <w:rPr>
          <w:b/>
        </w:rPr>
      </w:pPr>
      <w:r>
        <w:rPr>
          <w:b/>
        </w:rPr>
        <w:t>PENTRU ACESTE MOTIVE,</w:t>
        <w:br/>
        <w:t>ÎN NUMELE LEGII</w:t>
      </w:r>
    </w:p>
    <w:p>
      <w:pPr>
        <w:pStyle w:val="Normal"/>
        <w:jc w:val="center"/>
        <w:rPr>
          <w:b/>
        </w:rPr>
      </w:pPr>
      <w:r>
        <w:rPr>
          <w:b/>
        </w:rPr>
        <w:t>HOTĂRĂŞTE:</w:t>
      </w:r>
    </w:p>
    <w:p>
      <w:pPr>
        <w:pStyle w:val="Normal"/>
        <w:jc w:val="center"/>
        <w:rPr/>
      </w:pPr>
      <w:r>
        <w:rPr/>
      </w:r>
    </w:p>
    <w:p>
      <w:pPr>
        <w:pStyle w:val="Normal"/>
        <w:jc w:val="both"/>
        <w:rPr/>
      </w:pPr>
      <w:r>
        <w:rPr/>
      </w:r>
    </w:p>
    <w:p>
      <w:pPr>
        <w:pStyle w:val="Normal"/>
        <w:ind w:firstLine="708"/>
        <w:jc w:val="both"/>
        <w:rPr/>
      </w:pPr>
      <w:r>
        <w:rPr/>
        <w:t xml:space="preserve">Respinge excepţiile invocate. </w:t>
      </w:r>
    </w:p>
    <w:p>
      <w:pPr>
        <w:pStyle w:val="Normal"/>
        <w:ind w:firstLine="708"/>
        <w:jc w:val="both"/>
        <w:rPr/>
      </w:pPr>
      <w:r>
        <w:rPr/>
        <w:t>Respinge acţiunea</w:t>
      </w:r>
      <w:r>
        <w:rPr>
          <w:lang w:val="en-US"/>
        </w:rPr>
        <w:t xml:space="preserve"> formulată de reclamantul </w:t>
      </w:r>
      <w:r>
        <w:rPr>
          <w:b/>
        </w:rPr>
        <w:t>R1</w:t>
      </w:r>
      <w:r>
        <w:rPr/>
        <w:t>,</w:t>
      </w:r>
      <w:r>
        <w:rPr>
          <w:b/>
        </w:rPr>
        <w:t xml:space="preserve"> </w:t>
      </w:r>
      <w:r>
        <w:rPr/>
        <w:t xml:space="preserve">în prezent deţinut în Penitenciarul ..., în contradictoriu cu pârâţii </w:t>
      </w:r>
      <w:r>
        <w:rPr>
          <w:b/>
        </w:rPr>
        <w:t>Administraţia Naţională a Penitenciarelor</w:t>
      </w:r>
      <w:r>
        <w:rPr/>
        <w:t>, cu sediul în ... şi</w:t>
      </w:r>
      <w:r>
        <w:rPr>
          <w:b/>
        </w:rPr>
        <w:t xml:space="preserve"> Penitenciarul ...,</w:t>
      </w:r>
      <w:r>
        <w:rPr/>
        <w:t xml:space="preserve"> cu sediul în ..., str. ..., având ca obiect „refuz soluţionare cerere”.</w:t>
      </w:r>
    </w:p>
    <w:p>
      <w:pPr>
        <w:pStyle w:val="Normal"/>
        <w:ind w:firstLine="708"/>
        <w:jc w:val="both"/>
        <w:rPr/>
      </w:pPr>
      <w:r>
        <w:rPr/>
        <w:t xml:space="preserve">Cu recurs în 15 zile de la comunicare, recurs ce se depune la sediul Curţii. </w:t>
      </w:r>
    </w:p>
    <w:p>
      <w:pPr>
        <w:pStyle w:val="Normal"/>
        <w:ind w:firstLine="708"/>
        <w:jc w:val="both"/>
        <w:rPr/>
      </w:pPr>
      <w:r>
        <w:rPr/>
        <w:t>Pronunţată la data de ..., prin punerea soluţiei la dispoziţia părţilor, prin Grefa Curţii.</w:t>
      </w:r>
    </w:p>
    <w:tbl>
      <w:tblPr>
        <w:tblW w:w="9286" w:type="dxa"/>
        <w:jc w:val="center"/>
        <w:tblInd w:w="0" w:type="dxa"/>
        <w:tblLayout w:type="fixed"/>
        <w:tblCellMar>
          <w:top w:w="284" w:type="dxa"/>
          <w:left w:w="108" w:type="dxa"/>
          <w:bottom w:w="284" w:type="dxa"/>
          <w:right w:w="108" w:type="dxa"/>
        </w:tblCellMar>
      </w:tblPr>
      <w:tblGrid>
        <w:gridCol w:w="3095"/>
        <w:gridCol w:w="3095"/>
        <w:gridCol w:w="3096"/>
      </w:tblGrid>
      <w:tr>
        <w:trPr/>
        <w:tc>
          <w:tcPr>
            <w:tcW w:w="3095" w:type="dxa"/>
            <w:tcBorders>
              <w:top w:val="single" w:color="FFFFFF" w:sz="4" w:space="0"/>
              <w:left w:val="single" w:color="FFFFFF" w:sz="4" w:space="0"/>
              <w:bottom w:val="single" w:color="FFFFFF" w:sz="4" w:space="0"/>
              <w:right w:val="single" w:color="FFFFFF" w:sz="4" w:space="0"/>
            </w:tcBorders>
          </w:tcPr>
          <w:p>
            <w:pPr>
              <w:pStyle w:val="Normal"/>
              <w:spacing w:line="254" w:lineRule="auto"/>
              <w:jc w:val="center"/>
              <w:rPr>
                <w:b/>
              </w:rPr>
            </w:pPr>
            <w:r>
              <w:rPr>
                <w:b/>
              </w:rPr>
            </w:r>
          </w:p>
        </w:tc>
        <w:tc>
          <w:tcPr>
            <w:tcW w:w="3095" w:type="dxa"/>
            <w:tcBorders>
              <w:top w:val="single" w:color="FFFFFF" w:sz="4" w:space="0"/>
              <w:left w:val="single" w:color="FFFFFF" w:sz="4" w:space="0"/>
              <w:bottom w:val="single" w:color="FFFFFF" w:sz="4" w:space="0"/>
              <w:right w:val="single" w:color="FFFFFF" w:sz="4" w:space="0"/>
            </w:tcBorders>
          </w:tcPr>
          <w:p>
            <w:pPr>
              <w:pStyle w:val="Normal"/>
              <w:spacing w:line="254" w:lineRule="auto"/>
              <w:jc w:val="center"/>
              <w:rPr>
                <w:b/>
              </w:rPr>
            </w:pPr>
            <w:r>
              <w:rPr>
                <w:b/>
              </w:rPr>
              <w:t>Preşedinte,</w:t>
            </w:r>
          </w:p>
          <w:p>
            <w:pPr>
              <w:pStyle w:val="Normal"/>
              <w:spacing w:line="254" w:lineRule="auto"/>
              <w:jc w:val="center"/>
              <w:rPr>
                <w:b/>
              </w:rPr>
            </w:pPr>
            <w:r>
              <w:rPr>
                <w:b/>
              </w:rPr>
              <w:t>A0006</w:t>
            </w:r>
          </w:p>
        </w:tc>
        <w:tc>
          <w:tcPr>
            <w:tcW w:w="3096" w:type="dxa"/>
            <w:tcBorders>
              <w:top w:val="single" w:color="FFFFFF" w:sz="4" w:space="0"/>
              <w:left w:val="single" w:color="FFFFFF" w:sz="4" w:space="0"/>
              <w:bottom w:val="single" w:color="FFFFFF" w:sz="4" w:space="0"/>
              <w:right w:val="single" w:color="FFFFFF" w:sz="4" w:space="0"/>
            </w:tcBorders>
          </w:tcPr>
          <w:p>
            <w:pPr>
              <w:pStyle w:val="Normal"/>
              <w:spacing w:line="254" w:lineRule="auto"/>
              <w:jc w:val="center"/>
              <w:rPr>
                <w:b/>
              </w:rPr>
            </w:pPr>
            <w:r>
              <w:rPr>
                <w:b/>
              </w:rPr>
            </w:r>
          </w:p>
        </w:tc>
      </w:tr>
      <w:tr>
        <w:trPr/>
        <w:tc>
          <w:tcPr>
            <w:tcW w:w="3095" w:type="dxa"/>
            <w:tcBorders>
              <w:top w:val="single" w:color="FFFFFF" w:sz="4" w:space="0"/>
              <w:left w:val="single" w:color="FFFFFF" w:sz="4" w:space="0"/>
              <w:bottom w:val="single" w:color="FFFFFF" w:sz="4" w:space="0"/>
              <w:right w:val="single" w:color="FFFFFF" w:sz="4" w:space="0"/>
            </w:tcBorders>
          </w:tcPr>
          <w:p>
            <w:pPr>
              <w:pStyle w:val="Normal"/>
              <w:spacing w:line="254" w:lineRule="auto"/>
              <w:jc w:val="center"/>
              <w:rPr>
                <w:b/>
              </w:rPr>
            </w:pPr>
            <w:r>
              <w:rPr>
                <w:b/>
              </w:rPr>
            </w:r>
          </w:p>
        </w:tc>
        <w:tc>
          <w:tcPr>
            <w:tcW w:w="3095" w:type="dxa"/>
            <w:tcBorders>
              <w:top w:val="single" w:color="FFFFFF" w:sz="4" w:space="0"/>
              <w:left w:val="single" w:color="FFFFFF" w:sz="4" w:space="0"/>
              <w:bottom w:val="single" w:color="FFFFFF" w:sz="4" w:space="0"/>
              <w:right w:val="single" w:color="FFFFFF" w:sz="4" w:space="0"/>
            </w:tcBorders>
          </w:tcPr>
          <w:p>
            <w:pPr>
              <w:pStyle w:val="Normal"/>
              <w:spacing w:line="254" w:lineRule="auto"/>
              <w:jc w:val="center"/>
              <w:rPr>
                <w:b/>
              </w:rPr>
            </w:pPr>
            <w:r>
              <w:rPr>
                <w:b/>
              </w:rPr>
              <w:t>Grefier,</w:t>
            </w:r>
          </w:p>
          <w:p>
            <w:pPr>
              <w:pStyle w:val="Normal"/>
              <w:spacing w:line="254" w:lineRule="auto"/>
              <w:jc w:val="center"/>
              <w:rPr>
                <w:b/>
              </w:rPr>
            </w:pPr>
            <w:r>
              <w:rPr>
                <w:b/>
              </w:rPr>
              <w:t>...</w:t>
            </w:r>
          </w:p>
        </w:tc>
        <w:tc>
          <w:tcPr>
            <w:tcW w:w="3096" w:type="dxa"/>
            <w:tcBorders>
              <w:top w:val="single" w:color="FFFFFF" w:sz="4" w:space="0"/>
              <w:left w:val="single" w:color="FFFFFF" w:sz="4" w:space="0"/>
              <w:bottom w:val="single" w:color="FFFFFF" w:sz="4" w:space="0"/>
              <w:right w:val="single" w:color="FFFFFF" w:sz="4" w:space="0"/>
            </w:tcBorders>
          </w:tcPr>
          <w:p>
            <w:pPr>
              <w:pStyle w:val="Normal"/>
              <w:spacing w:line="254" w:lineRule="auto"/>
              <w:jc w:val="center"/>
              <w:rPr>
                <w:b/>
              </w:rPr>
            </w:pPr>
            <w:r>
              <w:rPr>
                <w:b/>
              </w:rPr>
            </w:r>
          </w:p>
        </w:tc>
      </w:tr>
    </w:tbl>
    <w:p>
      <w:pPr>
        <w:pStyle w:val="Normal"/>
        <w:ind w:firstLine="708"/>
        <w:jc w:val="both"/>
        <w:rPr>
          <w:sz w:val="20"/>
        </w:rPr>
      </w:pPr>
      <w:r>
        <w:rPr>
          <w:sz w:val="20"/>
        </w:rPr>
      </w:r>
    </w:p>
    <w:p>
      <w:pPr>
        <w:pStyle w:val="Normal"/>
        <w:rPr>
          <w:sz w:val="16"/>
        </w:rPr>
      </w:pPr>
      <w:r>
        <w:rPr>
          <w:sz w:val="16"/>
        </w:rPr>
      </w:r>
    </w:p>
    <w:p>
      <w:pPr>
        <w:pStyle w:val="Normal"/>
        <w:rPr>
          <w:sz w:val="16"/>
        </w:rPr>
      </w:pPr>
      <w:r>
        <w:rPr>
          <w:sz w:val="16"/>
        </w:rPr>
        <w:t>Red. Jud. A0006</w:t>
      </w:r>
    </w:p>
    <w:p>
      <w:pPr>
        <w:pStyle w:val="Normal"/>
        <w:rPr>
          <w:sz w:val="16"/>
        </w:rPr>
      </w:pPr>
      <w:bookmarkStart w:name="_Hlk83891334" w:id="17"/>
      <w:r>
        <w:rPr>
          <w:sz w:val="16"/>
        </w:rPr>
        <w:t>Tehnored.  .... şi ..../ 5 ex./</w:t>
      </w:r>
      <w:bookmarkEnd w:id="17"/>
      <w:r>
        <w:rPr>
          <w:sz w:val="16"/>
        </w:rPr>
        <w:t>...</w:t>
      </w:r>
    </w:p>
    <w:p>
      <w:pPr>
        <w:pStyle w:val="Normal"/>
        <w:rPr/>
      </w:pPr>
      <w:r>
        <w:rPr/>
      </w:r>
    </w:p>
    <w:sectPr>
      <w:footerReference w:type="default" r:id="rId7"/>
      <w:type w:val="nextPage"/>
      <w:pgSz w:w="11906" w:h="16838"/>
      <w:pgMar w:top="851" w:right="1418" w:bottom="851" w:left="1418"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9</w:t>
    </w:r>
    <w:r>
      <w:rPr/>
      <w:fldChar w:fldCharType="end"/>
    </w:r>
  </w:p>
  <w:p>
    <w:pPr>
      <w:pStyle w:val="Footer"/>
      <w:rPr/>
    </w:pPr>
    <w:r>
      <w:rPr/>
    </w:r>
  </w:p>
</w:ft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10.19.48.53:80/ecris_cdms/document_upload.aspx?id_document=5400000001729487&amp;id_departament=5&amp;id_sesiune=2646856&amp;id_user=364&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qFormat/>
    <w:pPr>
      <w:keepNext w:val="true"/>
      <w:numPr>
        <w:ilvl w:val="0"/>
        <w:numId w:val="0"/>
      </w:numPr>
      <w:jc w:val="center"/>
      <w:outlineLvl w:val="0"/>
    </w:pPr>
    <w:rPr>
      <w:b/>
      <w:sz w:val="28"/>
      <w:lang w:val="en-US"/>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AntetCaracter">
    <w:name w:val="Antet Caracter"/>
    <w:link w:val="Header"/>
    <w:qFormat/>
    <w:rPr/>
  </w:style>
  <w:style w:type="character" w:styleId="SubsolCaracter">
    <w:name w:val="Subsol Caracter"/>
    <w:link w:val="Footer"/>
    <w:qFormat/>
    <w:rPr/>
  </w:style>
  <w:style w:type="character" w:styleId="rvts4">
    <w:name w:val="rvts4"/>
    <w:basedOn w:val="DefaultParagraphFont"/>
    <w:qFormat/>
    <w:rPr/>
  </w:style>
  <w:style w:type="character" w:styleId="rvts2">
    <w:name w:val="rvts2"/>
    <w:basedOn w:val="DefaultParagraphFont"/>
    <w:qFormat/>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Spacing">
    <w:name w:val="No Spacing"/>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NormalWeb">
    <w:name w:val="Normal (Web)"/>
    <w:basedOn w:val="Normal"/>
    <w:qFormat/>
    <w:pPr>
      <w:spacing w:before="280" w:after="280"/>
    </w:pPr>
    <w:rPr/>
  </w:style>
  <w:style w:type="paragraph" w:styleId="HeaderandFooter">
    <w:name w:val="Header and Footer"/>
    <w:basedOn w:val="Normal"/>
    <w:qFormat/>
    <w:pPr/>
    <w:rPr/>
  </w:style>
  <w:style w:type="paragraph" w:styleId="Header">
    <w:name w:val="Header"/>
    <w:basedOn w:val="Normal"/>
    <w:link w:val="AntetCaracter"/>
    <w:pPr>
      <w:tabs>
        <w:tab w:val="clear" w:pos="720"/>
        <w:tab w:val="center" w:pos="4536" w:leader="none"/>
        <w:tab w:val="right" w:pos="9072" w:leader="none"/>
      </w:tabs>
    </w:pPr>
    <w:rPr/>
  </w:style>
  <w:style w:type="paragraph" w:styleId="Footer">
    <w:name w:val="Footer"/>
    <w:basedOn w:val="Normal"/>
    <w:link w:val="SubsolCaracter"/>
    <w:pPr>
      <w:tabs>
        <w:tab w:val="clear" w:pos="720"/>
        <w:tab w:val="center" w:pos="4536" w:leader="none"/>
        <w:tab w:val="right" w:pos="9072" w:leader="none"/>
      </w:tabs>
    </w:pPr>
    <w:rPr/>
  </w:style>
  <w:style w:type="paragraph" w:styleId="al">
    <w:name w:val="a_l"/>
    <w:basedOn w:val="Normal"/>
    <w:qFormat/>
    <w:pPr>
      <w:spacing w:before="280" w:after="280"/>
    </w:pPr>
    <w:rPr>
      <w:lang w:val="en-US"/>
    </w:rPr>
  </w:style>
  <w:style w:type="paragraph" w:styleId="TableContents">
    <w:name w:val="Table Contents"/>
    <w:basedOn w:val="Normal"/>
    <w:qFormat/>
    <w:pPr>
      <w:widowControl w:val="false"/>
      <w:suppressLineNumbers/>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sintact.ro/" TargetMode="External"/><Relationship Id="rId3" Type="http://schemas.openxmlformats.org/officeDocument/2006/relationships/hyperlink" Target="https://sintact.ro/" TargetMode="External"/><Relationship Id="rId4" Type="http://schemas.openxmlformats.org/officeDocument/2006/relationships/hyperlink" Target="https://sintact.ro/" TargetMode="External"/><Relationship Id="rId5" Type="http://schemas.openxmlformats.org/officeDocument/2006/relationships/hyperlink" Target="https://sintact.ro/" TargetMode="External"/><Relationship Id="rId6" Type="http://schemas.openxmlformats.org/officeDocument/2006/relationships/hyperlink" Target="https://sintact.ro/" TargetMode="Externa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43</ap:TotalTime>
  <ap:Application>LibreOffice/24.2.7.2$Linux_X86_64 LibreOffice_project/420$Build-2</ap:Application>
  <ap:AppVersion>15.0000</ap:AppVersion>
  <ap:Pages>7</ap:Pages>
  <ap:Words>4719</ap:Words>
  <ap:Characters>28548</ap:Characters>
  <ap:CharactersWithSpaces>33284</ap:CharactersWithSpaces>
  <ap:Paragraphs>125</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revision/>
  <dc:subject/>
  <dc:title/>
  <keywords/>
  <category/>
  <contentStatus/>
  <dc:identifier/>
  <version/>
</coreProperties>
</file>