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C57A" w14:textId="16C291F1" w:rsidR="00363EFE" w:rsidRDefault="00A96EC7">
      <w:r>
        <w:t>Cod ECLI    ECLI:RO:CA</w:t>
      </w:r>
      <w:r w:rsidR="000E0350">
        <w:t>....</w:t>
      </w:r>
      <w:r>
        <w:t>:</w:t>
      </w:r>
      <w:r w:rsidR="000E0350">
        <w:t>...</w:t>
      </w:r>
    </w:p>
    <w:p w14:paraId="3156AEF7" w14:textId="47D0C6F9" w:rsidR="00363EFE" w:rsidRDefault="00A96EC7">
      <w:pPr>
        <w:rPr>
          <w:rStyle w:val="Fontdeparagrafimplicit1"/>
          <w:b/>
        </w:rPr>
      </w:pPr>
      <w:r>
        <w:rPr>
          <w:rStyle w:val="Fontdeparagrafimplicit1"/>
          <w:b/>
        </w:rPr>
        <w:t xml:space="preserve">Dosar nr. </w:t>
      </w:r>
      <w:r w:rsidR="000E0350">
        <w:rPr>
          <w:rStyle w:val="Fontdeparagrafimplicit1"/>
          <w:b/>
        </w:rPr>
        <w:t>....</w:t>
      </w:r>
      <w:r>
        <w:rPr>
          <w:rStyle w:val="Fontdeparagrafimplicit1"/>
          <w:b/>
        </w:rPr>
        <w:t>4</w:t>
      </w:r>
    </w:p>
    <w:p w14:paraId="658304CF" w14:textId="77777777" w:rsidR="00363EFE" w:rsidRDefault="00A96EC7">
      <w:pPr>
        <w:ind w:right="283"/>
        <w:jc w:val="center"/>
        <w:rPr>
          <w:rStyle w:val="Fontdeparagrafimplicit1"/>
          <w:b/>
        </w:rPr>
      </w:pPr>
      <w:r>
        <w:rPr>
          <w:rStyle w:val="Fontdeparagrafimplicit1"/>
          <w:b/>
        </w:rPr>
        <w:t>R O M Â N I A</w:t>
      </w:r>
    </w:p>
    <w:p w14:paraId="6E5C5330" w14:textId="77777777" w:rsidR="00363EFE" w:rsidRDefault="00363EFE">
      <w:pPr>
        <w:ind w:right="283"/>
        <w:jc w:val="center"/>
        <w:rPr>
          <w:rStyle w:val="Fontdeparagrafimplicit1"/>
          <w:b/>
        </w:rPr>
      </w:pPr>
    </w:p>
    <w:p w14:paraId="66F0380B" w14:textId="47C407B2" w:rsidR="00363EFE" w:rsidRDefault="00A96EC7">
      <w:pPr>
        <w:ind w:right="283"/>
        <w:jc w:val="center"/>
        <w:rPr>
          <w:rStyle w:val="Fontdeparagrafimplicit1"/>
          <w:b/>
        </w:rPr>
      </w:pPr>
      <w:r>
        <w:rPr>
          <w:rStyle w:val="Fontdeparagrafimplicit1"/>
          <w:b/>
        </w:rPr>
        <w:t xml:space="preserve">CURTEA DE APEL </w:t>
      </w:r>
      <w:r w:rsidR="000E0350">
        <w:rPr>
          <w:rStyle w:val="Fontdeparagrafimplicit1"/>
          <w:b/>
        </w:rPr>
        <w:t>X</w:t>
      </w:r>
    </w:p>
    <w:p w14:paraId="28A2F582" w14:textId="597340A3" w:rsidR="00363EFE" w:rsidRDefault="00A96EC7">
      <w:pPr>
        <w:ind w:right="283"/>
        <w:jc w:val="center"/>
        <w:rPr>
          <w:rStyle w:val="Fontdeparagrafimplicit1"/>
          <w:b/>
        </w:rPr>
      </w:pPr>
      <w:r>
        <w:rPr>
          <w:rStyle w:val="Fontdeparagrafimplicit1"/>
          <w:b/>
        </w:rPr>
        <w:t xml:space="preserve">SECŢIA </w:t>
      </w:r>
      <w:r w:rsidR="008F586C">
        <w:rPr>
          <w:rStyle w:val="Fontdeparagrafimplicit1"/>
          <w:b/>
        </w:rPr>
        <w:t>....</w:t>
      </w:r>
      <w:r>
        <w:rPr>
          <w:rStyle w:val="Fontdeparagrafimplicit1"/>
          <w:b/>
        </w:rPr>
        <w:t>CONTENCIOS ADMINISTRATIV ŞI FISCAL</w:t>
      </w:r>
    </w:p>
    <w:p w14:paraId="0EB14B34" w14:textId="1339E5D1" w:rsidR="00363EFE" w:rsidRDefault="00A96EC7">
      <w:pPr>
        <w:keepNext/>
        <w:ind w:right="283"/>
        <w:jc w:val="center"/>
        <w:outlineLvl w:val="1"/>
        <w:rPr>
          <w:rStyle w:val="Fontdeparagrafimplicit1"/>
          <w:rFonts w:ascii="Garamond" w:hAnsi="Garamond"/>
          <w:u w:val="single"/>
          <w:lang w:val="en-US"/>
        </w:rPr>
      </w:pPr>
      <w:r>
        <w:rPr>
          <w:rStyle w:val="Fontdeparagrafimplicit1"/>
          <w:b/>
          <w:u w:val="single"/>
        </w:rPr>
        <w:t xml:space="preserve">Sentinţa civilă nr. </w:t>
      </w:r>
      <w:r w:rsidR="000E0350">
        <w:rPr>
          <w:rStyle w:val="Fontdeparagrafimplicit1"/>
          <w:b/>
          <w:u w:val="single"/>
        </w:rPr>
        <w:t>....</w:t>
      </w:r>
    </w:p>
    <w:p w14:paraId="429ECE9A" w14:textId="5300249D" w:rsidR="00363EFE" w:rsidRDefault="00A96EC7">
      <w:pPr>
        <w:ind w:right="283"/>
        <w:jc w:val="center"/>
        <w:rPr>
          <w:rStyle w:val="Fontdeparagrafimplicit1"/>
          <w:b/>
        </w:rPr>
      </w:pPr>
      <w:r>
        <w:rPr>
          <w:rStyle w:val="Fontdeparagrafimplicit1"/>
          <w:b/>
        </w:rPr>
        <w:t xml:space="preserve">Ședința publică din data de </w:t>
      </w:r>
      <w:r w:rsidR="000E0350">
        <w:rPr>
          <w:rStyle w:val="Fontdeparagrafimplicit1"/>
          <w:b/>
          <w:u w:val="single"/>
        </w:rPr>
        <w:t>.....</w:t>
      </w:r>
      <w:r>
        <w:rPr>
          <w:rStyle w:val="Fontdeparagrafimplicit1"/>
          <w:b/>
        </w:rPr>
        <w:t xml:space="preserve"> </w:t>
      </w:r>
    </w:p>
    <w:p w14:paraId="6168B313" w14:textId="77777777" w:rsidR="00363EFE" w:rsidRDefault="00A96EC7">
      <w:pPr>
        <w:ind w:right="283"/>
        <w:jc w:val="center"/>
      </w:pPr>
      <w:r>
        <w:t>Curtea constituită din:</w:t>
      </w:r>
    </w:p>
    <w:p w14:paraId="08AAC489" w14:textId="2E5DB70E" w:rsidR="00363EFE" w:rsidRDefault="00A96EC7">
      <w:pPr>
        <w:ind w:right="283"/>
        <w:jc w:val="center"/>
        <w:rPr>
          <w:rStyle w:val="Fontdeparagrafimplicit1"/>
          <w:b/>
        </w:rPr>
      </w:pPr>
      <w:r>
        <w:rPr>
          <w:rStyle w:val="Fontdeparagrafimplicit1"/>
          <w:b/>
        </w:rPr>
        <w:t xml:space="preserve">Preşedinte: </w:t>
      </w:r>
      <w:r w:rsidR="000E0350">
        <w:rPr>
          <w:rStyle w:val="Fontdeparagrafimplicit1"/>
          <w:b/>
        </w:rPr>
        <w:t>A0017</w:t>
      </w:r>
      <w:r>
        <w:rPr>
          <w:rStyle w:val="Fontdeparagrafimplicit1"/>
          <w:b/>
        </w:rPr>
        <w:t xml:space="preserve"> </w:t>
      </w:r>
    </w:p>
    <w:p w14:paraId="1A426D13" w14:textId="2DC1DA8A" w:rsidR="00363EFE" w:rsidRDefault="00A96EC7">
      <w:pPr>
        <w:ind w:right="283"/>
        <w:jc w:val="center"/>
        <w:rPr>
          <w:rStyle w:val="Fontdeparagrafimplicit1"/>
          <w:b/>
        </w:rPr>
      </w:pPr>
      <w:r>
        <w:rPr>
          <w:rStyle w:val="Fontdeparagrafimplicit1"/>
          <w:b/>
        </w:rPr>
        <w:t xml:space="preserve">   Grefier:  </w:t>
      </w:r>
      <w:r w:rsidR="000E0350">
        <w:rPr>
          <w:rStyle w:val="Fontdeparagrafimplicit1"/>
          <w:b/>
        </w:rPr>
        <w:t>....</w:t>
      </w:r>
    </w:p>
    <w:p w14:paraId="015F3950" w14:textId="77777777" w:rsidR="00363EFE" w:rsidRDefault="00363EFE">
      <w:pPr>
        <w:rPr>
          <w:rStyle w:val="Fontdeparagrafimplicit1"/>
        </w:rPr>
      </w:pPr>
    </w:p>
    <w:p w14:paraId="3D266983" w14:textId="77777777" w:rsidR="00363EFE" w:rsidRDefault="00363EFE">
      <w:pPr>
        <w:jc w:val="center"/>
        <w:rPr>
          <w:rStyle w:val="Fontdeparagrafimplicit1"/>
        </w:rPr>
      </w:pPr>
    </w:p>
    <w:p w14:paraId="05AA89F5" w14:textId="52CCBCA4" w:rsidR="00363EFE" w:rsidRDefault="00A96EC7">
      <w:pPr>
        <w:ind w:firstLine="708"/>
        <w:jc w:val="both"/>
        <w:rPr>
          <w:rStyle w:val="Fontdeparagrafimplicit1"/>
          <w:i/>
        </w:rPr>
      </w:pPr>
      <w:r>
        <w:t xml:space="preserve">Pe rol se află soluţionarea cererii în contencios administrativ şi fiscal formulate de reclamantele </w:t>
      </w:r>
      <w:r w:rsidR="000E0350">
        <w:rPr>
          <w:rStyle w:val="Fontdeparagrafimplicit1"/>
          <w:b/>
        </w:rPr>
        <w:t>SME</w:t>
      </w:r>
      <w:r>
        <w:rPr>
          <w:rStyle w:val="Fontdeparagrafimplicit1"/>
          <w:b/>
        </w:rPr>
        <w:t xml:space="preserve">, </w:t>
      </w:r>
      <w:r w:rsidR="000E0350">
        <w:rPr>
          <w:rStyle w:val="Fontdeparagrafimplicit1"/>
          <w:b/>
        </w:rPr>
        <w:t>SL</w:t>
      </w:r>
      <w:r>
        <w:rPr>
          <w:rStyle w:val="Fontdeparagrafimplicit1"/>
          <w:b/>
        </w:rPr>
        <w:t xml:space="preserve">, </w:t>
      </w:r>
      <w:r w:rsidR="000E0350">
        <w:rPr>
          <w:rStyle w:val="Fontdeparagrafimplicit1"/>
          <w:b/>
        </w:rPr>
        <w:t xml:space="preserve">DCA </w:t>
      </w:r>
      <w:r>
        <w:t>şi</w:t>
      </w:r>
      <w:r>
        <w:rPr>
          <w:rStyle w:val="Fontdeparagrafimplicit1"/>
          <w:b/>
        </w:rPr>
        <w:t xml:space="preserve"> </w:t>
      </w:r>
      <w:r w:rsidR="000E0350">
        <w:rPr>
          <w:rStyle w:val="Fontdeparagrafimplicit1"/>
          <w:b/>
        </w:rPr>
        <w:t>HCC</w:t>
      </w:r>
      <w:r>
        <w:rPr>
          <w:rStyle w:val="Fontdeparagrafimplicit1"/>
          <w:b/>
        </w:rPr>
        <w:t xml:space="preserve">, </w:t>
      </w:r>
      <w:r>
        <w:t xml:space="preserve">în contradictoriu cu pârâţii </w:t>
      </w:r>
      <w:r>
        <w:rPr>
          <w:rStyle w:val="Fontdeparagrafimplicit1"/>
          <w:b/>
        </w:rPr>
        <w:t xml:space="preserve">PARCHETUL DE PE LÂNGĂ ÎNALTA CURTE DE CASAŢIE ŞI JUSTIŢIE </w:t>
      </w:r>
      <w:r>
        <w:t>şi</w:t>
      </w:r>
      <w:r>
        <w:rPr>
          <w:rStyle w:val="Fontdeparagrafimplicit1"/>
          <w:b/>
        </w:rPr>
        <w:t xml:space="preserve"> CONSILIUL NAŢIONAL PENTRU COMBATEREA DISCRIMINĂRII </w:t>
      </w:r>
      <w:r>
        <w:t>şi intervenienta</w:t>
      </w:r>
      <w:r>
        <w:rPr>
          <w:rStyle w:val="Fontdeparagrafimplicit1"/>
          <w:b/>
        </w:rPr>
        <w:t xml:space="preserve"> </w:t>
      </w:r>
      <w:r w:rsidR="000E0350">
        <w:rPr>
          <w:rStyle w:val="Fontdeparagrafimplicit1"/>
          <w:b/>
        </w:rPr>
        <w:t>DAE</w:t>
      </w:r>
      <w:r>
        <w:rPr>
          <w:rStyle w:val="Fontdeparagrafimplicit1"/>
          <w:b/>
        </w:rPr>
        <w:t xml:space="preserve">, </w:t>
      </w:r>
      <w:r>
        <w:t>având ca obiect „</w:t>
      </w:r>
      <w:r>
        <w:rPr>
          <w:rStyle w:val="Fontdeparagrafimplicit1"/>
          <w:i/>
        </w:rPr>
        <w:t>acţiune în constatare”.</w:t>
      </w:r>
    </w:p>
    <w:p w14:paraId="7A7B1FE4" w14:textId="65EC0FD1" w:rsidR="00363EFE" w:rsidRDefault="00A96EC7">
      <w:pPr>
        <w:ind w:firstLine="709"/>
        <w:jc w:val="both"/>
      </w:pPr>
      <w:r>
        <w:t xml:space="preserve">Dezbaterile au avut loc în şedinţa publică din data de </w:t>
      </w:r>
      <w:r w:rsidR="000E0350">
        <w:t>....</w:t>
      </w:r>
      <w:r>
        <w:t xml:space="preserve">.2024, fiind consemnate în încheierea de şedinţă de la acea dată, care face parte integrantă din prezenta, când Curtea, având nevoie de timp pentru a delibera, a amânat pronunțarea pentru </w:t>
      </w:r>
      <w:r w:rsidR="000E0350">
        <w:t>...</w:t>
      </w:r>
      <w:r>
        <w:t xml:space="preserve">.2024 şi pentru termenul de azi, când hotărăşte următoarele: </w:t>
      </w:r>
    </w:p>
    <w:p w14:paraId="60836E41" w14:textId="77777777" w:rsidR="00363EFE" w:rsidRDefault="00363EFE">
      <w:pPr>
        <w:ind w:firstLine="709"/>
        <w:jc w:val="both"/>
      </w:pPr>
    </w:p>
    <w:p w14:paraId="2D299A57" w14:textId="77777777" w:rsidR="00363EFE" w:rsidRDefault="00A96EC7">
      <w:pPr>
        <w:jc w:val="center"/>
        <w:rPr>
          <w:rStyle w:val="Fontdeparagrafimplicit1"/>
          <w:b/>
        </w:rPr>
      </w:pPr>
      <w:r>
        <w:rPr>
          <w:rStyle w:val="Fontdeparagrafimplicit1"/>
          <w:b/>
        </w:rPr>
        <w:t xml:space="preserve">CURTEA </w:t>
      </w:r>
    </w:p>
    <w:p w14:paraId="3012D692" w14:textId="77777777" w:rsidR="00363EFE" w:rsidRDefault="00363EFE">
      <w:pPr>
        <w:jc w:val="both"/>
        <w:rPr>
          <w:rStyle w:val="Fontdeparagrafimplicit1"/>
        </w:rPr>
      </w:pPr>
    </w:p>
    <w:p w14:paraId="5DBE6625" w14:textId="77777777" w:rsidR="00363EFE" w:rsidRDefault="00363EFE">
      <w:pPr>
        <w:jc w:val="both"/>
        <w:rPr>
          <w:rStyle w:val="Fontdeparagrafimplicit1"/>
        </w:rPr>
      </w:pPr>
    </w:p>
    <w:p w14:paraId="6C6181BD" w14:textId="77777777" w:rsidR="00363EFE" w:rsidRDefault="00A96EC7">
      <w:pPr>
        <w:ind w:firstLine="708"/>
        <w:jc w:val="both"/>
      </w:pPr>
      <w:r>
        <w:t>În urma deliberării, reţine următoarele:</w:t>
      </w:r>
    </w:p>
    <w:p w14:paraId="73BB29DE" w14:textId="77777777" w:rsidR="00363EFE" w:rsidRDefault="00A96EC7">
      <w:pPr>
        <w:jc w:val="both"/>
      </w:pPr>
      <w:r>
        <w:tab/>
      </w:r>
    </w:p>
    <w:p w14:paraId="6E420D60" w14:textId="77777777" w:rsidR="00363EFE" w:rsidRDefault="00A96EC7">
      <w:pPr>
        <w:numPr>
          <w:ilvl w:val="0"/>
          <w:numId w:val="1"/>
        </w:numPr>
        <w:spacing w:after="160" w:line="259" w:lineRule="auto"/>
        <w:contextualSpacing/>
        <w:jc w:val="both"/>
        <w:rPr>
          <w:rStyle w:val="Fontdeparagrafimplicit1"/>
          <w:b/>
          <w:i/>
        </w:rPr>
      </w:pPr>
      <w:r>
        <w:rPr>
          <w:rStyle w:val="Fontdeparagrafimplicit1"/>
          <w:b/>
          <w:i/>
        </w:rPr>
        <w:t>Cererea de chemare în judecată</w:t>
      </w:r>
    </w:p>
    <w:p w14:paraId="77081315" w14:textId="77777777" w:rsidR="00363EFE" w:rsidRDefault="00363EFE">
      <w:pPr>
        <w:ind w:left="705"/>
        <w:jc w:val="both"/>
        <w:rPr>
          <w:rStyle w:val="Fontdeparagrafimplicit1"/>
          <w:b/>
        </w:rPr>
      </w:pPr>
    </w:p>
    <w:p w14:paraId="0BD10C89" w14:textId="56E7777C" w:rsidR="00363EFE" w:rsidRDefault="00A96EC7">
      <w:pPr>
        <w:spacing w:line="259" w:lineRule="auto"/>
        <w:ind w:firstLine="709"/>
        <w:jc w:val="both"/>
      </w:pPr>
      <w:r>
        <w:t xml:space="preserve">Reclamantele </w:t>
      </w:r>
      <w:r w:rsidR="000E0350">
        <w:t>HCC</w:t>
      </w:r>
      <w:r>
        <w:t xml:space="preserve">, </w:t>
      </w:r>
      <w:r w:rsidR="000E0350">
        <w:t>SME</w:t>
      </w:r>
      <w:r>
        <w:t xml:space="preserve">, </w:t>
      </w:r>
      <w:r w:rsidR="000E0350">
        <w:t>SL</w:t>
      </w:r>
      <w:r>
        <w:t xml:space="preserve"> şi </w:t>
      </w:r>
      <w:r w:rsidR="000E0350">
        <w:t>DCA</w:t>
      </w:r>
      <w:r>
        <w:t xml:space="preserve">, în contradictoriu cu Parchetul de pe lângă Înalta Curte de Casație și Justiție și Consiliul Național pentru Combaterea Discriminării au sesizat Curtea de Apel </w:t>
      </w:r>
      <w:r w:rsidR="000E0350">
        <w:t>X</w:t>
      </w:r>
      <w:r>
        <w:t xml:space="preserve"> şi au solicitat:</w:t>
      </w:r>
    </w:p>
    <w:p w14:paraId="6DDA99A4" w14:textId="35D9519B" w:rsidR="00363EFE" w:rsidRDefault="00A96EC7">
      <w:pPr>
        <w:spacing w:line="259" w:lineRule="auto"/>
        <w:ind w:firstLine="709"/>
        <w:jc w:val="both"/>
      </w:pPr>
      <w:r>
        <w:t xml:space="preserve">-  revocarea (anularea) parțială a Ordinului </w:t>
      </w:r>
      <w:r w:rsidR="000E0350">
        <w:t>nr. ....</w:t>
      </w:r>
      <w:r>
        <w:t>/12.04.2023 în ceea ce privește data de la care s-a stabilit indemnizația de încadrare pentru reclamante prin valorificarea valorii de referință 605,225 lei fără a fi afectate de dispozițiile art. 38 alin.6 din Legea 153/2017, ca fiind data de 06.02.2017.</w:t>
      </w:r>
    </w:p>
    <w:p w14:paraId="7645196B" w14:textId="6748A28C" w:rsidR="00363EFE" w:rsidRDefault="00A96EC7">
      <w:pPr>
        <w:spacing w:line="259" w:lineRule="auto"/>
        <w:ind w:firstLine="709"/>
        <w:jc w:val="both"/>
      </w:pPr>
      <w:r>
        <w:t xml:space="preserve">- să fie obligat pârâtul să emită ordine de salarizare individuale pentru reclamante prin care să se stabilească indemnizația brută lunară, cu valorificarea valorii de referință sectorială de 605,225 lei începând cu data de 06.02.2017 și în continuare, majorată cu 25% conform art. 38 alin. 3 lit. a din Legea nr.153/2017 începând cu data de 1 ianuarie 2018 și respectiv a coeficientului de multiplicare de 21,5 pentru </w:t>
      </w:r>
      <w:r w:rsidR="000E0350">
        <w:t>HCC</w:t>
      </w:r>
      <w:r>
        <w:t xml:space="preserve"> începând cu data de 28.11.2016, precum și cu acordarea sporurilor în procent de 45%.</w:t>
      </w:r>
    </w:p>
    <w:p w14:paraId="53ED0CFD" w14:textId="131A68BA" w:rsidR="00363EFE" w:rsidRDefault="00A96EC7">
      <w:pPr>
        <w:spacing w:line="259" w:lineRule="auto"/>
        <w:ind w:firstLine="709"/>
        <w:jc w:val="both"/>
      </w:pPr>
      <w:r>
        <w:t>- să fie obligat pârâtul sa achite diferențele drepturilor salariate lunare corespunzătoare unei valori de referință sectorială (VRS) de 605,225 lei neplafonată la care s-a aplicat o majorare de 25% și sporuri de 45%, raportate la aplicarea prevederilor art. 12 din Secțiunea 1, Dispoziții comune din Capitolul VIII Reglementări specifice personalului din justiție Anexa V Familia ocupațională de funcții bugetare „Justiție și Curtea Constituțională - Legea nr. 153/2017, inclusiv plata diferenței celorlalte dre</w:t>
      </w:r>
      <w:r>
        <w:t xml:space="preserve">pturilor de care au beneficiat reclamantele (de ex. indemnizație de delegare pentru deplasările efectuate în interes de serviciu), corespunzător </w:t>
      </w:r>
      <w:r>
        <w:lastRenderedPageBreak/>
        <w:t xml:space="preserve">perioadei 06.02.2017 - 07.04.2019 pentru </w:t>
      </w:r>
      <w:r w:rsidR="000E0350">
        <w:t>HCC</w:t>
      </w:r>
      <w:r>
        <w:t xml:space="preserve">; 06.02.2017- 22.01.2022 pentru </w:t>
      </w:r>
      <w:r w:rsidR="000E0350">
        <w:t>SME</w:t>
      </w:r>
      <w:r>
        <w:t xml:space="preserve"> și 06.02.2017-05.12.2022 pentru </w:t>
      </w:r>
      <w:r w:rsidR="000E0350">
        <w:t>SL</w:t>
      </w:r>
      <w:r>
        <w:t>, dar și plata diferenței drepturilor bănești rezultată din compensarea concediului de odihnă neefectuat, compensare realizată la momentul eliberării din funcția de procuror, drepturi ce vor fi actualizate cu indicele de inflație, precum și cu dobânda l</w:t>
      </w:r>
      <w:r>
        <w:t>egală corespondentă, calculată de la data exigibilității sumelor până la data plății efective a diferenței drepturilor menționate mai înainte.</w:t>
      </w:r>
    </w:p>
    <w:p w14:paraId="48182E23" w14:textId="73FBE9CF" w:rsidR="00363EFE" w:rsidRDefault="00A96EC7">
      <w:pPr>
        <w:spacing w:line="259" w:lineRule="auto"/>
        <w:ind w:firstLine="709"/>
        <w:jc w:val="both"/>
      </w:pPr>
      <w:r>
        <w:t xml:space="preserve">Reclamanta  </w:t>
      </w:r>
      <w:r w:rsidR="000E0350">
        <w:t>HCC</w:t>
      </w:r>
      <w:r>
        <w:t xml:space="preserve"> arată că a exercitat funcția de procuror șef secție judiciară în cadrul Parchetului de pe lângă Tribunalul </w:t>
      </w:r>
      <w:r w:rsidR="000E0350">
        <w:t>M</w:t>
      </w:r>
      <w:r>
        <w:t xml:space="preserve"> în perioada 1 noiembrie 2016-7 aprilie 2019, fiind eliberată din funcția de inspector judiciar procuror ca urmare a pensionării începând cu data de </w:t>
      </w:r>
      <w:r w:rsidR="001E6375">
        <w:t>...</w:t>
      </w:r>
      <w:r>
        <w:t xml:space="preserve"> decembrie 2023 conform Decretului prezidențial nr.</w:t>
      </w:r>
      <w:r w:rsidR="000E0350">
        <w:t>....</w:t>
      </w:r>
      <w:r>
        <w:t>/</w:t>
      </w:r>
      <w:r w:rsidR="00DD319C">
        <w:t>...</w:t>
      </w:r>
      <w:r>
        <w:t xml:space="preserve"> noiembrie 2023.</w:t>
      </w:r>
    </w:p>
    <w:p w14:paraId="62AEC197" w14:textId="1DB017F6" w:rsidR="00363EFE" w:rsidRDefault="00A96EC7">
      <w:pPr>
        <w:spacing w:line="259" w:lineRule="auto"/>
        <w:ind w:firstLine="709"/>
        <w:jc w:val="both"/>
      </w:pPr>
      <w:r>
        <w:t xml:space="preserve">Reclamanta </w:t>
      </w:r>
      <w:r w:rsidR="000E0350">
        <w:t>SME</w:t>
      </w:r>
      <w:r>
        <w:t xml:space="preserve"> a exercitat funcția de procuror în cadrul Parchetului de pe lângă Tribunalul </w:t>
      </w:r>
      <w:r w:rsidR="000E0350">
        <w:t>M</w:t>
      </w:r>
      <w:r>
        <w:t xml:space="preserve"> în perioada vizată de cererea de chemare în judecată și până la data de </w:t>
      </w:r>
      <w:r w:rsidR="00DD319C">
        <w:t>...</w:t>
      </w:r>
      <w:r>
        <w:t>.01.2022 data eliberării din funcție prin pensionare conform Decretului prezidențial nr.</w:t>
      </w:r>
      <w:r w:rsidR="000E0350">
        <w:t>....</w:t>
      </w:r>
      <w:r>
        <w:t>/</w:t>
      </w:r>
      <w:r w:rsidR="00DD319C">
        <w:t>...</w:t>
      </w:r>
      <w:r>
        <w:t>.01.2022.</w:t>
      </w:r>
    </w:p>
    <w:p w14:paraId="6545A5A1" w14:textId="5507766D" w:rsidR="00363EFE" w:rsidRDefault="00A96EC7">
      <w:pPr>
        <w:spacing w:line="259" w:lineRule="auto"/>
        <w:ind w:firstLine="709"/>
        <w:jc w:val="both"/>
      </w:pPr>
      <w:r>
        <w:t xml:space="preserve">Reclamanta </w:t>
      </w:r>
      <w:r w:rsidR="000E0350">
        <w:t>SL</w:t>
      </w:r>
      <w:r>
        <w:t xml:space="preserve"> a exercitat funcția de procuror șef secție de urmărire penală în cadrul Parchetului de pe lângă Tribunalul </w:t>
      </w:r>
      <w:r w:rsidR="000E0350">
        <w:t>M</w:t>
      </w:r>
      <w:r>
        <w:t xml:space="preserve"> până la data de </w:t>
      </w:r>
      <w:r w:rsidR="001E6375">
        <w:t>...</w:t>
      </w:r>
      <w:r>
        <w:t>.12.2022 dată când a fost eliberată din funcție prin pensionare conform Decretului prezidențial nr.</w:t>
      </w:r>
      <w:r w:rsidR="000E0350">
        <w:t>...</w:t>
      </w:r>
      <w:r>
        <w:t>/</w:t>
      </w:r>
      <w:r w:rsidR="001E6375">
        <w:t>...</w:t>
      </w:r>
      <w:r>
        <w:t>.11.2022.</w:t>
      </w:r>
    </w:p>
    <w:p w14:paraId="3BF00148" w14:textId="3C56F551" w:rsidR="00363EFE" w:rsidRDefault="00A96EC7">
      <w:pPr>
        <w:spacing w:line="259" w:lineRule="auto"/>
        <w:ind w:firstLine="709"/>
        <w:jc w:val="both"/>
      </w:pPr>
      <w:r>
        <w:t xml:space="preserve">Prin adresele nr. </w:t>
      </w:r>
      <w:r w:rsidR="000E0350">
        <w:t>...</w:t>
      </w:r>
      <w:r>
        <w:t>/</w:t>
      </w:r>
      <w:r w:rsidR="000E0350">
        <w:t>...</w:t>
      </w:r>
      <w:r>
        <w:t>2024 din 6 februarie 2024 și nr.</w:t>
      </w:r>
      <w:r w:rsidR="000E0350">
        <w:t>...</w:t>
      </w:r>
      <w:r>
        <w:t>/</w:t>
      </w:r>
      <w:r w:rsidR="000E0350">
        <w:t>...</w:t>
      </w:r>
      <w:r>
        <w:t xml:space="preserve">2024 din 7 februarie 2024 urmare a plângerii prealabile formulate de reclamante împotriva Ordinului </w:t>
      </w:r>
      <w:r w:rsidR="000E0350">
        <w:t>nr. ....</w:t>
      </w:r>
      <w:r>
        <w:t>/12 aprilie 2023 Parchetul de pe lângă Înalta Curte de Casație și Justiție a dispus respingerea contestațiilor formulate ca fiind nefondate.</w:t>
      </w:r>
    </w:p>
    <w:p w14:paraId="016E014D" w14:textId="77777777" w:rsidR="00363EFE" w:rsidRDefault="00A96EC7">
      <w:pPr>
        <w:spacing w:line="259" w:lineRule="auto"/>
        <w:ind w:firstLine="709"/>
        <w:jc w:val="both"/>
      </w:pPr>
      <w:r>
        <w:t>Pârâta a ignorat faptul că reclamantele sunt titularele unui titlu prin care li s-a recunoscut dreptul la VRS 605,225 lei încă din data de 06.02.2017, iar pe de altă parte se recunoaște implicit pretenția reclamantelor de acordare a creșterii în cuantum de 25% prevăzuta de art. 38 alin.3 lit. a din Legea nr.153/2017.</w:t>
      </w:r>
    </w:p>
    <w:p w14:paraId="743487CA" w14:textId="6BCC5895" w:rsidR="00363EFE" w:rsidRDefault="00A96EC7">
      <w:pPr>
        <w:spacing w:line="259" w:lineRule="auto"/>
        <w:ind w:firstLine="709"/>
        <w:jc w:val="both"/>
      </w:pPr>
      <w:r>
        <w:t xml:space="preserve">Cu privire la solicitarea reclamantei </w:t>
      </w:r>
      <w:r w:rsidR="000E0350">
        <w:t>HCC</w:t>
      </w:r>
      <w:r>
        <w:t xml:space="preserve"> de emitere a ordinului de salarizare prin luarea în considerare a titlului definitiv prin care s-a recunoscut dreptul său de a beneficia de un coeficient de 21,5 începând cu data de 28.11.2016, motivația respingerii contestației este o combatere a argumentării unei hotărâri judecătorești definitive.</w:t>
      </w:r>
    </w:p>
    <w:p w14:paraId="1E4A3FA8" w14:textId="03B99B04" w:rsidR="00363EFE" w:rsidRDefault="00A96EC7">
      <w:pPr>
        <w:spacing w:line="259" w:lineRule="auto"/>
        <w:ind w:firstLine="709"/>
        <w:jc w:val="both"/>
      </w:pPr>
      <w:r>
        <w:t xml:space="preserve">Reclamantele arată că dreptul la calcularea și plata indemnizației de încadrare cu valorificarea valorii de referință sectorială de 605,225 lei, începând cu data de 06.02.2017 le-a fost recunoscut prin Decizia nr. </w:t>
      </w:r>
      <w:r w:rsidR="000E0350">
        <w:t>....</w:t>
      </w:r>
      <w:r>
        <w:t xml:space="preserve"> din </w:t>
      </w:r>
      <w:r w:rsidR="00DD319C">
        <w:t>...</w:t>
      </w:r>
      <w:r>
        <w:t xml:space="preserve">2022 pronunțată în dosarul nr. </w:t>
      </w:r>
      <w:r w:rsidR="000E0350">
        <w:t>....</w:t>
      </w:r>
      <w:r>
        <w:t xml:space="preserve"> al Curții de Apel </w:t>
      </w:r>
      <w:r w:rsidR="000E0350">
        <w:t>T</w:t>
      </w:r>
      <w:r>
        <w:t>.</w:t>
      </w:r>
      <w:r>
        <w:tab/>
      </w:r>
      <w:r>
        <w:tab/>
      </w:r>
    </w:p>
    <w:p w14:paraId="2178C502" w14:textId="237A3ADF" w:rsidR="00363EFE" w:rsidRDefault="00A96EC7">
      <w:pPr>
        <w:spacing w:line="259" w:lineRule="auto"/>
        <w:ind w:firstLine="709"/>
        <w:jc w:val="both"/>
      </w:pPr>
      <w:r>
        <w:t xml:space="preserve">Reclamantei </w:t>
      </w:r>
      <w:r w:rsidR="000E0350">
        <w:t>HCC</w:t>
      </w:r>
      <w:r>
        <w:t xml:space="preserve"> i s-a recunoscut dreptul de salarizare cu coeficient de multiplicare de 21,5 prin decizia civilă nr.</w:t>
      </w:r>
      <w:r w:rsidR="000E0350">
        <w:t>...</w:t>
      </w:r>
      <w:r>
        <w:t>.2022 pronunțată în dosarul nr.</w:t>
      </w:r>
      <w:r w:rsidR="000E0350">
        <w:t>...</w:t>
      </w:r>
      <w:r>
        <w:t xml:space="preserve">a Curții de Apel </w:t>
      </w:r>
      <w:r w:rsidR="000E0350">
        <w:t>T</w:t>
      </w:r>
      <w:r>
        <w:t xml:space="preserve"> începând cu data de 28.11.2016 și până la încetarea condițiilor de acordare.</w:t>
      </w:r>
    </w:p>
    <w:p w14:paraId="312AA150" w14:textId="77777777" w:rsidR="00363EFE" w:rsidRDefault="00A96EC7">
      <w:pPr>
        <w:spacing w:line="259" w:lineRule="auto"/>
        <w:ind w:firstLine="709"/>
        <w:jc w:val="both"/>
      </w:pPr>
      <w:r>
        <w:t>Arată că ordinul contestat nu a făcut aplicarea art. 38 alin 3 din Legea nr. 153/2017, respectiv nu prevede majorarea de 25% atât a indemnizației, cât și a sporurilor. Reclamantele subliniază că limitarea impusă de lege este doar prin raportare la art. 25, care se referă la sporuri, respectiv ca acestea să nu depășească 30% din suma salariilor de bază pe ordonator de credite.</w:t>
      </w:r>
    </w:p>
    <w:p w14:paraId="4B7B4DC2" w14:textId="7C210C26" w:rsidR="00363EFE" w:rsidRDefault="00A96EC7">
      <w:pPr>
        <w:spacing w:line="259" w:lineRule="auto"/>
        <w:ind w:firstLine="709"/>
        <w:jc w:val="both"/>
      </w:pPr>
      <w:r>
        <w:t xml:space="preserve">Rezultă din dispozitivul deciziei civile nr. </w:t>
      </w:r>
      <w:r w:rsidR="000E0350">
        <w:t>....</w:t>
      </w:r>
      <w:r>
        <w:t xml:space="preserve"> din </w:t>
      </w:r>
      <w:r w:rsidR="00DD319C">
        <w:t>...</w:t>
      </w:r>
      <w:r>
        <w:t xml:space="preserve">2022 pronunțată în dosarul nr. </w:t>
      </w:r>
      <w:r w:rsidR="000E0350">
        <w:t>....</w:t>
      </w:r>
      <w:r>
        <w:t xml:space="preserve"> al Curții de Apel </w:t>
      </w:r>
      <w:r w:rsidR="000E0350">
        <w:t>T</w:t>
      </w:r>
      <w:r>
        <w:t xml:space="preserve"> că instanța a recunoscut dreptul de a beneficia de o indemnizație de încadrare calculată prin raportare la un VRS de 605,225 lei (respectiv valoarea de referință sectorială de 484,18 lei la care se va adăuga majorarea de 25% prevăzută de art. III din O.U.G. nr. 20/2016) începând cu data de 06.02.2017 și până la schimbarea condițiilor legale de acordare, neplafonat.</w:t>
      </w:r>
    </w:p>
    <w:p w14:paraId="5462E132" w14:textId="77777777" w:rsidR="00363EFE" w:rsidRDefault="00A96EC7">
      <w:pPr>
        <w:spacing w:line="259" w:lineRule="auto"/>
        <w:ind w:firstLine="709"/>
        <w:jc w:val="both"/>
      </w:pPr>
      <w:r>
        <w:lastRenderedPageBreak/>
        <w:t>Ca atare, indemnizația de încadrare trebuie calculată începând cu data de 1.01.2018 și în continuare, până la data eliberării din funcție prin pensionare, cu luarea în considerare a VRS 605, 225 lei, majorată cu 25% conform art. 38 alin. 3 din Legea nr. 153/2017, fără aplicarea plafonării prevăzută de art. 38 alin.6 din legea nr.153/12017, așa cum s-a statuat prin titlul executoriu.</w:t>
      </w:r>
    </w:p>
    <w:p w14:paraId="70660D35" w14:textId="77777777" w:rsidR="00363EFE" w:rsidRDefault="00A96EC7">
      <w:pPr>
        <w:spacing w:line="259" w:lineRule="auto"/>
        <w:ind w:firstLine="709"/>
        <w:jc w:val="both"/>
      </w:pPr>
      <w:r>
        <w:t>Invocă hotărârea pronunțată de Curtea de Justiție a Uniunii Europene în data de 3 iunie 2021 în cauza C-624/19, privind principiul plății egale pentru muncă egală.</w:t>
      </w:r>
    </w:p>
    <w:p w14:paraId="1615A67D" w14:textId="77777777" w:rsidR="00363EFE" w:rsidRDefault="00A96EC7">
      <w:pPr>
        <w:spacing w:line="259" w:lineRule="auto"/>
        <w:ind w:firstLine="709"/>
        <w:jc w:val="both"/>
      </w:pPr>
      <w:r>
        <w:t>Reclamantele consideră că sporurile se impun a fi stabilite în procent de 45% și nu de 30%. Suma totală a sporurilor nu este prevăzută de Legea 153/2017 pentru fiecare salariat în parte, ci per total ordonator principal de credite, raportat la fondul de salarii al Ministerului Justiției (anterior preluării bugetului de către ÎCCJ), astfel cum interpretează dispozițiile Legii 153/2017 ÎCCJ prin Decizia pronunțată în recurs în interesul legii nr.15/2020.</w:t>
      </w:r>
    </w:p>
    <w:p w14:paraId="57A0C32E" w14:textId="77777777" w:rsidR="00363EFE" w:rsidRDefault="00A96EC7">
      <w:pPr>
        <w:spacing w:line="259" w:lineRule="auto"/>
        <w:ind w:firstLine="709"/>
        <w:jc w:val="both"/>
      </w:pPr>
      <w:r>
        <w:t>Disponibilul bănesc la nivelul ordonatorului de credite Ministerul Public începând cu 01.01.2018 a permis acordarea pentru fiecare judecător sporurilor până la limita maximă cumulată a sporurilor de 45%, cu respectarea limitării la care se referă art. 25 alin. (1) din Legea-cadru nr. 153/2017.</w:t>
      </w:r>
    </w:p>
    <w:p w14:paraId="4D6C9746" w14:textId="77777777" w:rsidR="00363EFE" w:rsidRDefault="00A96EC7">
      <w:pPr>
        <w:spacing w:line="259" w:lineRule="auto"/>
        <w:ind w:firstLine="709"/>
        <w:jc w:val="both"/>
      </w:pPr>
      <w:r>
        <w:t>Un alt argument este fondat pe discriminarea în aplicarea sporurilor la nivel maxim prin raportare la personalul din familia ocupațională "Justiție" (judecători de la instanțele naționale) începând cu data de 01.01.2018.Sporurile în procent total de 45% (sporul pentru condiții de muncă grele -15%, sporul pentru risc și suprasolicitare neuropsihică 25%, sporul pentru păstrarea confidențialității de 5%) sunt prevăzute de legiuitor prin norme juridice speciale, aplicabile pentru întreg personalul din familia o</w:t>
      </w:r>
      <w:r>
        <w:t>cupațională "Justiție" indiferent de funcția ocupată și gradul deținut (judecători de la toate gradele de jurisdicție, de la toate instanțele naționale).</w:t>
      </w:r>
    </w:p>
    <w:p w14:paraId="59F430EB" w14:textId="77777777" w:rsidR="00363EFE" w:rsidRDefault="00A96EC7">
      <w:pPr>
        <w:spacing w:line="259" w:lineRule="auto"/>
        <w:ind w:firstLine="709"/>
        <w:jc w:val="both"/>
      </w:pPr>
      <w:r>
        <w:t>Prin hotărâri judecătorești s-a stabilit cu caracter definitiv că unor judecători din cadrul instanțelor naționale trebuie să li se calculeze indemnizația prin aplicarea la indemnizația de bază a sporurilor prevăzute de ANEXA V, cap. VIII, art.4 și 5, în procent maxim de 45%.</w:t>
      </w:r>
    </w:p>
    <w:p w14:paraId="08059512" w14:textId="77777777" w:rsidR="00363EFE" w:rsidRDefault="00363EFE">
      <w:pPr>
        <w:spacing w:line="259" w:lineRule="auto"/>
        <w:ind w:firstLine="709"/>
        <w:jc w:val="both"/>
      </w:pPr>
    </w:p>
    <w:p w14:paraId="59348404" w14:textId="77777777" w:rsidR="00363EFE" w:rsidRDefault="00A96EC7">
      <w:pPr>
        <w:numPr>
          <w:ilvl w:val="0"/>
          <w:numId w:val="1"/>
        </w:numPr>
        <w:spacing w:after="160" w:line="259" w:lineRule="auto"/>
        <w:contextualSpacing/>
        <w:jc w:val="both"/>
        <w:rPr>
          <w:rStyle w:val="Fontdeparagrafimplicit1"/>
          <w:b/>
          <w:i/>
        </w:rPr>
      </w:pPr>
      <w:r>
        <w:rPr>
          <w:rStyle w:val="Fontdeparagrafimplicit1"/>
          <w:b/>
          <w:i/>
        </w:rPr>
        <w:t>Cererea de intervenţie</w:t>
      </w:r>
    </w:p>
    <w:p w14:paraId="4EB97B4C" w14:textId="77777777" w:rsidR="00363EFE" w:rsidRDefault="00363EFE">
      <w:pPr>
        <w:spacing w:line="259" w:lineRule="auto"/>
        <w:jc w:val="both"/>
        <w:rPr>
          <w:rStyle w:val="Fontdeparagrafimplicit1"/>
        </w:rPr>
      </w:pPr>
    </w:p>
    <w:p w14:paraId="3CBBF763" w14:textId="72904987" w:rsidR="00363EFE" w:rsidRDefault="00A96EC7">
      <w:pPr>
        <w:spacing w:line="259" w:lineRule="auto"/>
        <w:ind w:firstLine="709"/>
        <w:jc w:val="both"/>
        <w:rPr>
          <w:rStyle w:val="Fontdeparagrafimplicit1"/>
          <w:b/>
        </w:rPr>
      </w:pPr>
      <w:r>
        <w:t xml:space="preserve">Reclamanta </w:t>
      </w:r>
      <w:r w:rsidR="000E0350">
        <w:rPr>
          <w:rStyle w:val="Fontdeparagrafimplicit1"/>
          <w:i/>
        </w:rPr>
        <w:t>DAE</w:t>
      </w:r>
      <w:r>
        <w:t xml:space="preserve"> a formulat cerere de intervenţie în interes propriu prin care a solicitat instanţei:</w:t>
      </w:r>
    </w:p>
    <w:p w14:paraId="120E7692" w14:textId="14020B56" w:rsidR="00363EFE" w:rsidRDefault="00A96EC7">
      <w:pPr>
        <w:spacing w:line="259" w:lineRule="auto"/>
        <w:ind w:firstLine="709"/>
        <w:jc w:val="both"/>
      </w:pPr>
      <w:r>
        <w:t xml:space="preserve">- să dispună revocarea (anularea) parțială a Ordinului </w:t>
      </w:r>
      <w:r w:rsidR="000E0350">
        <w:t>nr. ....</w:t>
      </w:r>
      <w:r>
        <w:t>/12.04.2023 în ceea ce privește data de la care s-a stabilit indemnizația de încadrare pentru petentă prin valorificarea valorii de referință 605,225 lei fără a fi afectate de dispozițiile art. 38 alin.6 din Legea 153/2017, ca fiind data de 06.02.2017;</w:t>
      </w:r>
    </w:p>
    <w:p w14:paraId="4FE77E34" w14:textId="77777777" w:rsidR="00363EFE" w:rsidRDefault="00A96EC7">
      <w:pPr>
        <w:spacing w:line="259" w:lineRule="auto"/>
        <w:ind w:firstLine="709"/>
        <w:jc w:val="both"/>
      </w:pPr>
      <w:r>
        <w:t>- să fie obligat pârâtul să emită ordin de salarizare individual pentru petentă prin care să se stabilească indemnizația brută lunară, cu valorificarea valorii de referință sectorială de 605,225 lei începând cu data de 06.02.2017 și în continuare, majorată cu 25% conform art. 38 alin. 3 lit. a din Legea nr.153/2017 începând cu data de 1 ianuarie 2018 și respectiv a coeficientului de multiplicare de 21,5 începând cu data de 20.03.2020, precum și cu acordarea sporurilor în procent de 45 %</w:t>
      </w:r>
    </w:p>
    <w:p w14:paraId="7EE16F72" w14:textId="77777777" w:rsidR="00363EFE" w:rsidRDefault="00A96EC7">
      <w:pPr>
        <w:spacing w:line="259" w:lineRule="auto"/>
        <w:ind w:firstLine="709"/>
        <w:jc w:val="both"/>
      </w:pPr>
      <w:r>
        <w:t>- să fie obligat pârâtul să achite diferențele drepturilor salariate lunare corespunzătoare unei valori de referință sectorială (VRS) de 605,225 lei neplafonată la care s-a aplicat o majorare de 25% și sporuri de 45%, raportate la aplicarea prevederilor art. 12 din Secțiunea 1, Dispoziții comune din Capitolul VIII Reglementări specifice personalului din justiție Anexa V Familia ocupațională de funcții bugetare „Justiție" și Curtea Constituțională - Legea nr. 153/2017, inclusiv piața diferenței celorlalte dr</w:t>
      </w:r>
      <w:r>
        <w:t xml:space="preserve">epturilor de care am beneficiat (de ex. </w:t>
      </w:r>
      <w:r>
        <w:lastRenderedPageBreak/>
        <w:t>indemnizație de delegare pentru deplasările efectuate în interes de serviciu), corespunzător perioadei 06.02.2017-13.12.2021, dar și plata diferenței drepturilor bănești rezultată din compensarea concediului de odihnă neefectuat, compensare realizată ia momentul eliberării din funcția de procuror, drepturi ce vor fi actualizate cu indicele de inflație, precum și cu dobânda legală corespondentă, calculată de la data exigibilităţii sumelor până la data plății efective a</w:t>
      </w:r>
      <w:r>
        <w:t xml:space="preserve"> diferenței drepturilor menționate mai înainte.</w:t>
      </w:r>
    </w:p>
    <w:p w14:paraId="297D7176" w14:textId="5CBC40AB" w:rsidR="00363EFE" w:rsidRDefault="00A96EC7">
      <w:pPr>
        <w:spacing w:line="259" w:lineRule="auto"/>
        <w:ind w:firstLine="709"/>
        <w:jc w:val="both"/>
      </w:pPr>
      <w:r>
        <w:t xml:space="preserve">Petenta a arătat că a exercitat funcția de procuror șef secție judiciară în cadrul Parchetului de pe lângă Tribunalul </w:t>
      </w:r>
      <w:r w:rsidR="000E0350">
        <w:t>M</w:t>
      </w:r>
      <w:r>
        <w:t xml:space="preserve"> în perioada 1 iulie 2019 -13.12.2021, în prezent fiind eliberată din funcția de procuror șef secție judiciară ca urmare a pensionării începând cu data de 14 decembrie 2021 conform Decretului prezidențial nr....</w:t>
      </w:r>
      <w:r>
        <w:t>/...</w:t>
      </w:r>
      <w:r>
        <w:t>.2021 publicat în Monitorul Oficial nr....</w:t>
      </w:r>
      <w:r>
        <w:t>/...</w:t>
      </w:r>
      <w:r>
        <w:t>.2021. De asemenea, petenta a prezentat aceleaşi argumente ca şi reclamantele.</w:t>
      </w:r>
    </w:p>
    <w:p w14:paraId="4C7677E2" w14:textId="77777777" w:rsidR="00363EFE" w:rsidRDefault="00363EFE">
      <w:pPr>
        <w:spacing w:line="259" w:lineRule="auto"/>
        <w:ind w:firstLine="709"/>
        <w:jc w:val="both"/>
      </w:pPr>
    </w:p>
    <w:p w14:paraId="77E205E5" w14:textId="77777777" w:rsidR="00363EFE" w:rsidRDefault="00A96EC7">
      <w:pPr>
        <w:numPr>
          <w:ilvl w:val="0"/>
          <w:numId w:val="1"/>
        </w:numPr>
        <w:spacing w:after="160" w:line="259" w:lineRule="auto"/>
        <w:contextualSpacing/>
        <w:jc w:val="both"/>
        <w:rPr>
          <w:rStyle w:val="Fontdeparagrafimplicit1"/>
          <w:b/>
          <w:i/>
        </w:rPr>
      </w:pPr>
      <w:r>
        <w:rPr>
          <w:rStyle w:val="Fontdeparagrafimplicit1"/>
          <w:b/>
          <w:i/>
        </w:rPr>
        <w:t>Întâmpinarea</w:t>
      </w:r>
    </w:p>
    <w:p w14:paraId="35091881" w14:textId="77777777" w:rsidR="00363EFE" w:rsidRDefault="00363EFE">
      <w:pPr>
        <w:spacing w:line="259" w:lineRule="auto"/>
        <w:jc w:val="both"/>
        <w:rPr>
          <w:rStyle w:val="Fontdeparagrafimplicit1"/>
        </w:rPr>
      </w:pPr>
    </w:p>
    <w:p w14:paraId="38FDDF83" w14:textId="77777777" w:rsidR="00363EFE" w:rsidRDefault="00A96EC7">
      <w:pPr>
        <w:spacing w:line="259" w:lineRule="auto"/>
        <w:ind w:firstLine="709"/>
        <w:jc w:val="both"/>
      </w:pPr>
      <w:r>
        <w:t>Pârâtul Ministerul Public - Parchetul de pe lângă Înalta Curte de Casație și Justiție a formulat note de şedinţă cu valoare de întâmpinare, prin care a invocat excepția prescripției dreptului material la acțiune pentru pretențiile anterioare datei de 21.02.2021. Pe fond, a solicitat respingerea acţiunii ca nefondate, cu următoarea motivare:</w:t>
      </w:r>
    </w:p>
    <w:p w14:paraId="7E746579" w14:textId="77777777" w:rsidR="00363EFE" w:rsidRDefault="00A96EC7">
      <w:pPr>
        <w:spacing w:line="259" w:lineRule="auto"/>
        <w:ind w:firstLine="709"/>
        <w:jc w:val="both"/>
      </w:pPr>
      <w:r>
        <w:t>Drepturile salariale ale reclamanților au fost stabilite având la bază drepturile aferente lunii decembrie 2017, respectiv cuantumul brut al salariilor de încadrare, precum și cuantumul brut al sporurilor, majorate cu 25% față de nivelul acordat pentru luna decembrie 2017, conform art. 38 alin. 3 din Legea nr. 153/2017.</w:t>
      </w:r>
    </w:p>
    <w:p w14:paraId="5265DEB3" w14:textId="2FB5FFE2" w:rsidR="00363EFE" w:rsidRDefault="00A96EC7">
      <w:pPr>
        <w:spacing w:line="259" w:lineRule="auto"/>
        <w:ind w:firstLine="709"/>
        <w:jc w:val="both"/>
      </w:pPr>
      <w:r>
        <w:t xml:space="preserve">Concret, majorarea de 25%, solicitată în temeiul art. 38 alin. 3 din Legea nr. 153/2017, a fost deja inclusă în indemnizația de încadrare a procurorilor, conform grilelor de salarizare aprobate prin Ordinul </w:t>
      </w:r>
      <w:r w:rsidR="000E0350">
        <w:t>nr. ....</w:t>
      </w:r>
      <w:r>
        <w:t xml:space="preserve"> din 12.04.2023.</w:t>
      </w:r>
    </w:p>
    <w:p w14:paraId="291D49BA" w14:textId="77777777" w:rsidR="00363EFE" w:rsidRDefault="00A96EC7">
      <w:pPr>
        <w:spacing w:line="259" w:lineRule="auto"/>
        <w:ind w:firstLine="709"/>
        <w:jc w:val="both"/>
      </w:pPr>
      <w:r>
        <w:t>Așadar, drepturile salariale ale reclamanților au fost deja majorate cu 25%, cu respectarea dispozițiilor art. 38 alin. 3 din Legea nr. 153/2017.</w:t>
      </w:r>
    </w:p>
    <w:p w14:paraId="63A23019" w14:textId="7CEC1332" w:rsidR="00363EFE" w:rsidRDefault="00A96EC7">
      <w:pPr>
        <w:spacing w:line="259" w:lineRule="auto"/>
        <w:ind w:firstLine="709"/>
        <w:jc w:val="both"/>
      </w:pPr>
      <w:r>
        <w:t xml:space="preserve">Art. 1 din Ordinul </w:t>
      </w:r>
      <w:r w:rsidR="000E0350">
        <w:t>nr. ....</w:t>
      </w:r>
      <w:r>
        <w:t xml:space="preserve"> din 12.04.2023 prevede că drepturile salariale se acordă începând cu 07.12.2018.</w:t>
      </w:r>
    </w:p>
    <w:p w14:paraId="601C0C84" w14:textId="082F9E12" w:rsidR="00363EFE" w:rsidRDefault="00A96EC7">
      <w:pPr>
        <w:spacing w:line="259" w:lineRule="auto"/>
        <w:ind w:firstLine="709"/>
        <w:jc w:val="both"/>
      </w:pPr>
      <w:r>
        <w:t xml:space="preserve">Întrucât recunoașterea este un act juridic unilateral, pentru a se forma valabil și a-și produce efectele, aceasta nu presupune obținerea consimțământului titularului dreptului recunoscut (al creditorului). În consecință, drepturile salariale nu pot fi acordate începând cu 01.01.2018. Exercitarea marjei de apreciere s-a făcut în concordanță cu principiul bunei administrări, astfel că Ordinul </w:t>
      </w:r>
      <w:r w:rsidR="000E0350">
        <w:t>nr. ....</w:t>
      </w:r>
      <w:r>
        <w:t xml:space="preserve"> din 12.04.2023 a fost emis în acord cu realitatea faptică, iar condițiile de acordare a drepturilor sunt legale, nediscriminatorii și proporționale, adecvate scopului reglementării.</w:t>
      </w:r>
    </w:p>
    <w:p w14:paraId="2F191133" w14:textId="77777777" w:rsidR="00363EFE" w:rsidRDefault="00A96EC7">
      <w:pPr>
        <w:spacing w:line="259" w:lineRule="auto"/>
        <w:ind w:firstLine="709"/>
        <w:jc w:val="both"/>
      </w:pPr>
      <w:r>
        <w:t>Executarea hotărârilor judecătorești invocate de reclamanți se realizează în condițiile art. 39 din O.U.G. nr. 114/2018 și ale art. VI din O.U.G. nr. 130/2021. În lipsa unei modificări legislative sau a unei invalidări a respectivelor ordonanțe, dispozițiile legale anterior indicate sunt pe deplin aplicabile.</w:t>
      </w:r>
    </w:p>
    <w:p w14:paraId="6FB5A4EC" w14:textId="77777777" w:rsidR="00363EFE" w:rsidRDefault="00A96EC7">
      <w:pPr>
        <w:spacing w:line="259" w:lineRule="auto"/>
        <w:ind w:firstLine="709"/>
        <w:jc w:val="both"/>
      </w:pPr>
      <w:r>
        <w:t>Hotărârile judecătorești invocate de reclamanți au fost pronunțate în litigii de muncă și nu instituie în sarcina Parchetului de pe lângă înalta Curte de Casație și Justiție obligația de a emite ordine de salarizare.</w:t>
      </w:r>
    </w:p>
    <w:p w14:paraId="2684D1F2" w14:textId="77777777" w:rsidR="00363EFE" w:rsidRDefault="00A96EC7">
      <w:pPr>
        <w:spacing w:line="259" w:lineRule="auto"/>
        <w:ind w:firstLine="709"/>
        <w:jc w:val="both"/>
      </w:pPr>
      <w:r>
        <w:t xml:space="preserve">Potrivit art. 4 alin. 2 și 3 și art. 71 din Legea nr. 500/2002 şi art. 14, art. 22 alin. 1, art. 29 alin. 3 și art. 47 alin. 6 din actul normativ anterior invocat redistribuirea creditelor bugetare de către ordonatorul principal de credite se poate face doar dacă este prevăzută de lege; ordonatorul principal de credite poate utiliza creditele bugetare numai în limita prevederilor și </w:t>
      </w:r>
      <w:r>
        <w:lastRenderedPageBreak/>
        <w:t>destinațiilor aprobate. În acest context, ordonatorul principal de credite nu poate fi obligat la emiterea ordinelor de salarizare.</w:t>
      </w:r>
    </w:p>
    <w:p w14:paraId="5076ED15" w14:textId="77777777" w:rsidR="00363EFE" w:rsidRDefault="00A96EC7">
      <w:pPr>
        <w:spacing w:line="259" w:lineRule="auto"/>
        <w:ind w:firstLine="709"/>
        <w:jc w:val="both"/>
      </w:pPr>
      <w:r>
        <w:t>Pârâtul invocă deciziile ÎCCJ nr. 3/2024 şi nr. 4/2024 şi subliniază că, potrivit art. 791 alin. 1 și art. 80 alin. 2 din Legea nr. 304/2004 (în vigoare în perioada supusă analizei), Direcția de Investigare a Infracțiunilor de Criminalitate Organizată și Terorism și Direcția Națională Anticorupție funcționează în cadrul Parchetului de pe lângă Înalta Curte de Casație și Justiție.</w:t>
      </w:r>
    </w:p>
    <w:p w14:paraId="7D7212FF" w14:textId="77777777" w:rsidR="00363EFE" w:rsidRDefault="00A96EC7">
      <w:pPr>
        <w:spacing w:line="259" w:lineRule="auto"/>
        <w:ind w:firstLine="709"/>
        <w:jc w:val="both"/>
      </w:pPr>
      <w:r>
        <w:t>Asimilarea salarizării procurorilor care își desfășoară activitatea în cadrul celor două Direcții cu cea a procurorilor din P.Î.C.C.J. s-a făcut în urma obținerii de către primii a unei trepte ierarhice superioare și a unui grad profesional superior, prin interviul susținut în vederea numirii în structurile respective. În consecință, salarizarea procurorilor din D.LI.C.O.T. și D.N.A. are la bază nivelul Parchetului de pe lângă înalta Curte de Casație și Justiție.</w:t>
      </w:r>
    </w:p>
    <w:p w14:paraId="1C4FAEB5" w14:textId="77777777" w:rsidR="00363EFE" w:rsidRDefault="00A96EC7">
      <w:pPr>
        <w:spacing w:line="259" w:lineRule="auto"/>
        <w:ind w:firstLine="709"/>
        <w:jc w:val="both"/>
      </w:pPr>
      <w:r>
        <w:t xml:space="preserve">Procurorii din celelalte parchete, chiar dacă participă la ședințele de judecată în cauzele instrumentate de D.LI.C.O.T. și D.N.A., nu efectuează și urmărirea penală, cu caracteristicile și dificultățile specifice cauzelor de crimă organizată și terorism, respectiv de combatere a corupției. În atare condiții, argumentul invocat de reclamanți, în sensul că salarizarea procurorilor din cadrul celor două Direcții are la bază doar criteriul apartenenței la un domeniu restrâns în realizarea justiției, respectiv </w:t>
      </w:r>
      <w:r>
        <w:t>specificul infracțiunilor, este nefondat.</w:t>
      </w:r>
    </w:p>
    <w:p w14:paraId="37EE2926" w14:textId="77777777" w:rsidR="00363EFE" w:rsidRDefault="00A96EC7">
      <w:pPr>
        <w:spacing w:line="259" w:lineRule="auto"/>
        <w:ind w:firstLine="709"/>
        <w:jc w:val="both"/>
      </w:pPr>
      <w:r>
        <w:t>Întrucât procurorii care funcționează în cadrul parchetelor de pe lângă judecătorii nu participă la judecarea cauzelor privind infracțiunile la care se referă textul de lege citat, acestora nu li se pot acorda coeficienții de multiplicare 21,5 - 23.</w:t>
      </w:r>
    </w:p>
    <w:p w14:paraId="46AD7703" w14:textId="77777777" w:rsidR="00363EFE" w:rsidRDefault="00A96EC7">
      <w:pPr>
        <w:spacing w:line="259" w:lineRule="auto"/>
        <w:ind w:firstLine="709"/>
        <w:jc w:val="both"/>
      </w:pPr>
      <w:r>
        <w:t>De asemenea, pârâtul arată că, raportat la obiectul cererii de chemare în judecată, trebuie avute în vedere dispozițiile Deciziilor nr. 818 - 821 din 03.07.2008 ale Curții Constituționale. În plus, arată că, din coroborarea dispozițiilor art. 38 alin. 6 din Legea nr. 153/2017 cu cele ale art. 8 alin. 1 din Anexa V a aceluiași act normativ rezultă că, începând cu 01.01.2018, a fost stabilit un nivel maxim al indemnizației de încadrare pe grade profesionale, care nu poate fi depășit, în atare situație, calcul</w:t>
      </w:r>
      <w:r>
        <w:t>ul drepturilor salariale ale procurorilor prin raportare la valoarea de referință sectorială și la coeficienți de multiplicare este realizabil doar până la 31.12.2017.</w:t>
      </w:r>
    </w:p>
    <w:p w14:paraId="07BB90A0" w14:textId="77777777" w:rsidR="00363EFE" w:rsidRDefault="00A96EC7">
      <w:pPr>
        <w:spacing w:line="259" w:lineRule="auto"/>
        <w:ind w:firstLine="709"/>
        <w:jc w:val="both"/>
      </w:pPr>
      <w:r>
        <w:t>Începând cu 01.01.2018, coeficientul de multiplicare și valoarea de referință sectorială (elemente ale calculului drepturilor salariale) se regăsesc doar în componența drepturilor salariale care nu au ajuns la nivelul maxim aferent anului 2022. în caz contrar, se acordă drepturile salariale prevăzute de lege pentru anul 2022, corespunzătoare gradului profesional deținut, fără existența unui calcul care să aibă la bază cele două elemente.</w:t>
      </w:r>
    </w:p>
    <w:p w14:paraId="41A7F822" w14:textId="77777777" w:rsidR="00363EFE" w:rsidRDefault="00A96EC7">
      <w:pPr>
        <w:spacing w:line="259" w:lineRule="auto"/>
        <w:ind w:firstLine="709"/>
        <w:jc w:val="both"/>
      </w:pPr>
      <w:r>
        <w:t>În consecință, întrucât legea de salarizare în vigoare a stabilit un nivel maxim pe grade profesionale, care nu poate fi depășit, începând cu 01.01.2018, s-a avut în vedere nivelul maxim al indemnizației de încadrare aferente anului 2022, corespunzătoare gradului profesional deținut.</w:t>
      </w:r>
    </w:p>
    <w:p w14:paraId="63E6F80E" w14:textId="77777777" w:rsidR="00363EFE" w:rsidRDefault="00A96EC7">
      <w:pPr>
        <w:spacing w:line="259" w:lineRule="auto"/>
        <w:ind w:firstLine="709"/>
        <w:jc w:val="both"/>
      </w:pPr>
      <w:r>
        <w:t>În perioada supusă analizei, reclamanții nu au deținut gradul profesional corespunzător Parchetului de pe lângă înalta Curte de Casație și Justiție. Reclamanții nu au ocupat funcții de conducere în cadrul P.I.C.C.J., D.II.C.O.T. sau D.N.A.</w:t>
      </w:r>
    </w:p>
    <w:p w14:paraId="2EC72AC5" w14:textId="77777777" w:rsidR="00363EFE" w:rsidRDefault="00A96EC7">
      <w:pPr>
        <w:spacing w:line="259" w:lineRule="auto"/>
        <w:ind w:firstLine="709"/>
        <w:jc w:val="both"/>
      </w:pPr>
      <w:r>
        <w:t>Așadar, indemnizațiile de încadrare ale reclamanților nu pot fi recalculate prin raportare la coeficienții de multiplicare 21,5 - 23, aferenți funcțiilor de conducere din cadrul P.Î.C.C.J., D.LI.C.O.T. și D.N.A.</w:t>
      </w:r>
    </w:p>
    <w:p w14:paraId="29C0A0CF" w14:textId="77777777" w:rsidR="00363EFE" w:rsidRDefault="00A96EC7">
      <w:pPr>
        <w:spacing w:line="259" w:lineRule="auto"/>
        <w:ind w:firstLine="709"/>
        <w:jc w:val="both"/>
      </w:pPr>
      <w:r>
        <w:t xml:space="preserve">În jurisprudența sa, C.E.D.O. a reținut că „este la latitudinea statului să determine ce sume vor fi plătite angajaților săi din bugetul de stat. Statul poate introduce, suspenda sau </w:t>
      </w:r>
      <w:r>
        <w:lastRenderedPageBreak/>
        <w:t>anula plata unor asemenea sporuri, făcând modificările legislative necesare" (Hot. pron. în cauza Kechko c. Ucrainei).</w:t>
      </w:r>
    </w:p>
    <w:p w14:paraId="5DE5E57C" w14:textId="77777777" w:rsidR="00363EFE" w:rsidRDefault="00A96EC7">
      <w:pPr>
        <w:spacing w:line="259" w:lineRule="auto"/>
        <w:ind w:firstLine="709"/>
        <w:jc w:val="both"/>
      </w:pPr>
      <w:r>
        <w:t>Totodată, aceeași instanță a stabilit că „statul se bucură de o largă marjă de apreciere pentru a determina oportunitatea și intensitatea politicilor sale în acest domeniu. Curtea a constatat că nu este rolul său de a verifica în ce măsura existau soluții legislative mai adecvate pentru atingerea obiectivului de interes public urmărit" (Hot. pron. în cauza Wieczorek c. Poloniei).</w:t>
      </w:r>
    </w:p>
    <w:p w14:paraId="57A1C067" w14:textId="77777777" w:rsidR="00363EFE" w:rsidRDefault="00A96EC7">
      <w:pPr>
        <w:spacing w:line="259" w:lineRule="auto"/>
        <w:ind w:firstLine="709"/>
        <w:jc w:val="both"/>
      </w:pPr>
      <w:r>
        <w:t>Toate aceste statuări ale Curții Constituționale și ale Curții Europene a Drepturilor Omului sunt aplicabile, mutatis mutandis, și în prezenta cauză.</w:t>
      </w:r>
    </w:p>
    <w:p w14:paraId="735F2102" w14:textId="77777777" w:rsidR="00363EFE" w:rsidRDefault="00A96EC7">
      <w:pPr>
        <w:spacing w:line="259" w:lineRule="auto"/>
        <w:ind w:firstLine="709"/>
        <w:jc w:val="both"/>
      </w:pPr>
      <w:r>
        <w:t>În cauză sunt incidente prevederile art. 25 alin. 1 și ale art. 38 din Legea nr.153/2017, cu modificările și completările ulterioare, precum și ale art. 4 și ale art. 5 din cap. VIII al Anexei V a aceluiași act normativ. Din interpretarea coroborată a acestor dispoziții legale rezultă că nivelul sporurilor cuvenite reclamanților nu poate fi de 45%. Legiuitorul nu a prevăzut acordarea de sporuri în procent fix, ci o limită maximă în care trebuie să se încadreze fiecare spor. Cuantumul sporurilor urmează a fi</w:t>
      </w:r>
      <w:r>
        <w:t xml:space="preserve"> determinat prin aplicarea unei duble condiționări: încadrarea fiecărui spor în limitele maxime prevăzute de art. 4 și art. 5 din cap. VIII al Anexei V a Legii nr. 153/2017, cu modificările și completările ulterioare; interdicția depășirii cumulate a pragului prevăzut de art. 25 alin. 1 din actul normativ anterior menționat.</w:t>
      </w:r>
    </w:p>
    <w:p w14:paraId="238231A7" w14:textId="77777777" w:rsidR="00363EFE" w:rsidRDefault="00363EFE">
      <w:pPr>
        <w:jc w:val="both"/>
        <w:rPr>
          <w:rStyle w:val="Fontdeparagrafimplicit1"/>
          <w:b/>
        </w:rPr>
      </w:pPr>
    </w:p>
    <w:p w14:paraId="54B7AB1C" w14:textId="77777777" w:rsidR="00363EFE" w:rsidRDefault="00A96EC7">
      <w:pPr>
        <w:numPr>
          <w:ilvl w:val="0"/>
          <w:numId w:val="1"/>
        </w:numPr>
        <w:spacing w:after="160" w:line="259" w:lineRule="auto"/>
        <w:ind w:firstLine="705"/>
        <w:contextualSpacing/>
        <w:jc w:val="both"/>
        <w:rPr>
          <w:rStyle w:val="Fontdeparagrafimplicit1"/>
          <w:b/>
        </w:rPr>
      </w:pPr>
      <w:r>
        <w:rPr>
          <w:rStyle w:val="Fontdeparagrafimplicit1"/>
          <w:b/>
        </w:rPr>
        <w:t xml:space="preserve">Prin răspuns la întâmpinare, </w:t>
      </w:r>
      <w:r>
        <w:t xml:space="preserve">reclamantele au solicitat respingerea excepţiei prescripţiei şi a apărărilor de fond invocate prin întâmpinare. </w:t>
      </w:r>
    </w:p>
    <w:p w14:paraId="252C2A0A" w14:textId="77777777" w:rsidR="00363EFE" w:rsidRDefault="00363EFE">
      <w:pPr>
        <w:ind w:left="1065"/>
        <w:contextualSpacing/>
        <w:jc w:val="both"/>
        <w:rPr>
          <w:rStyle w:val="Fontdeparagrafimplicit1"/>
          <w:b/>
        </w:rPr>
      </w:pPr>
    </w:p>
    <w:p w14:paraId="2A558572" w14:textId="77777777" w:rsidR="00363EFE" w:rsidRDefault="00A96EC7">
      <w:pPr>
        <w:numPr>
          <w:ilvl w:val="0"/>
          <w:numId w:val="1"/>
        </w:numPr>
        <w:spacing w:after="160" w:line="259" w:lineRule="auto"/>
        <w:contextualSpacing/>
        <w:jc w:val="both"/>
        <w:rPr>
          <w:rStyle w:val="Fontdeparagrafimplicit1"/>
          <w:b/>
          <w:i/>
          <w:u w:val="single"/>
        </w:rPr>
      </w:pPr>
      <w:r>
        <w:rPr>
          <w:rStyle w:val="Fontdeparagrafimplicit1"/>
          <w:b/>
          <w:i/>
          <w:u w:val="single"/>
        </w:rPr>
        <w:t>Considerentele instanţei</w:t>
      </w:r>
    </w:p>
    <w:p w14:paraId="2DED28A7" w14:textId="77777777" w:rsidR="00363EFE" w:rsidRDefault="00363EFE">
      <w:pPr>
        <w:jc w:val="both"/>
        <w:rPr>
          <w:rStyle w:val="Fontdeparagrafimplicit1"/>
        </w:rPr>
      </w:pPr>
    </w:p>
    <w:p w14:paraId="7E3D5805" w14:textId="77777777" w:rsidR="00363EFE" w:rsidRDefault="00A96EC7">
      <w:pPr>
        <w:numPr>
          <w:ilvl w:val="1"/>
          <w:numId w:val="1"/>
        </w:numPr>
        <w:spacing w:after="160" w:line="259" w:lineRule="auto"/>
        <w:contextualSpacing/>
        <w:jc w:val="both"/>
        <w:rPr>
          <w:rStyle w:val="Fontdeparagrafimplicit1"/>
          <w:i/>
        </w:rPr>
      </w:pPr>
      <w:r>
        <w:rPr>
          <w:rStyle w:val="Fontdeparagrafimplicit1"/>
          <w:i/>
        </w:rPr>
        <w:t>Situaţia de fapt:</w:t>
      </w:r>
    </w:p>
    <w:p w14:paraId="1266B15A" w14:textId="77777777" w:rsidR="00363EFE" w:rsidRDefault="00363EFE">
      <w:pPr>
        <w:jc w:val="both"/>
        <w:rPr>
          <w:rStyle w:val="Fontdeparagrafimplicit1"/>
        </w:rPr>
      </w:pPr>
    </w:p>
    <w:p w14:paraId="08AE9527" w14:textId="32818838" w:rsidR="00363EFE" w:rsidRDefault="00A96EC7">
      <w:pPr>
        <w:ind w:firstLine="705"/>
        <w:jc w:val="both"/>
      </w:pPr>
      <w:r>
        <w:t xml:space="preserve">Prin ordinul </w:t>
      </w:r>
      <w:r w:rsidR="000E0350">
        <w:t>nr. ....</w:t>
      </w:r>
      <w:r>
        <w:t xml:space="preserve">/12.4.2023 (f. 123) Procurorul General a Parchetului de pe lângă Înalta Curte de Casaţie şi Justiţie a dispus ca </w:t>
      </w:r>
      <w:r>
        <w:rPr>
          <w:rStyle w:val="Fontdeparagrafimplicit1"/>
          <w:i/>
        </w:rPr>
        <w:t>începând cu data de 7.12.2018</w:t>
      </w:r>
      <w:r>
        <w:t xml:space="preserve">, procurorii din cadrul PÎCCJ şi celorlalte parchete se salarizează având în vedere valoarea de referinţă sectorială de 605,225 lei, conform anexei la ordin. </w:t>
      </w:r>
    </w:p>
    <w:p w14:paraId="2C9CA946" w14:textId="77777777" w:rsidR="00363EFE" w:rsidRDefault="00363EFE">
      <w:pPr>
        <w:jc w:val="both"/>
      </w:pPr>
    </w:p>
    <w:p w14:paraId="1116AD70" w14:textId="77777777" w:rsidR="00363EFE" w:rsidRDefault="00A96EC7">
      <w:pPr>
        <w:numPr>
          <w:ilvl w:val="1"/>
          <w:numId w:val="1"/>
        </w:numPr>
        <w:spacing w:after="160" w:line="259" w:lineRule="auto"/>
        <w:contextualSpacing/>
        <w:jc w:val="both"/>
        <w:rPr>
          <w:rStyle w:val="Fontdeparagrafimplicit1"/>
          <w:i/>
        </w:rPr>
      </w:pPr>
      <w:r>
        <w:rPr>
          <w:rStyle w:val="Fontdeparagrafimplicit1"/>
          <w:i/>
        </w:rPr>
        <w:t>Analiza în drept:</w:t>
      </w:r>
    </w:p>
    <w:p w14:paraId="2E084E59" w14:textId="77777777" w:rsidR="00363EFE" w:rsidRDefault="00363EFE">
      <w:pPr>
        <w:jc w:val="both"/>
        <w:rPr>
          <w:rStyle w:val="Fontdeparagrafimplicit1"/>
        </w:rPr>
      </w:pPr>
    </w:p>
    <w:p w14:paraId="0FB269B4" w14:textId="77777777" w:rsidR="00363EFE" w:rsidRDefault="00A96EC7">
      <w:pPr>
        <w:ind w:firstLine="705"/>
        <w:jc w:val="both"/>
        <w:rPr>
          <w:rStyle w:val="Fontdeparagrafimplicit1"/>
          <w:i/>
        </w:rPr>
      </w:pPr>
      <w:r>
        <w:rPr>
          <w:rStyle w:val="Fontdeparagrafimplicit1"/>
          <w:i/>
        </w:rPr>
        <w:t>Cu privire la excepţia prescripţiei extinctive:</w:t>
      </w:r>
    </w:p>
    <w:p w14:paraId="4A8DC8CD" w14:textId="77777777" w:rsidR="00363EFE" w:rsidRDefault="00363EFE">
      <w:pPr>
        <w:ind w:firstLine="709"/>
        <w:jc w:val="both"/>
        <w:rPr>
          <w:rStyle w:val="Fontdeparagrafimplicit1"/>
        </w:rPr>
      </w:pPr>
    </w:p>
    <w:p w14:paraId="3C5D32F8" w14:textId="77777777" w:rsidR="00363EFE" w:rsidRDefault="00A96EC7">
      <w:pPr>
        <w:tabs>
          <w:tab w:val="left" w:pos="426"/>
        </w:tabs>
        <w:jc w:val="both"/>
      </w:pPr>
      <w:r>
        <w:tab/>
        <w:t>Excepţia prescripţiei</w:t>
      </w:r>
      <w:r>
        <w:t xml:space="preserve"> extinctive, invocată de pârât, a vizat pretenţiile anterioare cu mai mult de 3 ani faţă de data promovării acţiunii. Obiectul cauzei este anularea unui ordin de salarizare. Aşa fiind, sunt aplicabile dispoziţiile speciale ale art. 7 alin. 1 cap. VIII din anexa V la Legea nr. 153/2017, care sancţionează petentul cu decăderea din dreptul de a mai sesiza instanţa (deci cu tardivitatea acţiunii) în situaţia în care acesta ar fi depus acţiunea cu depăşirea termenului de 30 de zile de la comunicarea răspunsului </w:t>
      </w:r>
      <w:r>
        <w:t>Procurorului General al PÎCCJ la contestaţia administrativă. Acţiunea în instanţă a fost depusă la data de 19.02.2024, iar contestaţia a fost soluţionată la datele de 6 şi 7.02.2024 (neexistând o dovadă a datei la care s-a comunicat răspunsul la contestaţie), aşadar cu respectarea termenului de 30 de zile. De altfel, pârâtul nu a invocat tardivitatea acţiunii, ci prescripţia dreptului la acţiune.</w:t>
      </w:r>
    </w:p>
    <w:p w14:paraId="5E792D68" w14:textId="77777777" w:rsidR="00363EFE" w:rsidRDefault="00A96EC7">
      <w:pPr>
        <w:tabs>
          <w:tab w:val="left" w:pos="426"/>
        </w:tabs>
        <w:jc w:val="both"/>
      </w:pPr>
      <w:r>
        <w:tab/>
        <w:t>În privinţa capătului de cerere privind pretenţiile, Curtea observă că problema este comună cu fondul cauzei, context în care chestiunea prescripţiei ţine de fondul cauzei, prescripţia fiind un element de legalitate, de fond, a ordinului. În concluzie, instanţa va respinge excepţia prescripţiei extinctive, invocată de pârât, ca nefondată.</w:t>
      </w:r>
    </w:p>
    <w:p w14:paraId="69CFDC66" w14:textId="77777777" w:rsidR="00363EFE" w:rsidRDefault="00363EFE">
      <w:pPr>
        <w:tabs>
          <w:tab w:val="left" w:pos="426"/>
        </w:tabs>
        <w:jc w:val="both"/>
      </w:pPr>
    </w:p>
    <w:p w14:paraId="66472B4A" w14:textId="77777777" w:rsidR="00363EFE" w:rsidRDefault="00A96EC7">
      <w:pPr>
        <w:tabs>
          <w:tab w:val="left" w:pos="426"/>
        </w:tabs>
        <w:jc w:val="both"/>
        <w:rPr>
          <w:rStyle w:val="Fontdeparagrafimplicit1"/>
          <w:i/>
        </w:rPr>
      </w:pPr>
      <w:r>
        <w:rPr>
          <w:rStyle w:val="Fontdeparagrafimplicit1"/>
          <w:i/>
        </w:rPr>
        <w:lastRenderedPageBreak/>
        <w:tab/>
        <w:t>Cu privire la fondul cauzei:</w:t>
      </w:r>
    </w:p>
    <w:p w14:paraId="5354A7D9" w14:textId="77777777" w:rsidR="00363EFE" w:rsidRDefault="00363EFE">
      <w:pPr>
        <w:tabs>
          <w:tab w:val="left" w:pos="426"/>
        </w:tabs>
        <w:jc w:val="both"/>
        <w:rPr>
          <w:rStyle w:val="Fontdeparagrafimplicit1"/>
        </w:rPr>
      </w:pPr>
    </w:p>
    <w:p w14:paraId="71B8143C" w14:textId="1F6826C9" w:rsidR="00363EFE" w:rsidRDefault="00A96EC7">
      <w:pPr>
        <w:tabs>
          <w:tab w:val="left" w:pos="426"/>
        </w:tabs>
        <w:jc w:val="both"/>
      </w:pPr>
      <w:r>
        <w:tab/>
        <w:t>Cu titlu prealabil, Curtea observă că reclamantele şi intervenienta au formulat şi pretenţii care excedează obiectului ordinelor de salarizare, cum ar fi plata indemnizaţiei de delegare pentru deplasările de serviciu şi plata diferenţelor băneşti rezultată din compensarea concediului de odihnă neefectuat. Ordinul contestat vizează strict salarizarea prin raportare la VRS 605,225 lei, iar nu stabilirea drepturilor de natură salarială menţionate anterior. Drepturile de natură salarială menţionate sunt rezult</w:t>
      </w:r>
      <w:r>
        <w:t xml:space="preserve">ate din activitatea dnelor procuror în cadrul Parchetului de pe lângă Tribunalul </w:t>
      </w:r>
      <w:r w:rsidR="000E0350">
        <w:t>M</w:t>
      </w:r>
      <w:r>
        <w:t xml:space="preserve">, iar nu în cadrul PÎCCJ, prin urmare nu i se poate imputa pârâtului un refuz nejustificat cu privire la acordarea acestora, mai cu seamă în condiţiile în care din actele dosarului nu rezultă nici faptul că reclamantele s-ar fi adresat pârâtului pentru acordarea acestora, iar acesta, dacă ar fi reţinut competenţa sa de soluţionare, ar fi refuzat în mod nejustificat recunoaşterea acestor drepturi. Prin urmare, aceste pretenţii </w:t>
      </w:r>
      <w:r>
        <w:t>nu sunt întemeiate.</w:t>
      </w:r>
    </w:p>
    <w:p w14:paraId="3DED2AEC" w14:textId="77777777" w:rsidR="00363EFE" w:rsidRDefault="00A96EC7">
      <w:pPr>
        <w:tabs>
          <w:tab w:val="left" w:pos="426"/>
        </w:tabs>
        <w:jc w:val="both"/>
      </w:pPr>
      <w:r>
        <w:tab/>
        <w:t>În privinţa cererii reclamantelor şi intervenientei cu privire la stabilirea indemnizaţiei brute lunare prin raportare la VRS 605,225 lei majorată cu 25% începând cu data de 6.02.2017 şi în continuare, Curtea reţine:</w:t>
      </w:r>
    </w:p>
    <w:p w14:paraId="4E947394" w14:textId="77777777" w:rsidR="00363EFE" w:rsidRDefault="00A96EC7">
      <w:pPr>
        <w:tabs>
          <w:tab w:val="left" w:pos="426"/>
        </w:tabs>
        <w:jc w:val="both"/>
      </w:pPr>
      <w:r>
        <w:tab/>
        <w:t>În primul rând, în privinţa sintagmei „în continuare” din cererea de chemare în judecată, aceasta trebuie înţeleasă ca având ca punct final data eliberării din funcţie a reclamantelor, ca urmare a pensionării:</w:t>
      </w:r>
    </w:p>
    <w:p w14:paraId="3022D86C" w14:textId="712F55BE" w:rsidR="00363EFE" w:rsidRDefault="00A96EC7">
      <w:pPr>
        <w:numPr>
          <w:ilvl w:val="0"/>
          <w:numId w:val="2"/>
        </w:numPr>
        <w:tabs>
          <w:tab w:val="left" w:pos="426"/>
        </w:tabs>
        <w:spacing w:after="160" w:line="259" w:lineRule="auto"/>
        <w:contextualSpacing/>
        <w:jc w:val="both"/>
      </w:pPr>
      <w:r>
        <w:t xml:space="preserve">Dna </w:t>
      </w:r>
      <w:r w:rsidR="00966C25">
        <w:t>SL</w:t>
      </w:r>
      <w:r>
        <w:t xml:space="preserve"> a fost eliberată din funcţie la data de </w:t>
      </w:r>
      <w:r w:rsidR="00966C25">
        <w:t>..</w:t>
      </w:r>
      <w:r>
        <w:t>.12.2022 (f. 62);</w:t>
      </w:r>
    </w:p>
    <w:p w14:paraId="43D5710A" w14:textId="1C2087B1" w:rsidR="00363EFE" w:rsidRDefault="00A96EC7">
      <w:pPr>
        <w:numPr>
          <w:ilvl w:val="0"/>
          <w:numId w:val="2"/>
        </w:numPr>
        <w:tabs>
          <w:tab w:val="left" w:pos="426"/>
        </w:tabs>
        <w:spacing w:after="160" w:line="259" w:lineRule="auto"/>
        <w:contextualSpacing/>
        <w:jc w:val="both"/>
      </w:pPr>
      <w:r>
        <w:t xml:space="preserve">Dna </w:t>
      </w:r>
      <w:r w:rsidR="00966C25">
        <w:t>SME</w:t>
      </w:r>
      <w:r>
        <w:t xml:space="preserve"> a fost eliberată din funcţie la data de </w:t>
      </w:r>
      <w:r w:rsidR="00966C25">
        <w:t>..</w:t>
      </w:r>
      <w:r>
        <w:t>.01.2022 (f. 63);</w:t>
      </w:r>
    </w:p>
    <w:p w14:paraId="6E5E633F" w14:textId="6651D2D8" w:rsidR="00363EFE" w:rsidRDefault="00A96EC7">
      <w:pPr>
        <w:numPr>
          <w:ilvl w:val="0"/>
          <w:numId w:val="2"/>
        </w:numPr>
        <w:tabs>
          <w:tab w:val="left" w:pos="426"/>
        </w:tabs>
        <w:spacing w:after="160" w:line="259" w:lineRule="auto"/>
        <w:contextualSpacing/>
        <w:jc w:val="both"/>
      </w:pPr>
      <w:r>
        <w:t xml:space="preserve">Dna </w:t>
      </w:r>
      <w:r w:rsidR="00966C25">
        <w:t>HCC</w:t>
      </w:r>
      <w:r>
        <w:t xml:space="preserve"> a fost eliberată din funcţie la data de </w:t>
      </w:r>
      <w:r w:rsidR="00966C25">
        <w:t>..</w:t>
      </w:r>
      <w:r>
        <w:t>.12.2022 (f. 64);</w:t>
      </w:r>
    </w:p>
    <w:p w14:paraId="36126731" w14:textId="1A571088" w:rsidR="00363EFE" w:rsidRDefault="00A96EC7">
      <w:pPr>
        <w:numPr>
          <w:ilvl w:val="0"/>
          <w:numId w:val="2"/>
        </w:numPr>
        <w:tabs>
          <w:tab w:val="left" w:pos="426"/>
        </w:tabs>
        <w:spacing w:after="160" w:line="259" w:lineRule="auto"/>
        <w:contextualSpacing/>
        <w:jc w:val="both"/>
      </w:pPr>
      <w:r>
        <w:t xml:space="preserve">Dna </w:t>
      </w:r>
      <w:r w:rsidR="00966C25">
        <w:t>DAE</w:t>
      </w:r>
      <w:r>
        <w:t xml:space="preserve"> a fost eliberată din funcţie la data de </w:t>
      </w:r>
      <w:r w:rsidR="00966C25">
        <w:t>..</w:t>
      </w:r>
      <w:r>
        <w:t>.12.2021 (f. 82);</w:t>
      </w:r>
    </w:p>
    <w:p w14:paraId="47A8AA78" w14:textId="14261C55" w:rsidR="00966C25" w:rsidRDefault="00A96EC7">
      <w:pPr>
        <w:numPr>
          <w:ilvl w:val="0"/>
          <w:numId w:val="2"/>
        </w:numPr>
        <w:tabs>
          <w:tab w:val="left" w:pos="426"/>
        </w:tabs>
        <w:spacing w:after="160" w:line="259" w:lineRule="auto"/>
        <w:contextualSpacing/>
        <w:jc w:val="both"/>
      </w:pPr>
      <w:r>
        <w:t xml:space="preserve">Dna </w:t>
      </w:r>
      <w:r w:rsidR="000E0350">
        <w:t>DCA</w:t>
      </w:r>
      <w:r>
        <w:t xml:space="preserve"> a fost eliberată din funcţie la data de ....03.2023</w:t>
      </w:r>
    </w:p>
    <w:p w14:paraId="7B0D8DA7" w14:textId="12043D19" w:rsidR="00363EFE" w:rsidRDefault="00A96EC7">
      <w:pPr>
        <w:numPr>
          <w:ilvl w:val="0"/>
          <w:numId w:val="2"/>
        </w:numPr>
        <w:tabs>
          <w:tab w:val="left" w:pos="426"/>
        </w:tabs>
        <w:spacing w:after="160" w:line="259" w:lineRule="auto"/>
        <w:contextualSpacing/>
        <w:jc w:val="both"/>
      </w:pPr>
      <w:r>
        <w:rPr>
          <w:rStyle w:val="Fontdeparagrafimplicit1"/>
          <w:rFonts w:ascii="Calibri" w:hAnsi="Calibri"/>
          <w:sz w:val="22"/>
        </w:rPr>
        <w:t xml:space="preserve"> </w:t>
      </w:r>
      <w:r w:rsidR="00966C25">
        <w:rPr>
          <w:rStyle w:val="Fontdeparagrafimplicit1"/>
          <w:rFonts w:ascii="Calibri" w:hAnsi="Calibri"/>
          <w:sz w:val="22"/>
        </w:rPr>
        <w:t>......</w:t>
      </w:r>
    </w:p>
    <w:p w14:paraId="52002B1D" w14:textId="77777777" w:rsidR="00363EFE" w:rsidRDefault="00A96EC7">
      <w:pPr>
        <w:tabs>
          <w:tab w:val="left" w:pos="426"/>
        </w:tabs>
        <w:jc w:val="both"/>
      </w:pPr>
      <w:r>
        <w:tab/>
        <w:t xml:space="preserve">Întrucât ordinul contestat, deşi emis după pensionarea reclamantelor, vizează inclusiv o perioadă anterioară acestui moment, anume începând cu data de 7.12.2018, rezultă că acesta le vizează şi pe reclamante, până la momentul pensionării. </w:t>
      </w:r>
    </w:p>
    <w:p w14:paraId="6B82E3A8" w14:textId="77777777" w:rsidR="00363EFE" w:rsidRDefault="00A96EC7">
      <w:pPr>
        <w:tabs>
          <w:tab w:val="left" w:pos="426"/>
        </w:tabs>
        <w:jc w:val="both"/>
      </w:pPr>
      <w:r>
        <w:tab/>
        <w:t>În al doilea rând, trebuie observat că ordinul contestat nu are ca obiect punerea în executare a unor sentinţe- titluri executorii privind drepturile salariale ale reclamantelor, ci stabileşte pe cale administrativă drepturi salariale prin raportare la VRS. Acestui ordin nu i se poate reproşa o nelegalitate prin prisma faptului că VRS nu a fost stabilit conform titlurilor executorii deţinute de reclamante din moment ce din preambulul ordinului nu rezultă că motivul pentru care a fost emis era acela în exec</w:t>
      </w:r>
      <w:r>
        <w:t>utarea unor hotărâri judecătoreşti privind pe reclamante. Aşadar, ordinul contestat nu urmăreşte şi nu are ca obiect punerea în executare a unor titluri executorii, emitentul ordinului nefiind sesizat de reclamanţi în acest scop, ordinul contestat urmăreşte stabilirea pe cale administrativă a drepturilor salariale prin raportare la VRS 605,225 lei cu respectarea termenului de prescripţie extinctivă. Or, trebuie distins între această situaţie, de stabilire a drepturilor salariale pe cale administrativă, ordi</w:t>
      </w:r>
      <w:r>
        <w:t xml:space="preserve">nul contestat fiind legal, şi situaţia în care reclamanţii sunt beneficiari ai unor titluri executorii care recunosc acelaşi drept la drepturilor salariale prin raportare la VRS 605,225 lei neplafonat, dar începând cu perioade mult anterioare datei de 7.12.2018, perioade menţionate în titlurile executorii. </w:t>
      </w:r>
    </w:p>
    <w:p w14:paraId="176481FF" w14:textId="77777777" w:rsidR="00363EFE" w:rsidRDefault="00A96EC7">
      <w:pPr>
        <w:ind w:firstLine="720"/>
        <w:jc w:val="both"/>
      </w:pPr>
      <w:r>
        <w:t xml:space="preserve">Referitor la problema </w:t>
      </w:r>
      <w:r>
        <w:rPr>
          <w:rStyle w:val="Fontdeparagrafimplicit1"/>
          <w:i/>
        </w:rPr>
        <w:t>legalităţii ordinului contestat</w:t>
      </w:r>
      <w:r>
        <w:t xml:space="preserve">, Curtea reţine caracterul neîntemeiat al criticilor reclamanţilor întrucât pe cale administrativă nu se pot stabili drepturi salariale cu încălcarea termenului de prescripţie extinctivă. </w:t>
      </w:r>
    </w:p>
    <w:p w14:paraId="05DBBEB9" w14:textId="77777777" w:rsidR="00363EFE" w:rsidRDefault="00A96EC7">
      <w:pPr>
        <w:ind w:firstLine="720"/>
        <w:jc w:val="both"/>
      </w:pPr>
      <w:r>
        <w:t xml:space="preserve">În primul rând, este de observat că prin ordinul contestat VRS 605,225 lei a fost stabilit fără a fi afectat de aplicarea art. 38 alin. 6 din Legea nr. 153/2017 (neplafonat), aspect rezultat din preambulul ordinului contestat. </w:t>
      </w:r>
    </w:p>
    <w:p w14:paraId="5A3083B1" w14:textId="77777777" w:rsidR="00363EFE" w:rsidRDefault="00A96EC7">
      <w:pPr>
        <w:ind w:firstLine="720"/>
        <w:jc w:val="both"/>
      </w:pPr>
      <w:r>
        <w:lastRenderedPageBreak/>
        <w:t>Referitor la prescripţie, sunt aplicabile prevederile art. 171 Codul muncii referitor la termenul de prescripţie de 3 ani în materia drepturilor salariale. În privinţa regimului juridic al prescripţiei extinctive, sunt aplicabile dispoziţiile Codului civil.</w:t>
      </w:r>
    </w:p>
    <w:p w14:paraId="1238F7E4" w14:textId="77777777" w:rsidR="00363EFE" w:rsidRDefault="00A96EC7">
      <w:pPr>
        <w:ind w:firstLine="720"/>
        <w:jc w:val="both"/>
      </w:pPr>
      <w:r>
        <w:t xml:space="preserve">Astfel, pornind de la dispoziţiile art. 2500 alin. (1) Noul Cod Civil, prescripţia extinctivă poate fi definită ca fiind </w:t>
      </w:r>
      <w:bookmarkStart w:id="0" w:name="_Hlk87445705"/>
      <w:r>
        <w:t>acea sancţiune care constă în stingerea, în condiţiile stabilite de lege, a dreptului material la acţiune neexercitat în termen</w:t>
      </w:r>
      <w:bookmarkEnd w:id="0"/>
      <w:r>
        <w:t>. Aceasta face ca titularul unui drept subiectiv, sau creditorul care a rămas inactiv un anumit răstimp, să-şi piardă ocrotirea dreptului respectiv pe calea acţiunii în justiţie, şi odată cu aceasta, posibilitatea de a obţine executarea silită a obligaţiei corelative lui.</w:t>
      </w:r>
    </w:p>
    <w:p w14:paraId="2E8AB075" w14:textId="77777777" w:rsidR="00363EFE" w:rsidRDefault="00A96EC7">
      <w:pPr>
        <w:ind w:firstLine="720"/>
        <w:jc w:val="both"/>
      </w:pPr>
      <w:r>
        <w:t xml:space="preserve">Faptul că prescripţia extinctivă nu mai este reglementată ca o instituţie juridică de ordine publică în lumina noului Cod civil, noile dispoziţii legale conferindu-i caracter de ordine privată, </w:t>
      </w:r>
      <w:r>
        <w:rPr>
          <w:rStyle w:val="Fontdeparagrafimplicit1"/>
          <w:i/>
        </w:rPr>
        <w:t>nu atrage consecinţele imposibilităţii invocării prescripţiei de către emitentul actelor atacate</w:t>
      </w:r>
      <w:r>
        <w:t xml:space="preserve">. Dimpotrivă, prescripţia poate fi opusă numai de cel în folosul căruia curge (art. 2512 alin. 1 C.civ.) ceea de altfel a şi făcut autoritatea emitentă pârâtă prin intermediul actului de salarizare contestat. Curtea constată că nu există o îngrădire legală sau de altă natură, prin care persoana împotriva căreia curge prescripţia </w:t>
      </w:r>
      <w:r>
        <w:rPr>
          <w:rStyle w:val="Fontdeparagrafimplicit1"/>
          <w:i/>
        </w:rPr>
        <w:t>să fie obligată să recunoască existenţa unei creanţe în alte limite decât cele apreci</w:t>
      </w:r>
      <w:r>
        <w:rPr>
          <w:rStyle w:val="Fontdeparagrafimplicit1"/>
          <w:i/>
        </w:rPr>
        <w:t>ate de aceasta.</w:t>
      </w:r>
      <w:r>
        <w:t xml:space="preserve"> Or, una din aceste limite în care o persoană poate face recunoaşterea unei creanţe poate fi stabilită prin raportare la termenul de prescripţie instituit de lege, aşa cum s-a procedat şi în ceea ce priveşte ordinul nr. 3165/2023. </w:t>
      </w:r>
    </w:p>
    <w:p w14:paraId="19A04F0C" w14:textId="77777777" w:rsidR="00363EFE" w:rsidRDefault="00A96EC7">
      <w:pPr>
        <w:ind w:firstLine="720"/>
        <w:jc w:val="both"/>
      </w:pPr>
      <w:r>
        <w:t>În ceea ce priveşte aplicarea art. 38 alin. 3 lit. a) din Legea nr. 153/2017, Curtea reţine următoarele:</w:t>
      </w:r>
    </w:p>
    <w:p w14:paraId="36055155" w14:textId="77777777" w:rsidR="00363EFE" w:rsidRDefault="00A96EC7">
      <w:pPr>
        <w:ind w:firstLine="709"/>
        <w:jc w:val="both"/>
      </w:pPr>
      <w:r>
        <w:t xml:space="preserve">Potrivit </w:t>
      </w:r>
      <w:r>
        <w:rPr>
          <w:rStyle w:val="Fontdeparagrafimplicit1"/>
          <w:b/>
        </w:rPr>
        <w:t>deciziei ÎCCJ - Completul pentru dezlegarea unor chestiuni de drept nr. 43/2024</w:t>
      </w:r>
      <w:r>
        <w:t xml:space="preserve"> s-a stabilit că în interpretarea și aplicarea dispozițiilor art. 38 alin. (3) din Legea-cadru nr. 153/2017 privind salarizarea personalului plătit din fonduri publice, cu modificările şi completările ulterioare, cuantumul brut al salariilor de bază, respectiv al indemnizațiilor de încadrare din cadrul familiei ocupaționale de funcții bugetare „Justiție”, stabilite prin raportare la valoarea de referință sectorială de 605,225 lei</w:t>
      </w:r>
      <w:r>
        <w:t>, se majorează, începând cu data de 1 ianuarie 2018, cu 25% faţă de nivelul acordat pentru luna decembrie 2017, în măsura în care personalul respectiv îşi desfăşoară activitatea în aceleaşi condiţii, iar angajatorii nu au acordat deja această majorare.</w:t>
      </w:r>
    </w:p>
    <w:p w14:paraId="050DF8C8" w14:textId="77777777" w:rsidR="00363EFE" w:rsidRDefault="00A96EC7">
      <w:pPr>
        <w:ind w:firstLine="720"/>
        <w:jc w:val="both"/>
      </w:pPr>
      <w:r>
        <w:t>Rezultă din nota PICCJ din 11.4.2023 (f. 124v şi urm) care a stat la baza emiterii ordinului contestat că „majorarea salarială reglementată prin art. 38 alin. 3 lit. a) din Legea-cadru nr. 153/2017 trebuie avută în vedere la stabilirea drepturilor salariale întrucât scopul acestui demers care concordă cu scopul legii de salarizare unitară, este acela de a recunoaşte drepturile salariale ale categoriilor de personal vizate, astfel cum acestea existau în patrimoniul lor în luna iunie 2017” şi că „faţă de argu</w:t>
      </w:r>
      <w:r>
        <w:t>mentele enunţate, s-a apreciat că la stabilirea drepturilor salariale ale personalului din sistemul de justiţie trebuie să primească eficienţă şi dispoziţiile art. 38 alin. 3 lit. a) din Legea nr. 153/2017 care impun acordarea majorării de 25% începând cu data de 1.01.2018 pentru a compensa sumele aferente contribuţiilor de asigurări sociale sau, după caz, contribuţiilor individuale la bugetul de stat, trecute începând cu aceeaşi dată, din sarcina angajatorului în sarcina angajatului”.</w:t>
      </w:r>
    </w:p>
    <w:p w14:paraId="040DCE67" w14:textId="77777777" w:rsidR="00363EFE" w:rsidRDefault="00A96EC7">
      <w:pPr>
        <w:ind w:firstLine="720"/>
        <w:jc w:val="both"/>
      </w:pPr>
      <w:r>
        <w:t xml:space="preserve"> În concluzie, rezultă din cele prezentate că ordinul contestat a prevăzut drepturile salariale inclusiv prin raportare la art. 38 alin. 3 lit. a) din Legea-cadru nr. 153/2017, respectiv conţinând majorarea de 25% prevăzută de respectivele dispoziţii legale.  </w:t>
      </w:r>
    </w:p>
    <w:p w14:paraId="20B3EC4F" w14:textId="77777777" w:rsidR="00363EFE" w:rsidRDefault="00A96EC7">
      <w:pPr>
        <w:ind w:firstLine="720"/>
        <w:jc w:val="both"/>
      </w:pPr>
      <w:r>
        <w:t>În privinţa practicii judiciare depuse de reclamante, aceasta vizează decizii de speţă, în alte cauze, fără caracter obligatoriu pentru prezenta instanţă şi anterioare deciziei ÎCCJ nr. 43/2024 - respectiv sentinţa nr. 240/2023 pronunţată în dosarul nr. 686/42/2023; sentinţa în dosarul nr. 5621/2/2023. În ceea ce priveşte celelalte sentinţe, Curtea reţine:</w:t>
      </w:r>
    </w:p>
    <w:p w14:paraId="317D5097" w14:textId="0B28B400" w:rsidR="00363EFE" w:rsidRDefault="00A96EC7">
      <w:pPr>
        <w:ind w:firstLine="720"/>
        <w:jc w:val="both"/>
      </w:pPr>
      <w:r>
        <w:t xml:space="preserve">Decizia nr. </w:t>
      </w:r>
      <w:r w:rsidR="00966C25">
        <w:t>...</w:t>
      </w:r>
      <w:r>
        <w:t xml:space="preserve">/2022 pronunţată în dosarul nr. </w:t>
      </w:r>
      <w:r w:rsidR="000E0350">
        <w:t>...</w:t>
      </w:r>
      <w:r>
        <w:t xml:space="preserve">al CA </w:t>
      </w:r>
      <w:r w:rsidR="000E0350">
        <w:t>T</w:t>
      </w:r>
      <w:r>
        <w:t xml:space="preserve"> (f. 44 şi urm) o are ca beneficiară pe dna </w:t>
      </w:r>
      <w:r w:rsidR="000E0350">
        <w:t>HCC</w:t>
      </w:r>
      <w:r>
        <w:t xml:space="preserve">, însă priveşte alte drepturi decât cele obiect al ordinului de faţă, </w:t>
      </w:r>
      <w:r>
        <w:lastRenderedPageBreak/>
        <w:t>respectiv stabilirea drepturilor salariale prin raportare la coeficienţii de multiplicare prev. la lit. A pct. 6-13 din Anexa la OUG nr. 27/2006 (coeficientul DNA DIICOT).</w:t>
      </w:r>
    </w:p>
    <w:p w14:paraId="2F898C0B" w14:textId="6F748666" w:rsidR="00363EFE" w:rsidRDefault="00A96EC7">
      <w:pPr>
        <w:ind w:firstLine="720"/>
        <w:jc w:val="both"/>
      </w:pPr>
      <w:r>
        <w:t xml:space="preserve">Intervenienta </w:t>
      </w:r>
      <w:r w:rsidR="000E0350">
        <w:t>DAE</w:t>
      </w:r>
      <w:r>
        <w:t xml:space="preserve"> este deţinătoarea unui titlu executoriu cu privire la coeficientul de multiplicare DNA-DIICOT – sentinţa nr. </w:t>
      </w:r>
      <w:r w:rsidR="00966C25">
        <w:t>....</w:t>
      </w:r>
      <w:r>
        <w:t xml:space="preserve">/2023 pronunţată de Tribunalul </w:t>
      </w:r>
      <w:r w:rsidR="00966C25">
        <w:t>A</w:t>
      </w:r>
      <w:r>
        <w:t xml:space="preserve"> în dosarul nr. </w:t>
      </w:r>
      <w:r w:rsidR="00966C25">
        <w:t>....</w:t>
      </w:r>
      <w:r>
        <w:t xml:space="preserve">/2023 (f. 83), drepturi salariale care nu fac obiectul ordinului contestat. </w:t>
      </w:r>
    </w:p>
    <w:p w14:paraId="4ACE5E02" w14:textId="77777777" w:rsidR="00363EFE" w:rsidRDefault="00A96EC7">
      <w:pPr>
        <w:ind w:firstLine="720"/>
        <w:jc w:val="both"/>
      </w:pPr>
      <w:r>
        <w:t>Aşadar, cum ordinul contestat nu are ca obiect stabilirea drepturilor salariale şi prin raportare la coeficientul DNA DIICOT, acesta nu poate fi criticat pentru nelegalitate.</w:t>
      </w:r>
    </w:p>
    <w:p w14:paraId="69F94EA9" w14:textId="562A3823" w:rsidR="00363EFE" w:rsidRDefault="00A96EC7">
      <w:pPr>
        <w:ind w:firstLine="720"/>
        <w:jc w:val="both"/>
      </w:pPr>
      <w:r>
        <w:t xml:space="preserve">În concluzie, cererea în anularea ordinului </w:t>
      </w:r>
      <w:r w:rsidR="000E0350">
        <w:t>nr. ....</w:t>
      </w:r>
      <w:r>
        <w:t xml:space="preserve">/2023 va fi respinsă ca nefondată. </w:t>
      </w:r>
    </w:p>
    <w:p w14:paraId="1C4BA4BB" w14:textId="77777777" w:rsidR="00363EFE" w:rsidRDefault="00363EFE">
      <w:pPr>
        <w:ind w:firstLine="720"/>
        <w:jc w:val="both"/>
      </w:pPr>
    </w:p>
    <w:p w14:paraId="1CFB4CAA" w14:textId="77777777" w:rsidR="00363EFE" w:rsidRDefault="00A96EC7">
      <w:pPr>
        <w:ind w:firstLine="720"/>
        <w:jc w:val="both"/>
      </w:pPr>
      <w:r>
        <w:t xml:space="preserve">Referitor la </w:t>
      </w:r>
      <w:r>
        <w:rPr>
          <w:rStyle w:val="Fontdeparagrafimplicit1"/>
          <w:i/>
        </w:rPr>
        <w:t xml:space="preserve">problema </w:t>
      </w:r>
      <w:r>
        <w:rPr>
          <w:rStyle w:val="Fontdeparagrafimplicit1"/>
          <w:i/>
        </w:rPr>
        <w:t>recunoaşterii VRS 605,225 lei pentru perioada anterioară datei de 7.12.2018</w:t>
      </w:r>
      <w:r>
        <w:t xml:space="preserve"> , Curtea va verifica dacă reclamantele sunt titulare ale unor hotărâri judecătoreşti – titluri executorii prin care să li se fi stabilit acest drept.</w:t>
      </w:r>
    </w:p>
    <w:p w14:paraId="6FB8C81B" w14:textId="56350D86" w:rsidR="00363EFE" w:rsidRDefault="00A96EC7">
      <w:pPr>
        <w:ind w:firstLine="720"/>
        <w:jc w:val="both"/>
      </w:pPr>
      <w:r>
        <w:t xml:space="preserve">În ce priveşte decizia nr. </w:t>
      </w:r>
      <w:r w:rsidR="00966C25">
        <w:t>....</w:t>
      </w:r>
      <w:r>
        <w:t xml:space="preserve">.2022 pronunţată de CA </w:t>
      </w:r>
      <w:r w:rsidR="000E0350">
        <w:t>T</w:t>
      </w:r>
      <w:r>
        <w:t xml:space="preserve"> în dosarul nr. </w:t>
      </w:r>
      <w:r w:rsidR="000E0350">
        <w:t>....</w:t>
      </w:r>
      <w:r>
        <w:t xml:space="preserve">, aceasta le vizează pe reclamante constituind titlu executoriu în contradictoriu cu PT </w:t>
      </w:r>
      <w:r w:rsidR="000E0350">
        <w:t>M</w:t>
      </w:r>
      <w:r>
        <w:t xml:space="preserve"> care a fost obligat la plata către reclamante a diferenţelor salariale dintre cele efectiv încasate şi cele rezultate în urma recalculării prin luarea în considerare la stabilirea drepturilor cuvenite a unei VRS de 605,225 lei (respectiv VRS de 484,18 lei la care se va adăuga majorarea de 25% prev. de art. III din OUG nr. 20/2016) începând cu </w:t>
      </w:r>
      <w:r>
        <w:rPr>
          <w:rStyle w:val="Fontdeparagrafimplicit1"/>
          <w:i/>
        </w:rPr>
        <w:t>6.2.2017</w:t>
      </w:r>
      <w:r>
        <w:t xml:space="preserve">. Aceste drepturi au </w:t>
      </w:r>
      <w:r>
        <w:t xml:space="preserve">fost actualizate cu rata inflaţiei şi s-a dispus obligarea pârâtului la dobânda legală penalizatoare (prin titlul executoriu). </w:t>
      </w:r>
    </w:p>
    <w:p w14:paraId="1EE1B669" w14:textId="77777777" w:rsidR="00363EFE" w:rsidRDefault="00A96EC7">
      <w:pPr>
        <w:ind w:firstLine="720"/>
        <w:jc w:val="both"/>
      </w:pPr>
      <w:r>
        <w:t>De subliniat că majorarea la care se referă titlul executoriu menţionat este aceea prevăzută de art. III din OUG nr. 20/2016, iar nu de art. 38 alin. 3 lit. a) din Legea nr. 153/2017 (de altfel, la data de început a recunoaşterii drepturilor, anume 6.2.2017 Legea nr. 153/2017 nu era încă în vigoare), astfel că respectiva sentinţă nu reprezintă temei pentru acordarea majorării prevăzute de art. 38 alin. 3 lit. a) din Legea nr. 153/2017 aşa cum susţin reclamantele.</w:t>
      </w:r>
    </w:p>
    <w:p w14:paraId="541FA4B3" w14:textId="2FF2A6D7" w:rsidR="00363EFE" w:rsidRDefault="00A96EC7">
      <w:pPr>
        <w:ind w:firstLine="720"/>
        <w:jc w:val="both"/>
      </w:pPr>
      <w:r>
        <w:t xml:space="preserve">Prin urmare, reclamantele şi intervenienta sunt îndreptăţite, având în vedere decizia nr. </w:t>
      </w:r>
      <w:r w:rsidR="00966C25">
        <w:t>...</w:t>
      </w:r>
      <w:r>
        <w:t>2022 şi la emiterea unor noi ordine de salarizare prin care să li se recunoască începând cu data de 6.2.2017 şi până la data de 6.12.2018 inclusiv dreptul la VRS 605,225 lei cu înlăturarea aplicării prevederilor art. 38 alin. (6) din Legea nr. 153/2017 (având în vedere că începând cu data de 7.12.2018 dreptul a fost deja recunoscut prin ordinul atacat).</w:t>
      </w:r>
    </w:p>
    <w:p w14:paraId="5CFE369A" w14:textId="77777777" w:rsidR="00363EFE" w:rsidRDefault="00A96EC7">
      <w:pPr>
        <w:ind w:firstLine="720"/>
        <w:jc w:val="both"/>
      </w:pPr>
      <w:r>
        <w:t xml:space="preserve">În privinţa problemei </w:t>
      </w:r>
      <w:r>
        <w:rPr>
          <w:rStyle w:val="Fontdeparagrafimplicit1"/>
          <w:i/>
          <w:u w:val="single"/>
        </w:rPr>
        <w:t>emiterii unor noi ordine de salarizare prin raportare la coeficientul DNA DIICOT</w:t>
      </w:r>
      <w:r>
        <w:t xml:space="preserve">, Curtea reţine: </w:t>
      </w:r>
    </w:p>
    <w:p w14:paraId="1F81880A" w14:textId="77777777" w:rsidR="00363EFE" w:rsidRDefault="00A96EC7">
      <w:pPr>
        <w:ind w:firstLine="720"/>
        <w:jc w:val="both"/>
      </w:pPr>
      <w:r>
        <w:t>Având în vedere situaţia dedusă judecăţii, la soluţionarea fondului prezentei cauze, Curtea are obligaţia să aplice Decizia ÎCCJ – Complet RIL nr. 3/11.03.2024 prin care s-a stabilit că: „În interpretarea şi aplicarea unitară a prevederilor art. 38 alin. (6) din Legea-cadru nr. 153/2017 privind salarizarea personalului plătit din fonduri publice, cu modificările şi completările ulterioare, şi a prevederilor art. 82 alin. (1) din Legea nr. 303/2004 privind statutul judecătorilor şi procurorilor, republicată,</w:t>
      </w:r>
      <w:r>
        <w:t xml:space="preserve"> cu modificările şi completările ulterioare, stabileşte că: Drepturile acordate prin hotărâri judecătoreşti definitive reprezentând diferenţe rezultate din utilizarea coeficienţilor de multiplicare prevăzuţi la lit. A nr. crt. 6-13 din anexa la Ordonanţa de urgenţă a Guvernului nr. 27/2006 privind salarizarea şi alte drepturi ale judecătorilor, procurorilor şi altor categorii de personal din sistemul justiţiei, aprobată cu modificări şi completări prin Legea nr. 45/2007, cu modificările şi completările ulte</w:t>
      </w:r>
      <w:r>
        <w:t>rioare, pentru procurorii din cadrul Direcţiei Naţionale Anticorupţie şi Direcţiei de Investigare a Infracţiunilor de Criminalitate Organizată şi Terorism, au natura juridică a unor despăgubiri şi, prin urmare, nu sunt incluse în cuantumul indemnizaţiilor de încadrare ale magistraţilor şi nu pot fi avute în vedere pentru stabilirea bazei de calcul al pensiei de serviciu.</w:t>
      </w:r>
    </w:p>
    <w:p w14:paraId="474CB628" w14:textId="77777777" w:rsidR="00363EFE" w:rsidRDefault="00A96EC7">
      <w:pPr>
        <w:ind w:firstLine="720"/>
        <w:jc w:val="both"/>
      </w:pPr>
      <w:r>
        <w:t>Cuantumul acestor despăgubiri este supus plafonului prevăzut de art. 38 alin. (6) din Legea-cadru nr. 153/2017, dacă depăşirea acestuia este determinată de utilizarea coeficienţilor de multiplicare menţionaţi.”</w:t>
      </w:r>
    </w:p>
    <w:p w14:paraId="64F50428" w14:textId="77777777" w:rsidR="00363EFE" w:rsidRDefault="00A96EC7">
      <w:pPr>
        <w:ind w:firstLine="720"/>
        <w:jc w:val="both"/>
      </w:pPr>
      <w:r>
        <w:lastRenderedPageBreak/>
        <w:t xml:space="preserve">Rezultă din pct. 76 al deciziei menţionate se arată că natura juridică a diferenţelor de drepturi băneşti rezultate din utilizarea coeficienţilor de multiplicare prevăzuţi pentru procurorii din cadrul Direcţiei Naţionale Anticorupţie şi Direcţiei de Investigare a Infracţiunilor de Criminalitate Organizată şi Terorism, acordate prin hotărâri judecătoreşti definitive, pronunţate în litigii de dreptul muncii, </w:t>
      </w:r>
      <w:r>
        <w:rPr>
          <w:rStyle w:val="Fontdeparagrafimplicit1"/>
          <w:i/>
        </w:rPr>
        <w:t>este aceea de despăgubiri, iar nu aceea de drepturi salariale</w:t>
      </w:r>
      <w:r>
        <w:t>. Pe cale de consecinţă, aceste despăgubiri echivalente cu diferenţele dintre drepturile încasate şi drepturile calculate în funcţie de coeficienţii de multiplicare corespunzători procurorilor din cadrul Direcţiei Naţionale Anticorupţie şi Direcţiei de Investigare a Infracţiunilor de Criminalitate Organizată şi Terorism, acordate prin hotărâri judecătoreşti definitive, nu au schimbat indemnizaţia de încadrare a celor care au beneficiat de aceşti c</w:t>
      </w:r>
      <w:r>
        <w:t>oeficienţi.</w:t>
      </w:r>
    </w:p>
    <w:p w14:paraId="26AD5464" w14:textId="77777777" w:rsidR="00363EFE" w:rsidRDefault="00A96EC7">
      <w:pPr>
        <w:ind w:firstLine="720"/>
        <w:jc w:val="both"/>
      </w:pPr>
      <w:r>
        <w:t xml:space="preserve">Având în vedere cele statuate prin Decizia ÎCCJ – Complet RIL nr. 3/11.03.2024, Curtea nu poate să oblige pârâtul la emiterea unui nou </w:t>
      </w:r>
      <w:r>
        <w:rPr>
          <w:rStyle w:val="Fontdeparagrafimplicit1"/>
          <w:i/>
        </w:rPr>
        <w:t>ordin de salarizare</w:t>
      </w:r>
      <w:r>
        <w:t xml:space="preserve"> în favoarea reclamantelor prin care indemnizaţia brută să fie stabilită raportat la coeficientul de multiplicare DNA DIICOT, întrucât ordinul ar trebui să vizeze drepturi salariale, iar nu despăgubiri. Aceasta înseamnă că plata sumelor respective se va face în baza titlurilor executorii deţinute de reclamante, fără emiterea unui nou ordin de salarizare. </w:t>
      </w:r>
    </w:p>
    <w:p w14:paraId="628B3C58" w14:textId="77777777" w:rsidR="00363EFE" w:rsidRDefault="00A96EC7">
      <w:pPr>
        <w:ind w:firstLine="720"/>
        <w:jc w:val="both"/>
      </w:pPr>
      <w:r>
        <w:rPr>
          <w:rStyle w:val="Fontdeparagrafimplicit1"/>
          <w:u w:val="single"/>
        </w:rPr>
        <w:t>Referitor la capătul de cerere privind stabilirea și acordarea sporurilor în procent de 45%,</w:t>
      </w:r>
      <w:r>
        <w:t xml:space="preserve"> Curtea va respinge ca neîntemeiat acest capăt de cerere întrucât:</w:t>
      </w:r>
    </w:p>
    <w:p w14:paraId="1296E8C5" w14:textId="77777777" w:rsidR="00363EFE" w:rsidRDefault="00A96EC7">
      <w:pPr>
        <w:ind w:firstLine="720"/>
        <w:jc w:val="both"/>
      </w:pPr>
      <w:r>
        <w:t>La data de 1 iulie 2017 a intrat în vigoare Legea-cadru nr. 153 din 28 iunie 2017 privind salarizarea personalului plătit din fonduri publice.</w:t>
      </w:r>
    </w:p>
    <w:p w14:paraId="426C7727" w14:textId="77777777" w:rsidR="00363EFE" w:rsidRDefault="00A96EC7">
      <w:pPr>
        <w:ind w:firstLine="720"/>
        <w:jc w:val="both"/>
      </w:pPr>
      <w:r>
        <w:t xml:space="preserve">Potrivit art. 1 din această lege, "(I) Prezenta lege are ca obiect de reglementare stabilirea unui sistem de salarizare pentru personalul din </w:t>
      </w:r>
      <w:r>
        <w:rPr>
          <w:rStyle w:val="Fontdeparagrafimplicit1"/>
          <w:i/>
        </w:rPr>
        <w:t xml:space="preserve">sectorul bugetar </w:t>
      </w:r>
      <w:r>
        <w:t xml:space="preserve">plătit din bugetul general consolidat al statului. (...) (3) începând cu data intrării în vigoare a prezentei legi, drepturile salariate ale personalului prevăzut la alin. (1) </w:t>
      </w:r>
      <w:r>
        <w:rPr>
          <w:rStyle w:val="Fontdeparagrafimplicit1"/>
          <w:i/>
        </w:rPr>
        <w:t>sunt şi rămân, în mod exclusiv, cele prevăzute în prezenta lege</w:t>
      </w:r>
      <w:r>
        <w:t>."</w:t>
      </w:r>
    </w:p>
    <w:p w14:paraId="5623E5BD" w14:textId="77777777" w:rsidR="00363EFE" w:rsidRDefault="00A96EC7">
      <w:pPr>
        <w:ind w:firstLine="720"/>
        <w:jc w:val="both"/>
      </w:pPr>
      <w:r>
        <w:t xml:space="preserve">Art. 24, coroborat cu art. 4 și 5 din Cap. VIII Secţiunea I Anexa V a Legii nr. 153/2017 prevede </w:t>
      </w:r>
      <w:r>
        <w:rPr>
          <w:rStyle w:val="Fontdeparagrafimplicit1"/>
          <w:i/>
        </w:rPr>
        <w:t>o limită maximă a sporurilor</w:t>
      </w:r>
      <w:r>
        <w:t>, compensaţiilor, indemnizaţiilor, adaosurilor, majorărilor, primelor, premiilor şi a altor elemente ale venitului salarial (</w:t>
      </w:r>
      <w:r>
        <w:rPr>
          <w:rStyle w:val="Fontdeparagrafimplicit1"/>
          <w:i/>
        </w:rPr>
        <w:t xml:space="preserve">sporul </w:t>
      </w:r>
      <w:r>
        <w:t xml:space="preserve">pentru condiţii de muncă grele, vătămătoare sau periculoase </w:t>
      </w:r>
      <w:r>
        <w:rPr>
          <w:rStyle w:val="Fontdeparagrafimplicit1"/>
          <w:i/>
        </w:rPr>
        <w:t xml:space="preserve">”de până la 15% din salariul de bază” </w:t>
      </w:r>
      <w:r>
        <w:t xml:space="preserve">sporul pentru risc şi suprasolicitare neuropsihică </w:t>
      </w:r>
      <w:r>
        <w:rPr>
          <w:rStyle w:val="Fontdeparagrafimplicit1"/>
          <w:i/>
        </w:rPr>
        <w:t>”de până la 25%” din salariul de bază, sporul pentru păstrarea confidenţialităţii de până la 5% din salariul de bază</w:t>
      </w:r>
      <w:r>
        <w:t>). Prin urmare, legiuitorul nu prevede în mod imperativ un anumit cuantum al sporurilor</w:t>
      </w:r>
      <w:r>
        <w:t xml:space="preserve">, intrând în marja de apreciere a ordonatorului de credite cuantumul în care se acordă sporurile, cu respectarea limitei maxime prevăzute de art. 4 și 5 din Cap. VIII, Secţiunea I din Anexa V a Legii nr. 153/2017 pentru fiecare spor. </w:t>
      </w:r>
    </w:p>
    <w:p w14:paraId="3A3163F2" w14:textId="77777777" w:rsidR="00363EFE" w:rsidRDefault="00A96EC7">
      <w:pPr>
        <w:ind w:firstLine="720"/>
        <w:jc w:val="both"/>
      </w:pPr>
      <w:r>
        <w:t xml:space="preserve">Art. 25 alin. 1 din Legea nr. 153/2017 prevede o a doua limită care trebuie respectată, aceea ca suma sporurilor, compensaţiilor, adaosurilor, primelor, premiilor şi indemnizaţiilor, inclusiv cele pentru hrană şi vacanţă, acordate cumulat </w:t>
      </w:r>
      <w:r>
        <w:rPr>
          <w:rStyle w:val="Fontdeparagrafimplicit1"/>
          <w:i/>
        </w:rPr>
        <w:t>pe total buget pentru fiecare ordonator de credite să nu depăşească 30%</w:t>
      </w:r>
      <w:r>
        <w:t xml:space="preserve"> din suma salariilor de bază, a soldelor de funcţie/salariilor de funcţie, soldelor de grad/salariilor gradului profesional deţinut, gradaţiilor şi a soldelor de comandă/salariilor de comandă, a indemnizaţiilor de încadrare şi a indemnizaţiilor lunare. Așadar, art. 25 alin. 1 din Legea nr. 153/2017 limitează, </w:t>
      </w:r>
      <w:r>
        <w:rPr>
          <w:rStyle w:val="Fontdeparagrafimplicit1"/>
          <w:i/>
        </w:rPr>
        <w:t>imperativ,</w:t>
      </w:r>
      <w:r>
        <w:t xml:space="preserve"> suma sporurilor, compensaţiilor, adaosurilor, primelor, premiilor şi indemnizaţiilor, inclusiv cele pentru hrană şi vac</w:t>
      </w:r>
      <w:r>
        <w:t xml:space="preserve">anţă, acordate cumulat </w:t>
      </w:r>
      <w:r>
        <w:rPr>
          <w:rStyle w:val="Fontdeparagrafimplicit1"/>
          <w:i/>
        </w:rPr>
        <w:t>pe total buget pentru fiecare ordonator de credite</w:t>
      </w:r>
      <w:r>
        <w:t>.</w:t>
      </w:r>
    </w:p>
    <w:p w14:paraId="13D3FE0E" w14:textId="77777777" w:rsidR="00363EFE" w:rsidRDefault="00A96EC7">
      <w:pPr>
        <w:ind w:firstLine="720"/>
        <w:jc w:val="both"/>
      </w:pPr>
      <w:r>
        <w:rPr>
          <w:rStyle w:val="Fontdeparagrafimplicit1"/>
          <w:i/>
        </w:rPr>
        <w:t xml:space="preserve">Prevederile art. 24 din Legea nr. 153/2017 şi ale art. 4 şi 5, Cap. VIII, Secţiunea I din Anexa V a Legii nr. 153/2017, </w:t>
      </w:r>
      <w:r>
        <w:t xml:space="preserve">care reglementează sporurile pentru familia ocupaţională "Justiţie", </w:t>
      </w:r>
      <w:r>
        <w:rPr>
          <w:rStyle w:val="Fontdeparagrafimplicit1"/>
          <w:i/>
        </w:rPr>
        <w:t>nu pot fi privite ca derogatorii de la prevederile art. 25 alin. 1 din aceeaşi lege.</w:t>
      </w:r>
      <w:r>
        <w:t xml:space="preserve"> Art. 25 din lege stabileşte o limitare imperativă a sporurilor la maximum 30% pe total buget al ordonatorului de credite, limitarea vizând </w:t>
      </w:r>
      <w:r>
        <w:rPr>
          <w:rStyle w:val="Fontdeparagrafimplicit1"/>
          <w:i/>
        </w:rPr>
        <w:t>toate sporurile</w:t>
      </w:r>
      <w:r>
        <w:t xml:space="preserve"> reglementate de Legea nr. 153/2017, aşadar inclusiv cele prevăzute la art. 24. </w:t>
      </w:r>
    </w:p>
    <w:p w14:paraId="46C608F9" w14:textId="77777777" w:rsidR="00363EFE" w:rsidRDefault="00A96EC7">
      <w:pPr>
        <w:ind w:firstLine="720"/>
        <w:jc w:val="both"/>
      </w:pPr>
      <w:r>
        <w:lastRenderedPageBreak/>
        <w:t xml:space="preserve">Totodată, Curtea reţine că potrivit </w:t>
      </w:r>
      <w:r>
        <w:rPr>
          <w:rStyle w:val="Fontdeparagrafimplicit1"/>
          <w:b/>
        </w:rPr>
        <w:t>Deciziei nr. 15 din 28 iunie 2021</w:t>
      </w:r>
      <w:r>
        <w:t xml:space="preserve">, pronunțată de Înalta Curte de Casație și Justiție - </w:t>
      </w:r>
      <w:r>
        <w:rPr>
          <w:rStyle w:val="Fontdeparagrafimplicit1"/>
          <w:i/>
        </w:rPr>
        <w:t>Completul pentru soluționarea recursului în interesul legii</w:t>
      </w:r>
      <w:r>
        <w:t xml:space="preserve">, dispozițiile Legii-cadru nr. 153/2017 nu prevăd un procent fix al sporurilor de 45%, ci doar un procent maxim, care lasă la aprecierea ordonatorului de credite o marjă de acordare a acestor sporuri, evident cu respectarea dispozițiilor imperative ale legii. </w:t>
      </w:r>
    </w:p>
    <w:p w14:paraId="3653008A" w14:textId="77777777" w:rsidR="00363EFE" w:rsidRDefault="00A96EC7">
      <w:pPr>
        <w:ind w:firstLine="720"/>
        <w:jc w:val="both"/>
      </w:pPr>
      <w:r>
        <w:t>Prin urmare, la nivelul fiecărui ordonator de credite, în privința sporurilor, alăturat limitelor maxime pe care legea le stabilește pentru fiecare-categorie de sporuri: în parte, plafonarea acestora este determinată de necesitatea de a se asigura respectarea cerinței impuse de art. 25 din Legea nr. 153/2017.</w:t>
      </w:r>
    </w:p>
    <w:p w14:paraId="29487DEF" w14:textId="77777777" w:rsidR="00363EFE" w:rsidRDefault="00A96EC7">
      <w:pPr>
        <w:ind w:firstLine="720"/>
        <w:jc w:val="both"/>
      </w:pPr>
      <w:r>
        <w:t xml:space="preserve">În concluzie, prin decizia respectivă ÎCCJ a statuat că în interpretarea unitară a dispozițiilor art. 38 alin. (3) lit. a) și alin. (6) din Legea-cadru nr. 153/2017 privind salarizarea personalului plătit din fonduri publice, cu modificările și completările ulterioare, raportate la art. 4 și 5 din capitolul VIII secțiunea I din anexa nr. V la aceeași lege, </w:t>
      </w:r>
      <w:r>
        <w:rPr>
          <w:rStyle w:val="Fontdeparagrafimplicit1"/>
          <w:i/>
        </w:rPr>
        <w:t>suma sporurilor acordate personalului auxiliar din cadrul instanțelor judecătorești și al parchetelor de pe lângă acestea nu trebuie să depășească limita prevăzută de art. 25 din aceeași lege, raportată la ordonatorul de credite care stabilește drepturile salariale</w:t>
      </w:r>
      <w:r>
        <w:t>.</w:t>
      </w:r>
    </w:p>
    <w:p w14:paraId="5D13FE75" w14:textId="77777777" w:rsidR="00363EFE" w:rsidRDefault="00A96EC7">
      <w:pPr>
        <w:ind w:firstLine="720"/>
        <w:jc w:val="both"/>
      </w:pPr>
      <w:r>
        <w:t xml:space="preserve">Această concluzie este aplicabilă nu numai personalului auxiliar din instanţe, ci şi judecătorilor, regulile şi principiile legate de limitarea sporurilor pe ordonator de credite fiind aplicabile. </w:t>
      </w:r>
    </w:p>
    <w:p w14:paraId="6315B707" w14:textId="77777777" w:rsidR="00363EFE" w:rsidRDefault="00A96EC7">
      <w:pPr>
        <w:ind w:firstLine="720"/>
        <w:jc w:val="both"/>
      </w:pPr>
      <w:r>
        <w:t>Apoi, deşi limitarea se referă la ordonatorul de credite în mod implicit ea se reflectă şi asupra judecătorului salariat, întrucât, aşa cum subliniază ÎCCJ în decizia nr. 15/2021, limitarea prevăzută în articolul 25 din Legea-cadru nr. 153/2017 poate determina acordarea unor cuantumuri diferite ale sporurilor de la un ordonator de credite la altul, de vreme ce procentul de 30%, care nu poate fi depășit în privința sumei sporurilor, compensațiilor, adaosurilor, primelor, premiilor și indemnizațiilor, inclusi</w:t>
      </w:r>
      <w:r>
        <w:t xml:space="preserve">v cele pentru hrană și vacanță, acordate cumulat pe total buget pentru flecare ordonator de credite. </w:t>
      </w:r>
    </w:p>
    <w:p w14:paraId="531B704B" w14:textId="77777777" w:rsidR="00363EFE" w:rsidRDefault="00A96EC7">
      <w:pPr>
        <w:ind w:firstLine="720"/>
        <w:jc w:val="both"/>
      </w:pPr>
      <w:r>
        <w:t xml:space="preserve">Așadar, </w:t>
      </w:r>
      <w:r>
        <w:rPr>
          <w:rStyle w:val="Fontdeparagrafimplicit1"/>
          <w:i/>
        </w:rPr>
        <w:t>eventualele diferențe între sporurile ce se cuvin salariaților din aceeași categorie profesională, stabilite și acordate de ordonatori de credite diferiți, pot proveni din aplicarea legii la situații de fapt care nu sunt identice, respectiv fondul salariilor de bază la care se raportează procentul de 30% să nu fie același. În acest sens, este contrară prevederilor art. 25 alin. (1) din Legea nr. 137/2017 raportarea la sporurile mai mari acordate salariaților care fac parte din aceeași categorie de personal,</w:t>
      </w:r>
      <w:r>
        <w:rPr>
          <w:rStyle w:val="Fontdeparagrafimplicit1"/>
          <w:i/>
        </w:rPr>
        <w:t xml:space="preserve"> dar care sunt angajați în cadrul altui ordonator de credite (pct. 84 din decizia nr. 15/2021)</w:t>
      </w:r>
      <w:r>
        <w:t>.</w:t>
      </w:r>
    </w:p>
    <w:p w14:paraId="5EAFC489" w14:textId="77777777" w:rsidR="00363EFE" w:rsidRDefault="00A96EC7">
      <w:pPr>
        <w:ind w:firstLine="720"/>
        <w:jc w:val="both"/>
      </w:pPr>
      <w:r>
        <w:t xml:space="preserve">De asemenea, potrivit </w:t>
      </w:r>
      <w:r>
        <w:rPr>
          <w:rStyle w:val="Fontdeparagrafimplicit1"/>
          <w:b/>
        </w:rPr>
        <w:t>deciziei ÎCCJ- Completul pentru dezlegarea unor chestiuni de drept nr. 3/2024</w:t>
      </w:r>
      <w:r>
        <w:t>: în interpretarea şi aplicarea dispoziţiilor art. 25 alin. (1) şi art. 6 lit. b) din Legea-cadru nr. 153/2017 privind salarizarea personalului plătit din fonduri publice, cu modificările şi completările ulterioare, principiul nediscriminării nu poate fi invocat pentru acordarea sporurilor prevăzute de art. 4 şi 5 din capitolul VIII anexa nr. V a Legii-cadru nr. 153/2017 la nivel maxim, dacă astfel s-ar depăşi plafonul de 30% prevă</w:t>
      </w:r>
      <w:r>
        <w:t>zut de art. 25 din acelaşi act normativ.</w:t>
      </w:r>
    </w:p>
    <w:p w14:paraId="1813AD10" w14:textId="77777777" w:rsidR="00363EFE" w:rsidRDefault="00A96EC7">
      <w:pPr>
        <w:ind w:firstLine="720"/>
        <w:jc w:val="both"/>
      </w:pPr>
      <w:r>
        <w:t>Aşa cum s-a reţinut la pct. 81 al acestei decizii, în contextul în care sporurile nu sunt reglementate într-un cuantum fix, legea conferă ordonatorilor de credite o marjă de apreciere în stabilirea lor, dar dreptul de apreciere trebuie exercitat în limitele prevăzute de lege, fiind supus unei duble condiţionări: la nivel individual, cele trei sporuri ar putea totaliza cel mult 45% din salariul de bază lunar sau din indemnizaţia lunară de încadrare, iar la nivelul bugetului gestionat de ordonatorul de credit</w:t>
      </w:r>
      <w:r>
        <w:t>e, suma sporurilor şi a celorlalte elemente adiţionale salariului de bază sau indemnizaţiei de încadrare nu poate depăşi 30% din suma salariilor de bază şi a indemnizaţiilor de încadrare. Marja de apreciere implică şi posibilitatea ajustării periodice a sporurilor, cu respectarea condiţiilor de acordare a acestora, astfel încât, în funcţie de circumstanţele concrete, să se asigure încadrarea în limita prevăzută în art. 25 alin. (1) din Legea-cadru nr. 153/2017.</w:t>
      </w:r>
    </w:p>
    <w:p w14:paraId="45E30ADD" w14:textId="77777777" w:rsidR="00363EFE" w:rsidRDefault="00A96EC7">
      <w:pPr>
        <w:ind w:firstLine="720"/>
        <w:jc w:val="both"/>
      </w:pPr>
      <w:r>
        <w:t xml:space="preserve">În concluzie, pretenţiile privind sporurile în cuantum de 45% nu sunt întemeiate. </w:t>
      </w:r>
    </w:p>
    <w:p w14:paraId="3224A823" w14:textId="77777777" w:rsidR="00363EFE" w:rsidRDefault="00A96EC7">
      <w:pPr>
        <w:ind w:firstLine="720"/>
        <w:jc w:val="both"/>
      </w:pPr>
      <w:r>
        <w:lastRenderedPageBreak/>
        <w:t>În concluzie, Curtea va admite în parte acţiunea.</w:t>
      </w:r>
    </w:p>
    <w:p w14:paraId="4353171D" w14:textId="77777777" w:rsidR="00363EFE" w:rsidRDefault="00A96EC7">
      <w:pPr>
        <w:ind w:firstLine="720"/>
        <w:jc w:val="both"/>
      </w:pPr>
      <w:r>
        <w:t>Va obliga pârâtul la emiterea a unor noi ordine de salarizare pentru fiecare reclamantă şi pentru intervenientă, prin care să li se stabilească drepturile salariale prin raportare la VRS 605,225 lei cu înlăturarea aplicării prevederilor art. 38 alin. (6) din Legea nr. 153/2017, începând cu data de 6.2.2017 şi până la data de 6.12.2018 inclusiv şi prin care să se stabilească că sumele care reprezintă diferenţa dintre drepturile salariale stabilite potrivit ordinului ce va fi emis şi drepturile salariale stab</w:t>
      </w:r>
      <w:r>
        <w:t>ilite anterior se actualizează cu indicele de inflaţie, la acestea adăugându-se dobânda legală penalizatoare, calculate de la data exigibilităţii fiecărei obligaţii lunare de plată până la data plăţii efective.</w:t>
      </w:r>
    </w:p>
    <w:p w14:paraId="65AA898D" w14:textId="77777777" w:rsidR="00363EFE" w:rsidRDefault="00A96EC7">
      <w:pPr>
        <w:ind w:firstLine="720"/>
        <w:jc w:val="both"/>
      </w:pPr>
      <w:r>
        <w:t xml:space="preserve">Instanţa va respinge în rest acţiunea ca nefondată. </w:t>
      </w:r>
    </w:p>
    <w:p w14:paraId="5A6BD424" w14:textId="77777777" w:rsidR="00363EFE" w:rsidRDefault="00363EFE">
      <w:pPr>
        <w:jc w:val="both"/>
      </w:pPr>
    </w:p>
    <w:p w14:paraId="75B654D2" w14:textId="77777777" w:rsidR="00363EFE" w:rsidRDefault="00A96EC7">
      <w:pPr>
        <w:jc w:val="center"/>
        <w:rPr>
          <w:rStyle w:val="Fontdeparagrafimplicit1"/>
          <w:b/>
        </w:rPr>
      </w:pPr>
      <w:r>
        <w:rPr>
          <w:rStyle w:val="Fontdeparagrafimplicit1"/>
          <w:b/>
        </w:rPr>
        <w:t>PENTRU ACESTE MOTIVE,</w:t>
      </w:r>
      <w:r>
        <w:rPr>
          <w:rStyle w:val="Fontdeparagrafimplicit1"/>
          <w:b/>
        </w:rPr>
        <w:br/>
        <w:t>ÎN NUMELE LEGII</w:t>
      </w:r>
    </w:p>
    <w:p w14:paraId="6EE10422" w14:textId="77777777" w:rsidR="00363EFE" w:rsidRDefault="00A96EC7">
      <w:pPr>
        <w:jc w:val="center"/>
        <w:rPr>
          <w:rStyle w:val="Fontdeparagrafimplicit1"/>
          <w:b/>
        </w:rPr>
      </w:pPr>
      <w:r>
        <w:rPr>
          <w:rStyle w:val="Fontdeparagrafimplicit1"/>
          <w:b/>
        </w:rPr>
        <w:t>HOTĂRĂŞTE:</w:t>
      </w:r>
    </w:p>
    <w:p w14:paraId="49687254" w14:textId="77777777" w:rsidR="00363EFE" w:rsidRDefault="00363EFE">
      <w:pPr>
        <w:jc w:val="both"/>
        <w:rPr>
          <w:rStyle w:val="Fontdeparagrafimplicit1"/>
        </w:rPr>
      </w:pPr>
    </w:p>
    <w:p w14:paraId="46F6E299" w14:textId="77777777" w:rsidR="00363EFE" w:rsidRDefault="00A96EC7">
      <w:pPr>
        <w:ind w:firstLine="709"/>
        <w:jc w:val="both"/>
      </w:pPr>
      <w:r>
        <w:t>Respinge ca nefondată excepţia prescripţiei extinctive.</w:t>
      </w:r>
    </w:p>
    <w:p w14:paraId="085FD882" w14:textId="38328586" w:rsidR="00363EFE" w:rsidRDefault="00A96EC7">
      <w:pPr>
        <w:ind w:firstLine="709"/>
        <w:jc w:val="both"/>
        <w:rPr>
          <w:rStyle w:val="Fontdeparagrafimplicit1"/>
          <w:b/>
        </w:rPr>
      </w:pPr>
      <w:r>
        <w:t xml:space="preserve">Admite în parte acţiunea formulată de reclamantele </w:t>
      </w:r>
      <w:r w:rsidR="000E0350">
        <w:rPr>
          <w:rStyle w:val="Fontdeparagrafimplicit1"/>
          <w:b/>
        </w:rPr>
        <w:t>SME</w:t>
      </w:r>
      <w:r>
        <w:rPr>
          <w:rStyle w:val="Fontdeparagrafimplicit1"/>
          <w:b/>
        </w:rPr>
        <w:t xml:space="preserve">, </w:t>
      </w:r>
      <w:r w:rsidR="000E0350">
        <w:rPr>
          <w:rStyle w:val="Fontdeparagrafimplicit1"/>
          <w:b/>
        </w:rPr>
        <w:t>SL</w:t>
      </w:r>
      <w:r>
        <w:rPr>
          <w:rStyle w:val="Fontdeparagrafimplicit1"/>
          <w:b/>
        </w:rPr>
        <w:t xml:space="preserve">, </w:t>
      </w:r>
      <w:r w:rsidR="000E0350">
        <w:rPr>
          <w:rStyle w:val="Fontdeparagrafimplicit1"/>
          <w:b/>
        </w:rPr>
        <w:t>DCA</w:t>
      </w:r>
      <w:r>
        <w:t>şi</w:t>
      </w:r>
      <w:r>
        <w:rPr>
          <w:rStyle w:val="Fontdeparagrafimplicit1"/>
          <w:b/>
        </w:rPr>
        <w:t xml:space="preserve"> </w:t>
      </w:r>
      <w:r w:rsidR="000E0350">
        <w:rPr>
          <w:rStyle w:val="Fontdeparagrafimplicit1"/>
          <w:b/>
        </w:rPr>
        <w:t>HCC</w:t>
      </w:r>
      <w:r>
        <w:rPr>
          <w:rStyle w:val="Fontdeparagrafimplicit1"/>
          <w:b/>
        </w:rPr>
        <w:t xml:space="preserve">, </w:t>
      </w:r>
      <w:r>
        <w:t xml:space="preserve">toate cu domiciliul procesual ales în D, Str. </w:t>
      </w:r>
      <w:r w:rsidR="00966C25">
        <w:t>....</w:t>
      </w:r>
      <w:r>
        <w:t xml:space="preserve"> nr. </w:t>
      </w:r>
      <w:r w:rsidR="00966C25">
        <w:t>...</w:t>
      </w:r>
      <w:r>
        <w:t xml:space="preserve">, Judeţul </w:t>
      </w:r>
      <w:r w:rsidR="000E0350">
        <w:t>M</w:t>
      </w:r>
      <w:r>
        <w:t xml:space="preserve">, în contradictoriu cu pârâţii </w:t>
      </w:r>
      <w:r>
        <w:rPr>
          <w:rStyle w:val="Fontdeparagrafimplicit1"/>
          <w:b/>
        </w:rPr>
        <w:t>PARCHETUL DE PE LÂNGĂ ÎNALTA CURTE DE CASAŢIE ŞI JUSTIŢIE</w:t>
      </w:r>
      <w:r>
        <w:t>, cu sediul în</w:t>
      </w:r>
      <w:r>
        <w:rPr>
          <w:rStyle w:val="Fontdeparagrafimplicit1"/>
          <w:b/>
        </w:rPr>
        <w:t xml:space="preserve"> </w:t>
      </w:r>
      <w:r>
        <w:t xml:space="preserve">B-dul </w:t>
      </w:r>
      <w:r w:rsidR="00966C25">
        <w:t>...</w:t>
      </w:r>
      <w:r>
        <w:t xml:space="preserve"> nr. </w:t>
      </w:r>
      <w:r w:rsidR="00966C25">
        <w:t>...</w:t>
      </w:r>
      <w:r>
        <w:t>,</w:t>
      </w:r>
      <w:r>
        <w:rPr>
          <w:rStyle w:val="Fontdeparagrafimplicit1"/>
          <w:b/>
        </w:rPr>
        <w:t xml:space="preserve"> </w:t>
      </w:r>
      <w:r>
        <w:t>s</w:t>
      </w:r>
      <w:r w:rsidR="00966C25">
        <w:t>...</w:t>
      </w:r>
      <w:r>
        <w:t xml:space="preserve"> </w:t>
      </w:r>
      <w:r w:rsidR="000E0350">
        <w:t>X</w:t>
      </w:r>
      <w:r>
        <w:t xml:space="preserve"> şi</w:t>
      </w:r>
      <w:r>
        <w:rPr>
          <w:rStyle w:val="Fontdeparagrafimplicit1"/>
          <w:b/>
        </w:rPr>
        <w:t xml:space="preserve"> CONSILIUL NAŢIONAL PENTRU COMBATEREA DISCRIMINĂRII, </w:t>
      </w:r>
      <w:r>
        <w:t>cu sediul în</w:t>
      </w:r>
      <w:r>
        <w:rPr>
          <w:rStyle w:val="Fontdeparagrafimplicit1"/>
          <w:b/>
        </w:rPr>
        <w:t xml:space="preserve"> </w:t>
      </w:r>
      <w:r w:rsidR="00966C25">
        <w:t>....</w:t>
      </w:r>
      <w:r>
        <w:t xml:space="preserve"> nr. </w:t>
      </w:r>
      <w:r w:rsidR="00966C25">
        <w:t>...</w:t>
      </w:r>
      <w:r>
        <w:t xml:space="preserve">, </w:t>
      </w:r>
      <w:r w:rsidR="00966C25">
        <w:t>...</w:t>
      </w:r>
      <w:r>
        <w:t xml:space="preserve">, </w:t>
      </w:r>
      <w:r w:rsidR="000E0350">
        <w:t>X</w:t>
      </w:r>
      <w:r>
        <w:t xml:space="preserve"> şi cererea de intervenţie principală formulată de intervenienta</w:t>
      </w:r>
      <w:r>
        <w:rPr>
          <w:rStyle w:val="Fontdeparagrafimplicit1"/>
          <w:b/>
        </w:rPr>
        <w:t xml:space="preserve"> </w:t>
      </w:r>
      <w:r w:rsidR="000E0350">
        <w:rPr>
          <w:rStyle w:val="Fontdeparagrafimplicit1"/>
          <w:b/>
        </w:rPr>
        <w:t>DAE</w:t>
      </w:r>
      <w:r>
        <w:rPr>
          <w:rStyle w:val="Fontdeparagrafimplicit1"/>
          <w:b/>
        </w:rPr>
        <w:t xml:space="preserve">, </w:t>
      </w:r>
      <w:r>
        <w:t>cu domiciliul procesual ales în D</w:t>
      </w:r>
      <w:r w:rsidR="00966C25">
        <w:t xml:space="preserve"> </w:t>
      </w:r>
      <w:r>
        <w:t xml:space="preserve">, Str. </w:t>
      </w:r>
      <w:r w:rsidR="00966C25">
        <w:t>....</w:t>
      </w:r>
      <w:r>
        <w:t xml:space="preserve"> nr. </w:t>
      </w:r>
      <w:r w:rsidR="00966C25">
        <w:t>...</w:t>
      </w:r>
      <w:r>
        <w:t xml:space="preserve">, Judeţul </w:t>
      </w:r>
      <w:r w:rsidR="000E0350">
        <w:t>M</w:t>
      </w:r>
      <w:r>
        <w:t>.</w:t>
      </w:r>
    </w:p>
    <w:p w14:paraId="6001AD4B" w14:textId="77777777" w:rsidR="00363EFE" w:rsidRDefault="00A96EC7">
      <w:pPr>
        <w:ind w:firstLine="709"/>
        <w:jc w:val="both"/>
      </w:pPr>
      <w:r>
        <w:t>Obligă pârâtul la emiterea a unor noi ordine de salarizare pentru fiecare reclamantă şi pentru intervenientă, prin care să li se stabilească drepturile salariale prin raportare la VRS 605,225 lei cu înlăturarea aplicării prevederilor art. 38 alin. (6) din Legea nr. 153/2017, începând cu data de 6.2.2017 şi până la data de 6.12.2018 inclusiv şi prin care să se stabilească că sumele care reprezintă diferenţa dintre drepturile salariale stabilite potrivit fiecărui ordin ce va fi emis şi drepturile salariale st</w:t>
      </w:r>
      <w:r>
        <w:t>abilite anterior se actualizează cu indicele de inflaţie, la acestea adăugându-se dobânda legală penalizatoare, calculate de la data exigibilităţii fiecărei obligaţii lunare de plată până la data plăţii efective.</w:t>
      </w:r>
    </w:p>
    <w:p w14:paraId="3B620DAF" w14:textId="77777777" w:rsidR="00363EFE" w:rsidRDefault="00A96EC7">
      <w:pPr>
        <w:ind w:firstLine="709"/>
        <w:jc w:val="both"/>
      </w:pPr>
      <w:r>
        <w:t>Respinge în rest acţiunea ca nefondată.</w:t>
      </w:r>
    </w:p>
    <w:p w14:paraId="3BB3BA95" w14:textId="77777777" w:rsidR="00363EFE" w:rsidRDefault="00A96EC7">
      <w:pPr>
        <w:ind w:firstLine="709"/>
        <w:jc w:val="both"/>
      </w:pPr>
      <w:r>
        <w:t>Cu recurs în 15 zile de la comunicare.</w:t>
      </w:r>
    </w:p>
    <w:p w14:paraId="7909AEF5" w14:textId="006B7579" w:rsidR="00363EFE" w:rsidRDefault="00A96EC7">
      <w:pPr>
        <w:ind w:firstLine="709"/>
        <w:jc w:val="both"/>
      </w:pPr>
      <w:r>
        <w:t xml:space="preserve">Recursul se depune la Curtea de Apel </w:t>
      </w:r>
      <w:r w:rsidR="000E0350">
        <w:t>X</w:t>
      </w:r>
      <w:r>
        <w:t>.</w:t>
      </w:r>
    </w:p>
    <w:p w14:paraId="0389DC20" w14:textId="107D56CA" w:rsidR="00363EFE" w:rsidRDefault="00A96EC7">
      <w:pPr>
        <w:ind w:firstLine="709"/>
        <w:jc w:val="both"/>
      </w:pPr>
      <w:r>
        <w:t xml:space="preserve">Pronunţată azi, </w:t>
      </w:r>
      <w:r w:rsidR="00966C25">
        <w:rPr>
          <w:rStyle w:val="Fontdeparagrafimplicit1"/>
          <w:b/>
        </w:rPr>
        <w:t>...</w:t>
      </w:r>
      <w:r>
        <w:rPr>
          <w:rStyle w:val="Fontdeparagrafimplicit1"/>
          <w:b/>
        </w:rPr>
        <w:t>.2024</w:t>
      </w:r>
      <w:r>
        <w:t>, prin punerea soluţiei la dispoziţia părţilor de către grefa instanţei.</w:t>
      </w:r>
    </w:p>
    <w:p w14:paraId="5ACE797C" w14:textId="77777777" w:rsidR="00363EFE" w:rsidRDefault="00363EFE">
      <w:pPr>
        <w:ind w:firstLine="709"/>
        <w:jc w:val="both"/>
      </w:pPr>
    </w:p>
    <w:p w14:paraId="3E177D49" w14:textId="77777777" w:rsidR="00363EFE" w:rsidRDefault="00A96EC7">
      <w:pPr>
        <w:rPr>
          <w:rStyle w:val="Fontdeparagrafimplicit1"/>
          <w:b/>
        </w:rPr>
      </w:pPr>
      <w:r>
        <w:t xml:space="preserve">                  </w:t>
      </w:r>
      <w:r>
        <w:rPr>
          <w:rStyle w:val="Fontdeparagrafimplicit1"/>
          <w:b/>
        </w:rPr>
        <w:t xml:space="preserve">Preşedinte                                                                             Grefier                                                                                                                        </w:t>
      </w:r>
    </w:p>
    <w:p w14:paraId="262E414C" w14:textId="22150078" w:rsidR="00363EFE" w:rsidRDefault="00A96EC7">
      <w:r>
        <w:t xml:space="preserve">         </w:t>
      </w:r>
      <w:r w:rsidR="00966C25">
        <w:t xml:space="preserve">   </w:t>
      </w:r>
      <w:r w:rsidR="00DD319C">
        <w:t xml:space="preserve">     </w:t>
      </w:r>
      <w:r>
        <w:t xml:space="preserve"> </w:t>
      </w:r>
      <w:r w:rsidR="000E0350">
        <w:t>A0017</w:t>
      </w:r>
      <w:r>
        <w:t xml:space="preserve">                                      </w:t>
      </w:r>
      <w:r w:rsidR="00DD319C">
        <w:t xml:space="preserve">                                  </w:t>
      </w:r>
      <w:r>
        <w:t xml:space="preserve">             </w:t>
      </w:r>
      <w:r w:rsidR="000E0350">
        <w:t>....</w:t>
      </w:r>
    </w:p>
    <w:p w14:paraId="578BCA0A" w14:textId="77777777" w:rsidR="00363EFE" w:rsidRDefault="00363EFE"/>
    <w:p w14:paraId="28D2BBC6" w14:textId="77777777" w:rsidR="00363EFE" w:rsidRDefault="00363EFE"/>
    <w:p w14:paraId="377A621D" w14:textId="77777777" w:rsidR="00363EFE" w:rsidRDefault="00363EFE"/>
    <w:p w14:paraId="6D12BB70" w14:textId="77777777" w:rsidR="00363EFE" w:rsidRDefault="00363EFE"/>
    <w:p w14:paraId="02ADADC7" w14:textId="1ECC8754" w:rsidR="00363EFE" w:rsidRDefault="00A96EC7">
      <w:pPr>
        <w:jc w:val="both"/>
        <w:rPr>
          <w:rStyle w:val="Fontdeparagrafimplicit1"/>
          <w:i/>
          <w:sz w:val="22"/>
        </w:rPr>
      </w:pPr>
      <w:r>
        <w:rPr>
          <w:rStyle w:val="Fontdeparagrafimplicit1"/>
          <w:i/>
          <w:sz w:val="22"/>
        </w:rPr>
        <w:t>Red./Thred./</w:t>
      </w:r>
      <w:r w:rsidR="00966C25">
        <w:rPr>
          <w:rStyle w:val="Fontdeparagrafimplicit1"/>
          <w:i/>
          <w:sz w:val="22"/>
        </w:rPr>
        <w:t>A0017</w:t>
      </w:r>
      <w:r>
        <w:rPr>
          <w:rStyle w:val="Fontdeparagrafimplicit1"/>
          <w:i/>
          <w:sz w:val="22"/>
        </w:rPr>
        <w:t>./ 9 ex.</w:t>
      </w:r>
    </w:p>
    <w:p w14:paraId="5BF068F5" w14:textId="77777777" w:rsidR="00363EFE" w:rsidRDefault="00A96EC7">
      <w:pPr>
        <w:jc w:val="both"/>
        <w:rPr>
          <w:rStyle w:val="Fontdeparagrafimplicit1"/>
          <w:i/>
          <w:sz w:val="22"/>
        </w:rPr>
      </w:pPr>
      <w:r>
        <w:rPr>
          <w:rStyle w:val="Fontdeparagrafimplicit1"/>
          <w:i/>
          <w:sz w:val="22"/>
        </w:rPr>
        <w:t>Com. 7 ex./…………………</w:t>
      </w:r>
    </w:p>
    <w:p w14:paraId="30F76BA7" w14:textId="77777777" w:rsidR="00363EFE" w:rsidRDefault="00363EFE">
      <w:pPr>
        <w:rPr>
          <w:rStyle w:val="Fontdeparagrafimplicit1"/>
        </w:rPr>
      </w:pPr>
    </w:p>
    <w:p w14:paraId="1EE9BEAF" w14:textId="77777777" w:rsidR="00363EFE" w:rsidRDefault="00363EFE">
      <w:pPr>
        <w:spacing w:after="160" w:line="259" w:lineRule="auto"/>
        <w:rPr>
          <w:rStyle w:val="Fontdeparagrafimplicit1"/>
          <w:rFonts w:ascii="Calibri" w:hAnsi="Calibri"/>
          <w:sz w:val="22"/>
        </w:rPr>
      </w:pPr>
    </w:p>
    <w:p w14:paraId="5A3A16E8" w14:textId="77777777" w:rsidR="00363EFE" w:rsidRDefault="00363EFE">
      <w:pPr>
        <w:spacing w:after="160" w:line="259" w:lineRule="auto"/>
        <w:rPr>
          <w:rStyle w:val="Fontdeparagrafimplicit1"/>
          <w:rFonts w:ascii="Calibri" w:hAnsi="Calibri"/>
          <w:sz w:val="22"/>
        </w:rPr>
      </w:pPr>
    </w:p>
    <w:p w14:paraId="018DB4C7" w14:textId="77777777" w:rsidR="00363EFE" w:rsidRDefault="00363EFE">
      <w:pPr>
        <w:spacing w:after="160" w:line="259" w:lineRule="auto"/>
        <w:rPr>
          <w:rStyle w:val="Fontdeparagrafimplicit1"/>
          <w:rFonts w:ascii="Calibri" w:hAnsi="Calibri"/>
          <w:sz w:val="22"/>
        </w:rPr>
      </w:pPr>
    </w:p>
    <w:p w14:paraId="345CD863" w14:textId="77777777" w:rsidR="00363EFE" w:rsidRDefault="00363EFE">
      <w:pPr>
        <w:rPr>
          <w:rStyle w:val="Fontdeparagrafimplicit1"/>
        </w:rPr>
      </w:pPr>
    </w:p>
    <w:sectPr w:rsidR="00363EFE">
      <w:footerReference w:type="default" r:id="rId7"/>
      <w:pgSz w:w="11906" w:h="16838"/>
      <w:pgMar w:top="993"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CF9CA" w14:textId="77777777" w:rsidR="00A96EC7" w:rsidRDefault="00A96EC7">
      <w:r>
        <w:separator/>
      </w:r>
    </w:p>
  </w:endnote>
  <w:endnote w:type="continuationSeparator" w:id="0">
    <w:p w14:paraId="14A0490C" w14:textId="77777777" w:rsidR="00A96EC7" w:rsidRDefault="00A9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D161" w14:textId="77777777" w:rsidR="00363EFE" w:rsidRDefault="00A96EC7">
    <w:pPr>
      <w:pStyle w:val="Subsol1"/>
      <w:jc w:val="center"/>
    </w:pPr>
    <w:r>
      <w:fldChar w:fldCharType="begin"/>
    </w:r>
    <w:r>
      <w:instrText>PAGE   \* MERGEFORMAT</w:instrText>
    </w:r>
    <w:r>
      <w:fldChar w:fldCharType="separate"/>
    </w:r>
    <w:r>
      <w:t>#</w:t>
    </w:r>
    <w:r>
      <w:fldChar w:fldCharType="end"/>
    </w:r>
  </w:p>
  <w:p w14:paraId="651A4DE7" w14:textId="77777777" w:rsidR="00363EFE" w:rsidRDefault="00363EFE">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A5A3" w14:textId="77777777" w:rsidR="00A96EC7" w:rsidRDefault="00A96EC7">
      <w:r>
        <w:separator/>
      </w:r>
    </w:p>
  </w:footnote>
  <w:footnote w:type="continuationSeparator" w:id="0">
    <w:p w14:paraId="490EB072" w14:textId="77777777" w:rsidR="00A96EC7" w:rsidRDefault="00A96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E7A60"/>
    <w:multiLevelType w:val="hybridMultilevel"/>
    <w:tmpl w:val="25A21318"/>
    <w:lvl w:ilvl="0" w:tplc="01CAF42C">
      <w:start w:val="5"/>
      <w:numFmt w:val="bullet"/>
      <w:lvlText w:val="-"/>
      <w:lvlJc w:val="left"/>
      <w:pPr>
        <w:ind w:left="720" w:hanging="360"/>
      </w:pPr>
      <w:rPr>
        <w:rFonts w:ascii="Times New Roman" w:hAnsi="Times New Roman"/>
      </w:rPr>
    </w:lvl>
    <w:lvl w:ilvl="1" w:tplc="D33AE47C">
      <w:start w:val="1"/>
      <w:numFmt w:val="bullet"/>
      <w:lvlText w:val="o"/>
      <w:lvlJc w:val="left"/>
      <w:pPr>
        <w:ind w:left="1440" w:hanging="360"/>
      </w:pPr>
      <w:rPr>
        <w:rFonts w:ascii="Courier New" w:hAnsi="Courier New"/>
      </w:rPr>
    </w:lvl>
    <w:lvl w:ilvl="2" w:tplc="0DAE1BA4">
      <w:start w:val="1"/>
      <w:numFmt w:val="bullet"/>
      <w:lvlText w:val=""/>
      <w:lvlJc w:val="left"/>
      <w:pPr>
        <w:ind w:left="2160" w:hanging="360"/>
      </w:pPr>
      <w:rPr>
        <w:rFonts w:ascii="Wingdings" w:hAnsi="Wingdings"/>
      </w:rPr>
    </w:lvl>
    <w:lvl w:ilvl="3" w:tplc="AEB01438">
      <w:start w:val="1"/>
      <w:numFmt w:val="bullet"/>
      <w:lvlText w:val=""/>
      <w:lvlJc w:val="left"/>
      <w:pPr>
        <w:ind w:left="2880" w:hanging="360"/>
      </w:pPr>
      <w:rPr>
        <w:rFonts w:ascii="Symbol" w:hAnsi="Symbol"/>
      </w:rPr>
    </w:lvl>
    <w:lvl w:ilvl="4" w:tplc="2A08E012">
      <w:start w:val="1"/>
      <w:numFmt w:val="bullet"/>
      <w:lvlText w:val="o"/>
      <w:lvlJc w:val="left"/>
      <w:pPr>
        <w:ind w:left="3600" w:hanging="360"/>
      </w:pPr>
      <w:rPr>
        <w:rFonts w:ascii="Courier New" w:hAnsi="Courier New"/>
      </w:rPr>
    </w:lvl>
    <w:lvl w:ilvl="5" w:tplc="AB8E0A32">
      <w:start w:val="1"/>
      <w:numFmt w:val="bullet"/>
      <w:lvlText w:val=""/>
      <w:lvlJc w:val="left"/>
      <w:pPr>
        <w:ind w:left="4320" w:hanging="360"/>
      </w:pPr>
      <w:rPr>
        <w:rFonts w:ascii="Wingdings" w:hAnsi="Wingdings"/>
      </w:rPr>
    </w:lvl>
    <w:lvl w:ilvl="6" w:tplc="9F02A1E4">
      <w:start w:val="1"/>
      <w:numFmt w:val="bullet"/>
      <w:lvlText w:val=""/>
      <w:lvlJc w:val="left"/>
      <w:pPr>
        <w:ind w:left="5040" w:hanging="360"/>
      </w:pPr>
      <w:rPr>
        <w:rFonts w:ascii="Symbol" w:hAnsi="Symbol"/>
      </w:rPr>
    </w:lvl>
    <w:lvl w:ilvl="7" w:tplc="24D8FFEC">
      <w:start w:val="1"/>
      <w:numFmt w:val="bullet"/>
      <w:lvlText w:val="o"/>
      <w:lvlJc w:val="left"/>
      <w:pPr>
        <w:ind w:left="5760" w:hanging="360"/>
      </w:pPr>
      <w:rPr>
        <w:rFonts w:ascii="Courier New" w:hAnsi="Courier New"/>
      </w:rPr>
    </w:lvl>
    <w:lvl w:ilvl="8" w:tplc="B66E3A9C">
      <w:start w:val="1"/>
      <w:numFmt w:val="bullet"/>
      <w:lvlText w:val=""/>
      <w:lvlJc w:val="left"/>
      <w:pPr>
        <w:ind w:left="6480" w:hanging="360"/>
      </w:pPr>
      <w:rPr>
        <w:rFonts w:ascii="Wingdings" w:hAnsi="Wingdings"/>
      </w:rPr>
    </w:lvl>
  </w:abstractNum>
  <w:abstractNum w:abstractNumId="1" w15:restartNumberingAfterBreak="0">
    <w:nsid w:val="73012F36"/>
    <w:multiLevelType w:val="multilevel"/>
    <w:tmpl w:val="B7301C0A"/>
    <w:lvl w:ilvl="0">
      <w:start w:val="1"/>
      <w:numFmt w:val="decimal"/>
      <w:lvlText w:val="%1."/>
      <w:lvlJc w:val="left"/>
      <w:pPr>
        <w:ind w:left="1065" w:hanging="360"/>
      </w:pPr>
    </w:lvl>
    <w:lvl w:ilvl="1">
      <w:start w:val="1"/>
      <w:numFmt w:val="decimal"/>
      <w:isLgl/>
      <w:lvlText w:val="%1.%2."/>
      <w:lvlJc w:val="left"/>
      <w:pPr>
        <w:ind w:left="1065" w:hanging="360"/>
      </w:pPr>
    </w:lvl>
    <w:lvl w:ilvl="2">
      <w:start w:val="1"/>
      <w:numFmt w:val="decimal"/>
      <w:isLgl/>
      <w:lvlText w:val="%1.%2.%3."/>
      <w:lvlJc w:val="left"/>
      <w:pPr>
        <w:ind w:left="1425" w:hanging="720"/>
      </w:pPr>
    </w:lvl>
    <w:lvl w:ilvl="3">
      <w:start w:val="1"/>
      <w:numFmt w:val="decimal"/>
      <w:isLgl/>
      <w:lvlText w:val="%1.%2.%3.%4."/>
      <w:lvlJc w:val="left"/>
      <w:pPr>
        <w:ind w:left="1425" w:hanging="720"/>
      </w:pPr>
    </w:lvl>
    <w:lvl w:ilvl="4">
      <w:start w:val="1"/>
      <w:numFmt w:val="decimal"/>
      <w:isLgl/>
      <w:lvlText w:val="%1.%2.%3.%4.%5."/>
      <w:lvlJc w:val="left"/>
      <w:pPr>
        <w:ind w:left="1785" w:hanging="1080"/>
      </w:pPr>
    </w:lvl>
    <w:lvl w:ilvl="5">
      <w:start w:val="1"/>
      <w:numFmt w:val="decimal"/>
      <w:isLgl/>
      <w:lvlText w:val="%1.%2.%3.%4.%5.%6."/>
      <w:lvlJc w:val="left"/>
      <w:pPr>
        <w:ind w:left="1785" w:hanging="1080"/>
      </w:pPr>
    </w:lvl>
    <w:lvl w:ilvl="6">
      <w:start w:val="1"/>
      <w:numFmt w:val="decimal"/>
      <w:isLgl/>
      <w:lvlText w:val="%1.%2.%3.%4.%5.%6.%7."/>
      <w:lvlJc w:val="left"/>
      <w:pPr>
        <w:ind w:left="2145" w:hanging="1440"/>
      </w:pPr>
    </w:lvl>
    <w:lvl w:ilvl="7">
      <w:start w:val="1"/>
      <w:numFmt w:val="decimal"/>
      <w:isLgl/>
      <w:lvlText w:val="%1.%2.%3.%4.%5.%6.%7.%8."/>
      <w:lvlJc w:val="left"/>
      <w:pPr>
        <w:ind w:left="2145" w:hanging="1440"/>
      </w:pPr>
    </w:lvl>
    <w:lvl w:ilvl="8">
      <w:start w:val="1"/>
      <w:numFmt w:val="decimal"/>
      <w:isLgl/>
      <w:lvlText w:val="%1.%2.%3.%4.%5.%6.%7.%8.%9."/>
      <w:lvlJc w:val="left"/>
      <w:pPr>
        <w:ind w:left="2505" w:hanging="1800"/>
      </w:pPr>
    </w:lvl>
  </w:abstractNum>
  <w:num w:numId="1" w16cid:durableId="1260136560">
    <w:abstractNumId w:val="1"/>
  </w:num>
  <w:num w:numId="2" w16cid:durableId="1283077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30632&amp;id_departament=54&amp;id_sesiune=5886693&amp;id_user=1406&amp;id_institutie=2&amp;actiune=modifica"/>
  </w:docVars>
  <w:rsids>
    <w:rsidRoot w:val="00363EFE"/>
    <w:rsid w:val="000E0350"/>
    <w:rsid w:val="001E6375"/>
    <w:rsid w:val="00363EFE"/>
    <w:rsid w:val="004B2A83"/>
    <w:rsid w:val="008F586C"/>
    <w:rsid w:val="00966C25"/>
    <w:rsid w:val="00A96EC7"/>
    <w:rsid w:val="00C420DD"/>
    <w:rsid w:val="00C85352"/>
    <w:rsid w:val="00DA6318"/>
    <w:rsid w:val="00DD319C"/>
    <w:rsid w:val="00F26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5553"/>
  <w15:docId w15:val="{D2F91868-2CDD-4583-A06D-8FEE5500C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13"/>
        <w:tab w:val="right" w:pos="9026"/>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6627</Words>
  <Characters>38439</Characters>
  <Application>Microsoft Office Word</Application>
  <DocSecurity>0</DocSecurity>
  <Lines>320</Lines>
  <Paragraphs>89</Paragraphs>
  <ScaleCrop>false</ScaleCrop>
  <Manager/>
  <Company/>
  <LinksUpToDate>false</LinksUpToDate>
  <CharactersWithSpaces>44977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2026-09-02T12:13:00Z</dcterms:created>
  <dcterms:modified xsi:type="dcterms:W3CDTF">2026-09-02T12:14:00Z</dcterms:modified>
  <cp:category/>
  <dc:identifier/>
  <cp:contentStatus/>
  <dc:language/>
  <cp:version/>
</cp:coreProperties>
</file>