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F57B07" w14:paraId="1B719B35" w14:textId="4566166B">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7B3BBA" w:rsidR="007B3BBA" w14:paraId="4968DFC7" w14:textId="77777777">
      <w:pPr>
        <w:rPr>
          <w:rStyle w:val="Fontdeparagrafimplicit"/>
          <w:rFonts w:ascii="Garamond" w:hAnsi="Garamond"/>
          <w:b/>
          <w:bCs/>
        </w:rPr>
      </w:pPr>
      <w:r w:rsidRPr="007B3BBA">
        <w:rPr>
          <w:rStyle w:val="Fontdeparagrafimplicit"/>
          <w:rFonts w:ascii="Garamond" w:hAnsi="Garamond"/>
          <w:b/>
          <w:bCs/>
        </w:rPr>
        <w:t>Hot. 26</w:t>
      </w:r>
    </w:p>
    <w:p w:rsidR="00F57B07" w14:paraId="705BFED1" w14:textId="63184156">
      <w:pPr>
        <w:rPr>
          <w:rStyle w:val="Fontdeparagrafimplicit"/>
          <w:rFonts w:ascii="Garamond" w:hAnsi="Garamond"/>
        </w:rPr>
      </w:pPr>
      <w:r>
        <w:rPr>
          <w:rStyle w:val="Fontdeparagrafimplicit"/>
          <w:rFonts w:ascii="Garamond" w:hAnsi="Garamond"/>
        </w:rPr>
        <w:t>Cod ECLI    ECLI:.............................</w:t>
      </w:r>
    </w:p>
    <w:p w:rsidR="00F57B07" w14:paraId="144B8B78" w14:textId="532CA6A9">
      <w:pPr>
        <w:rPr>
          <w:rStyle w:val="Fontdeparagrafimplicit"/>
          <w:b/>
        </w:rPr>
      </w:pPr>
      <w:r>
        <w:rPr>
          <w:rStyle w:val="Fontdeparagrafimplicit"/>
          <w:b/>
        </w:rPr>
        <w:t>Dosar nr. ..........................</w:t>
      </w:r>
    </w:p>
    <w:p w:rsidR="00F57B07" w14:paraId="313231AB" w14:textId="77777777">
      <w:pPr>
        <w:ind w:firstLine="709"/>
        <w:rPr>
          <w:rStyle w:val="Fontdeparagrafimplicit"/>
          <w:b/>
        </w:rPr>
      </w:pPr>
    </w:p>
    <w:p w:rsidR="00F57B07" w14:paraId="6DA83400" w14:textId="77777777">
      <w:pPr>
        <w:ind w:firstLine="709"/>
        <w:jc w:val="center"/>
        <w:rPr>
          <w:rStyle w:val="Fontdeparagrafimplicit"/>
          <w:b/>
        </w:rPr>
      </w:pPr>
      <w:r>
        <w:rPr>
          <w:rStyle w:val="Fontdeparagrafimplicit"/>
          <w:b/>
        </w:rPr>
        <w:t>R O M Â N I A</w:t>
      </w:r>
    </w:p>
    <w:p w:rsidR="00F57B07" w14:paraId="68DFDDC2" w14:textId="018759ED">
      <w:pPr>
        <w:ind w:firstLine="709"/>
        <w:jc w:val="center"/>
        <w:rPr>
          <w:rStyle w:val="Fontdeparagrafimplicit"/>
          <w:b/>
        </w:rPr>
      </w:pPr>
      <w:r>
        <w:rPr>
          <w:rStyle w:val="Fontdeparagrafimplicit"/>
          <w:b/>
        </w:rPr>
        <w:t>CURTEA DE APEL ..........................</w:t>
      </w:r>
    </w:p>
    <w:p w:rsidR="00F57B07" w14:paraId="6F4B3BC2" w14:textId="09F51041">
      <w:pPr>
        <w:ind w:firstLine="709"/>
        <w:jc w:val="center"/>
        <w:rPr>
          <w:rStyle w:val="Fontdeparagrafimplicit"/>
          <w:b/>
        </w:rPr>
      </w:pPr>
      <w:r>
        <w:rPr>
          <w:rStyle w:val="Fontdeparagrafimplicit"/>
          <w:b/>
        </w:rPr>
        <w:t>SECŢIA ..........................</w:t>
      </w:r>
      <w:r>
        <w:rPr>
          <w:rStyle w:val="Fontdeparagrafimplicit"/>
          <w:b/>
        </w:rPr>
        <w:t>CONTENCIOS ADMINISTRATIV ŞI FISCAL</w:t>
      </w:r>
    </w:p>
    <w:p w:rsidR="00F57B07" w14:paraId="34406AFA" w14:textId="6E5B013C">
      <w:pPr>
        <w:ind w:firstLine="709"/>
        <w:jc w:val="center"/>
        <w:rPr>
          <w:rStyle w:val="Fontdeparagrafimplicit"/>
          <w:b/>
          <w:u w:val="single"/>
        </w:rPr>
      </w:pPr>
      <w:r>
        <w:rPr>
          <w:rStyle w:val="Fontdeparagrafimplicit"/>
          <w:b/>
          <w:u w:val="single"/>
        </w:rPr>
        <w:t>DECIZIA CIVILĂ NR. ..........................</w:t>
      </w:r>
    </w:p>
    <w:p w:rsidR="00F57B07" w14:paraId="2654C912" w14:textId="516E69DF">
      <w:pPr>
        <w:ind w:firstLine="709"/>
        <w:jc w:val="center"/>
        <w:rPr>
          <w:rStyle w:val="Fontdeparagrafimplicit"/>
          <w:b/>
        </w:rPr>
      </w:pPr>
      <w:r>
        <w:rPr>
          <w:rStyle w:val="Fontdeparagrafimplicit"/>
          <w:b/>
        </w:rPr>
        <w:t>Şedinţa</w:t>
      </w:r>
      <w:r>
        <w:rPr>
          <w:rStyle w:val="Fontdeparagrafimplicit"/>
          <w:b/>
        </w:rPr>
        <w:t> publică de la .........</w:t>
      </w:r>
      <w:r>
        <w:rPr>
          <w:rStyle w:val="Fontdeparagrafimplicit"/>
          <w:b/>
        </w:rPr>
        <w:t>2018</w:t>
      </w:r>
    </w:p>
    <w:p w:rsidR="00F57B07" w14:paraId="1DB27F9F" w14:textId="77777777">
      <w:pPr>
        <w:ind w:firstLine="709"/>
        <w:jc w:val="center"/>
        <w:rPr>
          <w:rStyle w:val="Fontdeparagrafimplicit"/>
          <w:b/>
        </w:rPr>
      </w:pPr>
      <w:r>
        <w:rPr>
          <w:rStyle w:val="Fontdeparagrafimplicit"/>
          <w:b/>
        </w:rPr>
        <w:t>Curtea constituită din:</w:t>
      </w:r>
    </w:p>
    <w:p w:rsidR="00F57B07" w14:paraId="63D6C68F" w14:textId="7C2EA942">
      <w:pPr>
        <w:tabs>
          <w:tab w:val="left" w:pos="0"/>
        </w:tabs>
        <w:ind w:firstLine="709"/>
        <w:jc w:val="center"/>
        <w:rPr>
          <w:rStyle w:val="Fontdeparagrafimplicit"/>
          <w:b/>
          <w:color w:val="000000"/>
        </w:rPr>
      </w:pPr>
      <w:r>
        <w:rPr>
          <w:rStyle w:val="Fontdeparagrafimplicit"/>
          <w:b/>
          <w:color w:val="000000"/>
        </w:rPr>
        <w:t>PREŞEDINTE : A0016</w:t>
      </w:r>
    </w:p>
    <w:p w:rsidR="00F57B07" w14:paraId="418C46F2" w14:textId="25DEFC24">
      <w:pPr>
        <w:tabs>
          <w:tab w:val="left" w:pos="0"/>
        </w:tabs>
        <w:ind w:firstLine="709"/>
        <w:jc w:val="center"/>
        <w:rPr>
          <w:rStyle w:val="Fontdeparagrafimplicit"/>
          <w:b/>
          <w:color w:val="000000"/>
        </w:rPr>
      </w:pPr>
      <w:r>
        <w:rPr>
          <w:rStyle w:val="Fontdeparagrafimplicit"/>
          <w:b/>
          <w:color w:val="000000"/>
        </w:rPr>
        <w:t>JUDECĂTOR :  ............................</w:t>
      </w:r>
    </w:p>
    <w:p w:rsidR="00F57B07" w14:paraId="3D8A9A71" w14:textId="4E87761E">
      <w:pPr>
        <w:tabs>
          <w:tab w:val="left" w:pos="0"/>
        </w:tabs>
        <w:ind w:firstLine="709"/>
        <w:jc w:val="center"/>
        <w:rPr>
          <w:rStyle w:val="Fontdeparagrafimplicit"/>
          <w:b/>
          <w:color w:val="000000"/>
        </w:rPr>
      </w:pPr>
      <w:r>
        <w:rPr>
          <w:rStyle w:val="Fontdeparagrafimplicit"/>
          <w:b/>
          <w:color w:val="000000"/>
        </w:rPr>
        <w:t xml:space="preserve">JUDECĂTOR : </w:t>
      </w:r>
      <w:r>
        <w:rPr>
          <w:rStyle w:val="Fontdeparagrafimplicit"/>
          <w:b/>
        </w:rPr>
        <w:t>............................</w:t>
      </w:r>
    </w:p>
    <w:p w:rsidR="00F57B07" w14:paraId="0953A371" w14:textId="03425657">
      <w:pPr>
        <w:tabs>
          <w:tab w:val="left" w:pos="0"/>
        </w:tabs>
        <w:ind w:firstLine="709"/>
        <w:jc w:val="center"/>
        <w:rPr>
          <w:rStyle w:val="Fontdeparagrafimplicit"/>
          <w:b/>
          <w:color w:val="000000"/>
        </w:rPr>
      </w:pPr>
      <w:r>
        <w:rPr>
          <w:rStyle w:val="Fontdeparagrafimplicit"/>
          <w:b/>
          <w:color w:val="000000"/>
        </w:rPr>
        <w:t>GREFIER: ............................</w:t>
      </w:r>
    </w:p>
    <w:p w:rsidR="00F57B07" w14:paraId="68B1D6FA" w14:textId="77777777">
      <w:pPr>
        <w:ind w:firstLine="709"/>
        <w:rPr>
          <w:rStyle w:val="Fontdeparagrafimplicit"/>
          <w:b/>
        </w:rPr>
      </w:pPr>
    </w:p>
    <w:p w:rsidR="00F57B07" w14:paraId="0991261E" w14:textId="48CDE277">
      <w:pPr>
        <w:tabs>
          <w:tab w:val="left" w:pos="0"/>
          <w:tab w:val="left" w:pos="284"/>
          <w:tab w:val="left" w:pos="567"/>
          <w:tab w:val="left" w:pos="1134"/>
        </w:tabs>
        <w:ind w:firstLine="709"/>
        <w:jc w:val="both"/>
        <w:rPr>
          <w:rStyle w:val="Fontdeparagrafimplicit"/>
          <w:b/>
          <w:i/>
        </w:rPr>
      </w:pPr>
      <w:r>
        <w:t xml:space="preserve">Pe rol se află </w:t>
      </w:r>
      <w:r>
        <w:t>pronunţarea</w:t>
      </w:r>
      <w:r>
        <w:t xml:space="preserve"> asupra recursului promovat de recurentul-reclamant </w:t>
      </w:r>
      <w:r>
        <w:rPr>
          <w:rStyle w:val="Fontdeparagrafimplicit"/>
          <w:b/>
        </w:rPr>
        <w:t>UIN...</w:t>
      </w:r>
      <w:r>
        <w:rPr>
          <w:rStyle w:val="Fontdeparagrafimplicit"/>
          <w:b/>
        </w:rPr>
        <w:t xml:space="preserve">, </w:t>
      </w:r>
      <w:r>
        <w:rPr>
          <w:rStyle w:val="Fontdeparagrafimplicit"/>
          <w:b/>
        </w:rPr>
        <w:t>moştenitor</w:t>
      </w:r>
      <w:r>
        <w:rPr>
          <w:rStyle w:val="Fontdeparagrafimplicit"/>
          <w:b/>
        </w:rPr>
        <w:t xml:space="preserve"> al lui UEL....</w:t>
      </w:r>
      <w:r>
        <w:rPr>
          <w:rStyle w:val="Fontdeparagrafimplicit"/>
          <w:b/>
        </w:rPr>
        <w:t>şi</w:t>
      </w:r>
      <w:r>
        <w:t xml:space="preserve"> </w:t>
      </w:r>
      <w:r>
        <w:rPr>
          <w:rStyle w:val="Fontdeparagrafimplicit"/>
          <w:b/>
        </w:rPr>
        <w:t>NIA....</w:t>
      </w:r>
      <w:r>
        <w:t xml:space="preserve">împotriva </w:t>
      </w:r>
      <w:r>
        <w:t>sentinţei</w:t>
      </w:r>
      <w:r>
        <w:t xml:space="preserve"> civile nr. SC1/</w:t>
      </w:r>
      <w:r>
        <w:t xml:space="preserve">.2015, </w:t>
      </w:r>
      <w:r>
        <w:t>pronunţate</w:t>
      </w:r>
      <w:r>
        <w:t xml:space="preserve"> de Tribunalul ..........................</w:t>
      </w:r>
      <w:r>
        <w:t xml:space="preserve"> - </w:t>
      </w:r>
      <w:r>
        <w:t>Secţia</w:t>
      </w:r>
      <w:r>
        <w:t xml:space="preserve"> a .........</w:t>
      </w:r>
      <w:r>
        <w:t xml:space="preserve">Contencios Administrativ </w:t>
      </w:r>
      <w:r>
        <w:t>şi</w:t>
      </w:r>
      <w:r>
        <w:t xml:space="preserve"> Fiscal în dosarul nr. ..........................</w:t>
      </w:r>
      <w:r>
        <w:t xml:space="preserve">, în contradictoriu cu </w:t>
      </w:r>
      <w:r>
        <w:t>intimaţii-pârâţi</w:t>
      </w:r>
      <w:r>
        <w:t xml:space="preserve"> </w:t>
      </w:r>
      <w:r>
        <w:rPr>
          <w:rStyle w:val="Fontdeparagrafimplicit"/>
          <w:b/>
        </w:rPr>
        <w:t>MUNICIPIUL .........</w:t>
      </w:r>
      <w:r>
        <w:rPr>
          <w:rStyle w:val="Fontdeparagrafimplicit"/>
          <w:b/>
        </w:rPr>
        <w:t xml:space="preserve"> prin PRIMAR .........</w:t>
      </w:r>
      <w:r>
        <w:rPr>
          <w:rStyle w:val="Fontdeparagrafimplicit"/>
          <w:b/>
        </w:rPr>
        <w:t xml:space="preserve"> </w:t>
      </w:r>
      <w:r>
        <w:t>şi</w:t>
      </w:r>
      <w:r>
        <w:t xml:space="preserve"> </w:t>
      </w:r>
      <w:r>
        <w:rPr>
          <w:rStyle w:val="Fontdeparagrafimplicit"/>
          <w:b/>
        </w:rPr>
        <w:t>CONSILIUL .........</w:t>
      </w:r>
      <w:r>
        <w:rPr>
          <w:rStyle w:val="Fontdeparagrafimplicit"/>
          <w:b/>
        </w:rPr>
        <w:t xml:space="preserve"> AL MUNICIPIULUI ..........................</w:t>
      </w:r>
      <w:r>
        <w:rPr>
          <w:rStyle w:val="Fontdeparagrafimplicit"/>
          <w:b/>
        </w:rPr>
        <w:t xml:space="preserve"> - ADMINISTRAŢIA CIMITIRELOR ŞI CREMATORIILOR UMANE</w:t>
      </w:r>
      <w:r>
        <w:t xml:space="preserve">, având ca obiect </w:t>
      </w:r>
      <w:r>
        <w:rPr>
          <w:rStyle w:val="Fontdeparagrafimplicit"/>
          <w:b/>
          <w:i/>
        </w:rPr>
        <w:t>obligaţia</w:t>
      </w:r>
      <w:r>
        <w:rPr>
          <w:rStyle w:val="Fontdeparagrafimplicit"/>
          <w:b/>
          <w:i/>
        </w:rPr>
        <w:t xml:space="preserve"> de a face.</w:t>
      </w:r>
    </w:p>
    <w:p w:rsidR="00F57B07" w14:paraId="206FF297" w14:textId="05C3E912">
      <w:pPr>
        <w:tabs>
          <w:tab w:val="left" w:pos="0"/>
        </w:tabs>
        <w:ind w:firstLine="709"/>
        <w:jc w:val="both"/>
      </w:pPr>
      <w:r>
        <w:t xml:space="preserve">Dezbaterile în cauză au avut loc în </w:t>
      </w:r>
      <w:r>
        <w:t>şedinţa</w:t>
      </w:r>
      <w:r>
        <w:t xml:space="preserve"> publică din .........</w:t>
      </w:r>
      <w:r>
        <w:t xml:space="preserve">2018, fiind consemnate în încheierea de </w:t>
      </w:r>
      <w:r>
        <w:t>şedinţă</w:t>
      </w:r>
      <w:r>
        <w:t xml:space="preserve"> de la acea dată, care face parte integrantă din prezenta decizie când Curtea, având nevoie de timp pentru a delibera, a amânat </w:t>
      </w:r>
      <w:r>
        <w:t>pronunţarea</w:t>
      </w:r>
      <w:r>
        <w:t xml:space="preserve"> pentru data de .........</w:t>
      </w:r>
      <w:r>
        <w:t xml:space="preserve">2018, când, în </w:t>
      </w:r>
      <w:r>
        <w:t>aceeaşi</w:t>
      </w:r>
      <w:r>
        <w:t xml:space="preserve"> compunere, a </w:t>
      </w:r>
      <w:r>
        <w:t>pronunţat</w:t>
      </w:r>
      <w:r>
        <w:t xml:space="preserve"> următoarele:</w:t>
      </w:r>
    </w:p>
    <w:p w:rsidR="00F57B07" w14:paraId="01BA4C59" w14:textId="77777777">
      <w:pPr>
        <w:ind w:firstLine="709"/>
        <w:jc w:val="both"/>
      </w:pPr>
    </w:p>
    <w:p w:rsidR="00F57B07" w14:paraId="630F9C5D" w14:textId="77777777">
      <w:pPr>
        <w:ind w:firstLine="709"/>
        <w:jc w:val="center"/>
        <w:rPr>
          <w:rStyle w:val="Fontdeparagrafimplicit"/>
          <w:b/>
        </w:rPr>
      </w:pPr>
      <w:r>
        <w:rPr>
          <w:rStyle w:val="Fontdeparagrafimplicit"/>
          <w:b/>
        </w:rPr>
        <w:t xml:space="preserve">CURTEA, </w:t>
      </w:r>
    </w:p>
    <w:p w:rsidR="00F57B07" w14:paraId="68EE982B" w14:textId="77777777">
      <w:pPr>
        <w:ind w:firstLine="709"/>
        <w:jc w:val="center"/>
        <w:rPr>
          <w:rStyle w:val="Fontdeparagrafimplicit"/>
          <w:b/>
        </w:rPr>
      </w:pPr>
    </w:p>
    <w:p w:rsidR="00F57B07" w14:paraId="2450882F" w14:textId="77777777">
      <w:pPr>
        <w:ind w:firstLine="709"/>
        <w:jc w:val="both"/>
        <w:rPr>
          <w:rStyle w:val="Fontdeparagrafimplicit"/>
          <w:color w:val="000000"/>
        </w:rPr>
      </w:pPr>
      <w:r>
        <w:rPr>
          <w:rStyle w:val="Fontdeparagrafimplicit"/>
          <w:color w:val="000000"/>
        </w:rPr>
        <w:t xml:space="preserve">Deliberând asupra recursului de </w:t>
      </w:r>
      <w:r>
        <w:rPr>
          <w:rStyle w:val="Fontdeparagrafimplicit"/>
          <w:color w:val="000000"/>
        </w:rPr>
        <w:t>faţă</w:t>
      </w:r>
      <w:r>
        <w:rPr>
          <w:rStyle w:val="Fontdeparagrafimplicit"/>
          <w:color w:val="000000"/>
        </w:rPr>
        <w:t xml:space="preserve">, </w:t>
      </w:r>
      <w:r>
        <w:rPr>
          <w:rStyle w:val="Fontdeparagrafimplicit"/>
          <w:color w:val="000000"/>
        </w:rPr>
        <w:t>reţine</w:t>
      </w:r>
      <w:r>
        <w:rPr>
          <w:rStyle w:val="Fontdeparagrafimplicit"/>
          <w:color w:val="000000"/>
        </w:rPr>
        <w:t xml:space="preserve"> următoarele:</w:t>
      </w:r>
    </w:p>
    <w:p w:rsidR="00F57B07" w14:paraId="40852F64" w14:textId="77777777">
      <w:pPr>
        <w:ind w:firstLine="709"/>
        <w:jc w:val="both"/>
        <w:rPr>
          <w:rStyle w:val="Fontdeparagrafimplicit"/>
          <w:b/>
          <w:color w:val="000000"/>
        </w:rPr>
      </w:pPr>
      <w:r>
        <w:rPr>
          <w:rStyle w:val="Fontdeparagrafimplicit"/>
          <w:b/>
          <w:color w:val="000000"/>
        </w:rPr>
        <w:t xml:space="preserve">1. Hotărârea </w:t>
      </w:r>
      <w:r>
        <w:rPr>
          <w:rStyle w:val="Fontdeparagrafimplicit"/>
          <w:b/>
          <w:color w:val="000000"/>
        </w:rPr>
        <w:t>instanţei</w:t>
      </w:r>
      <w:r>
        <w:rPr>
          <w:rStyle w:val="Fontdeparagrafimplicit"/>
          <w:b/>
          <w:color w:val="000000"/>
        </w:rPr>
        <w:t xml:space="preserve"> de fond</w:t>
      </w:r>
    </w:p>
    <w:p w:rsidR="00F57B07" w14:paraId="5077F1A2" w14:textId="31F9E139">
      <w:pPr>
        <w:tabs>
          <w:tab w:val="left" w:pos="-3420"/>
        </w:tabs>
        <w:ind w:firstLine="709"/>
        <w:jc w:val="both"/>
      </w:pPr>
      <w:r>
        <w:t xml:space="preserve">Prin </w:t>
      </w:r>
      <w:r>
        <w:t>sentinţa</w:t>
      </w:r>
      <w:r>
        <w:t xml:space="preserve"> civilă nr. SC1/</w:t>
      </w:r>
      <w:r>
        <w:t>.2015, Tribunalul ..........................</w:t>
      </w:r>
      <w:r>
        <w:t xml:space="preserve"> - </w:t>
      </w:r>
      <w:r>
        <w:t>Secţia</w:t>
      </w:r>
      <w:r>
        <w:t xml:space="preserve"> a .........</w:t>
      </w:r>
      <w:r>
        <w:t xml:space="preserve">Contencios Administrativ </w:t>
      </w:r>
      <w:r>
        <w:t>şi</w:t>
      </w:r>
      <w:r>
        <w:t xml:space="preserve"> Fiscal a respins </w:t>
      </w:r>
      <w:r>
        <w:t>acţiunea</w:t>
      </w:r>
      <w:r>
        <w:t xml:space="preserve"> formulată de </w:t>
      </w:r>
      <w:r>
        <w:t>reclamanţii</w:t>
      </w:r>
      <w:r>
        <w:t xml:space="preserve"> UEL....</w:t>
      </w:r>
      <w:r>
        <w:t>şi</w:t>
      </w:r>
      <w:r>
        <w:t xml:space="preserve"> NIA.....</w:t>
      </w:r>
      <w:r>
        <w:t xml:space="preserve">, în contradictoriu cu </w:t>
      </w:r>
      <w:r>
        <w:t>pârâţii</w:t>
      </w:r>
      <w:r>
        <w:t xml:space="preserve"> Municipiul ..........................</w:t>
      </w:r>
      <w:r>
        <w:t xml:space="preserve"> prin Primar .........</w:t>
      </w:r>
      <w:r>
        <w:t xml:space="preserve"> </w:t>
      </w:r>
      <w:r>
        <w:t>şi</w:t>
      </w:r>
      <w:r>
        <w:t xml:space="preserve"> Consiliul .........</w:t>
      </w:r>
      <w:r>
        <w:t xml:space="preserve"> al Municipiului ..........................</w:t>
      </w:r>
      <w:r>
        <w:t xml:space="preserve"> – </w:t>
      </w:r>
      <w:r>
        <w:t>Administraţia</w:t>
      </w:r>
      <w:r>
        <w:t xml:space="preserve"> Cimitirelor </w:t>
      </w:r>
      <w:r>
        <w:t>şi</w:t>
      </w:r>
      <w:r>
        <w:t xml:space="preserve"> Crematoriilor Umane, ca neîntemeiată. </w:t>
      </w:r>
    </w:p>
    <w:p w:rsidR="00F57B07" w14:paraId="247DB9AE" w14:textId="34C8F825">
      <w:pPr>
        <w:tabs>
          <w:tab w:val="left" w:pos="-3420"/>
        </w:tabs>
        <w:ind w:firstLine="709"/>
        <w:jc w:val="both"/>
        <w:rPr>
          <w:rStyle w:val="Fontdeparagrafimplicit"/>
        </w:rPr>
      </w:pPr>
      <w:r>
        <w:rPr>
          <w:rStyle w:val="Fontdeparagrafimplicit"/>
          <w:b/>
          <w:color w:val="000000"/>
        </w:rPr>
        <w:t>2. Recursul formulat de reclamantul UIN...</w:t>
      </w:r>
      <w:r>
        <w:rPr>
          <w:rStyle w:val="Fontdeparagrafimplicit"/>
          <w:b/>
          <w:color w:val="000000"/>
        </w:rPr>
        <w:t>,</w:t>
      </w:r>
      <w:r>
        <w:rPr>
          <w:rStyle w:val="Fontdeparagrafimplicit"/>
          <w:rFonts w:ascii="Calibri" w:hAnsi="Calibri"/>
          <w:sz w:val="22"/>
        </w:rPr>
        <w:t xml:space="preserve"> </w:t>
      </w:r>
      <w:r>
        <w:rPr>
          <w:rStyle w:val="Fontdeparagrafimplicit"/>
          <w:b/>
          <w:color w:val="000000"/>
        </w:rPr>
        <w:t>moştenitor</w:t>
      </w:r>
      <w:r>
        <w:rPr>
          <w:rStyle w:val="Fontdeparagrafimplicit"/>
          <w:b/>
          <w:color w:val="000000"/>
        </w:rPr>
        <w:t xml:space="preserve"> al lui UEL....</w:t>
      </w:r>
      <w:r>
        <w:rPr>
          <w:rStyle w:val="Fontdeparagrafimplicit"/>
          <w:b/>
          <w:color w:val="000000"/>
        </w:rPr>
        <w:t>şi</w:t>
      </w:r>
      <w:r>
        <w:rPr>
          <w:rStyle w:val="Fontdeparagrafimplicit"/>
          <w:b/>
          <w:color w:val="000000"/>
        </w:rPr>
        <w:t xml:space="preserve"> NIA.....</w:t>
      </w:r>
    </w:p>
    <w:p w:rsidR="00F57B07" w14:paraId="06491C49" w14:textId="76529450">
      <w:pPr>
        <w:tabs>
          <w:tab w:val="left" w:pos="-3420"/>
        </w:tabs>
        <w:ind w:firstLine="709"/>
        <w:jc w:val="both"/>
        <w:rPr>
          <w:rStyle w:val="Fontdeparagrafimplicit"/>
          <w:color w:val="000000"/>
        </w:rPr>
      </w:pPr>
      <w:r>
        <w:rPr>
          <w:rStyle w:val="Fontdeparagrafimplicit"/>
          <w:color w:val="000000"/>
          <w:shd w:val="clear" w:color="auto" w:fill="FFFFFF"/>
        </w:rPr>
        <w:t xml:space="preserve">Împotriva acestei </w:t>
      </w:r>
      <w:r>
        <w:rPr>
          <w:rStyle w:val="Fontdeparagrafimplicit"/>
          <w:color w:val="000000"/>
          <w:shd w:val="clear" w:color="auto" w:fill="FFFFFF"/>
        </w:rPr>
        <w:t>sentinţe</w:t>
      </w:r>
      <w:r>
        <w:rPr>
          <w:rStyle w:val="Fontdeparagrafimplicit"/>
          <w:color w:val="000000"/>
          <w:shd w:val="clear" w:color="auto" w:fill="FFFFFF"/>
        </w:rPr>
        <w:t xml:space="preserve"> a declarat recurs </w:t>
      </w:r>
      <w:r>
        <w:rPr>
          <w:rStyle w:val="Fontdeparagrafimplicit"/>
          <w:color w:val="000000"/>
        </w:rPr>
        <w:t>recurentul UIN...</w:t>
      </w:r>
      <w:r>
        <w:rPr>
          <w:rStyle w:val="Fontdeparagrafimplicit"/>
          <w:color w:val="000000"/>
        </w:rPr>
        <w:t xml:space="preserve">, unic </w:t>
      </w:r>
      <w:r>
        <w:rPr>
          <w:rStyle w:val="Fontdeparagrafimplicit"/>
          <w:color w:val="000000"/>
        </w:rPr>
        <w:t>moştenitor</w:t>
      </w:r>
      <w:r>
        <w:rPr>
          <w:rStyle w:val="Fontdeparagrafimplicit"/>
          <w:color w:val="000000"/>
        </w:rPr>
        <w:t xml:space="preserve"> al lui UEL....</w:t>
      </w:r>
      <w:r>
        <w:rPr>
          <w:rStyle w:val="Fontdeparagrafimplicit"/>
          <w:color w:val="000000"/>
        </w:rPr>
        <w:t>şi</w:t>
      </w:r>
      <w:r>
        <w:rPr>
          <w:rStyle w:val="Fontdeparagrafimplicit"/>
          <w:color w:val="000000"/>
        </w:rPr>
        <w:t xml:space="preserve"> NIA.....</w:t>
      </w:r>
      <w:r>
        <w:rPr>
          <w:rStyle w:val="Fontdeparagrafimplicit"/>
          <w:color w:val="000000"/>
        </w:rPr>
        <w:t xml:space="preserve">, solicitând admiterea recursului si modificarea </w:t>
      </w:r>
      <w:r>
        <w:rPr>
          <w:rStyle w:val="Fontdeparagrafimplicit"/>
          <w:color w:val="000000"/>
        </w:rPr>
        <w:t>sentinţei</w:t>
      </w:r>
      <w:r>
        <w:rPr>
          <w:rStyle w:val="Fontdeparagrafimplicit"/>
          <w:color w:val="000000"/>
        </w:rPr>
        <w:t xml:space="preserve"> </w:t>
      </w:r>
      <w:r>
        <w:rPr>
          <w:rStyle w:val="Fontdeparagrafimplicit"/>
          <w:color w:val="000000"/>
        </w:rPr>
        <w:t>recurate</w:t>
      </w:r>
      <w:r>
        <w:rPr>
          <w:rStyle w:val="Fontdeparagrafimplicit"/>
          <w:color w:val="000000"/>
        </w:rPr>
        <w:t xml:space="preserve">, in sensul admiterii </w:t>
      </w:r>
      <w:r>
        <w:rPr>
          <w:rStyle w:val="Fontdeparagrafimplicit"/>
          <w:color w:val="000000"/>
        </w:rPr>
        <w:t>acţiunii</w:t>
      </w:r>
      <w:r>
        <w:rPr>
          <w:rStyle w:val="Fontdeparagrafimplicit"/>
          <w:color w:val="000000"/>
        </w:rPr>
        <w:t xml:space="preserve"> si obligarea paratelor la încheierea unui contract de concesiune care sa cuprindă monumentul funerar construit in figura 11, locurile nr. 140 si 141 Cimitirul X....</w:t>
      </w:r>
      <w:r>
        <w:rPr>
          <w:rStyle w:val="Fontdeparagrafimplicit"/>
          <w:color w:val="000000"/>
        </w:rPr>
        <w:t>, cu obligarea intimatelor la plata tuturor cheltuielilor de judecata ocazionate de prezentul litigiu.</w:t>
      </w:r>
    </w:p>
    <w:p w:rsidR="00F57B07" w14:paraId="3DCEC85A" w14:textId="77777777">
      <w:pPr>
        <w:ind w:firstLine="709"/>
        <w:jc w:val="both"/>
        <w:rPr>
          <w:rStyle w:val="Fontdeparagrafimplicit"/>
          <w:color w:val="000000"/>
        </w:rPr>
      </w:pPr>
      <w:r>
        <w:rPr>
          <w:rStyle w:val="Fontdeparagrafimplicit"/>
          <w:color w:val="000000"/>
        </w:rPr>
        <w:t xml:space="preserve">În motivarea cererii, se arată, în </w:t>
      </w:r>
      <w:r>
        <w:rPr>
          <w:rStyle w:val="Fontdeparagrafimplicit"/>
          <w:color w:val="000000"/>
        </w:rPr>
        <w:t>esenţă</w:t>
      </w:r>
      <w:r>
        <w:rPr>
          <w:rStyle w:val="Fontdeparagrafimplicit"/>
          <w:color w:val="000000"/>
        </w:rPr>
        <w:t>, că</w:t>
      </w:r>
      <w:r>
        <w:rPr>
          <w:rStyle w:val="Fontdeparagrafimplicit"/>
          <w:rFonts w:ascii="Calibri" w:hAnsi="Calibri"/>
          <w:sz w:val="22"/>
        </w:rPr>
        <w:t xml:space="preserve"> </w:t>
      </w:r>
      <w:r>
        <w:rPr>
          <w:rStyle w:val="Fontdeparagrafimplicit"/>
          <w:color w:val="000000"/>
        </w:rPr>
        <w:t>instanţa</w:t>
      </w:r>
      <w:r>
        <w:rPr>
          <w:rStyle w:val="Fontdeparagrafimplicit"/>
          <w:color w:val="000000"/>
        </w:rPr>
        <w:t xml:space="preserve"> de fond a </w:t>
      </w:r>
      <w:r>
        <w:rPr>
          <w:rStyle w:val="Fontdeparagrafimplicit"/>
          <w:color w:val="000000"/>
        </w:rPr>
        <w:t>pronunţat</w:t>
      </w:r>
      <w:r>
        <w:rPr>
          <w:rStyle w:val="Fontdeparagrafimplicit"/>
          <w:color w:val="000000"/>
        </w:rPr>
        <w:t xml:space="preserve"> in mod eronat hotărârea judecătoreasca, </w:t>
      </w:r>
      <w:r>
        <w:rPr>
          <w:rStyle w:val="Fontdeparagrafimplicit"/>
          <w:color w:val="000000"/>
        </w:rPr>
        <w:t>reclamanţii</w:t>
      </w:r>
      <w:r>
        <w:rPr>
          <w:rStyle w:val="Fontdeparagrafimplicit"/>
          <w:color w:val="000000"/>
        </w:rPr>
        <w:t xml:space="preserve"> aflându-se in fata unui refuz nejustificat al </w:t>
      </w:r>
      <w:r>
        <w:rPr>
          <w:rStyle w:val="Fontdeparagrafimplicit"/>
          <w:color w:val="000000"/>
        </w:rPr>
        <w:t>paraţilor</w:t>
      </w:r>
      <w:r>
        <w:rPr>
          <w:rStyle w:val="Fontdeparagrafimplicit"/>
          <w:color w:val="000000"/>
        </w:rPr>
        <w:t xml:space="preserve"> de încheiere a unui contract de concesiune, </w:t>
      </w:r>
      <w:r>
        <w:rPr>
          <w:rStyle w:val="Fontdeparagrafimplicit"/>
          <w:color w:val="000000"/>
        </w:rPr>
        <w:t>faţă</w:t>
      </w:r>
      <w:r>
        <w:rPr>
          <w:rStyle w:val="Fontdeparagrafimplicit"/>
          <w:color w:val="000000"/>
        </w:rPr>
        <w:t xml:space="preserve"> de nesocotirea </w:t>
      </w:r>
      <w:r>
        <w:rPr>
          <w:rStyle w:val="Fontdeparagrafimplicit"/>
          <w:color w:val="000000"/>
        </w:rPr>
        <w:t>dispoziţiilor</w:t>
      </w:r>
      <w:r>
        <w:rPr>
          <w:rStyle w:val="Fontdeparagrafimplicit"/>
          <w:color w:val="000000"/>
        </w:rPr>
        <w:t xml:space="preserve"> legale </w:t>
      </w:r>
      <w:r>
        <w:rPr>
          <w:rStyle w:val="Fontdeparagrafimplicit"/>
          <w:color w:val="000000"/>
        </w:rPr>
        <w:t>menţionate</w:t>
      </w:r>
      <w:r>
        <w:rPr>
          <w:rStyle w:val="Fontdeparagrafimplicit"/>
          <w:color w:val="000000"/>
        </w:rPr>
        <w:t xml:space="preserve">, devenind incident motivul de recurs prevăzut la art. 304 alin. 9 </w:t>
      </w:r>
      <w:r>
        <w:t>C.pr.civ</w:t>
      </w:r>
      <w:r>
        <w:t xml:space="preserve">. din 1865 </w:t>
      </w:r>
      <w:r>
        <w:rPr>
          <w:rStyle w:val="Fontdeparagrafimplicit"/>
          <w:color w:val="000000"/>
        </w:rPr>
        <w:t xml:space="preserve">in vigoare la data introducerii </w:t>
      </w:r>
      <w:r>
        <w:rPr>
          <w:rStyle w:val="Fontdeparagrafimplicit"/>
          <w:color w:val="000000"/>
        </w:rPr>
        <w:t>acţiunii</w:t>
      </w:r>
      <w:r>
        <w:rPr>
          <w:rStyle w:val="Fontdeparagrafimplicit"/>
          <w:color w:val="000000"/>
        </w:rPr>
        <w:t xml:space="preserve"> </w:t>
      </w:r>
      <w:r>
        <w:rPr>
          <w:rStyle w:val="Fontdeparagrafimplicit"/>
          <w:color w:val="000000"/>
        </w:rPr>
        <w:t>şi</w:t>
      </w:r>
      <w:r>
        <w:rPr>
          <w:rStyle w:val="Fontdeparagrafimplicit"/>
          <w:color w:val="000000"/>
        </w:rPr>
        <w:t>,</w:t>
      </w:r>
      <w:r>
        <w:rPr>
          <w:rStyle w:val="Fontdeparagrafimplicit"/>
          <w:rFonts w:ascii="Calibri" w:hAnsi="Calibri"/>
          <w:sz w:val="22"/>
        </w:rPr>
        <w:t xml:space="preserve"> </w:t>
      </w:r>
      <w:r>
        <w:rPr>
          <w:rStyle w:val="Fontdeparagrafimplicit"/>
          <w:color w:val="000000"/>
        </w:rPr>
        <w:t xml:space="preserve">făcând corecta aplicare a </w:t>
      </w:r>
      <w:r>
        <w:rPr>
          <w:rStyle w:val="Fontdeparagrafimplicit"/>
          <w:color w:val="000000"/>
        </w:rPr>
        <w:t>dispoziţiilor</w:t>
      </w:r>
      <w:r>
        <w:rPr>
          <w:rStyle w:val="Fontdeparagrafimplicit"/>
          <w:color w:val="000000"/>
        </w:rPr>
        <w:t xml:space="preserve"> legale incidente, sa se dispună, in baza art. 312 alin. 1, 2 si 3 </w:t>
      </w:r>
      <w:r>
        <w:t>C.pr.civ</w:t>
      </w:r>
      <w:r>
        <w:t>. din 1865</w:t>
      </w:r>
      <w:r>
        <w:rPr>
          <w:rStyle w:val="Fontdeparagrafimplicit"/>
          <w:color w:val="000000"/>
        </w:rPr>
        <w:t>, in conformit</w:t>
      </w:r>
      <w:r>
        <w:rPr>
          <w:rStyle w:val="Fontdeparagrafimplicit"/>
          <w:color w:val="000000"/>
        </w:rPr>
        <w:t xml:space="preserve">ate cu </w:t>
      </w:r>
      <w:r>
        <w:rPr>
          <w:rStyle w:val="Fontdeparagrafimplicit"/>
          <w:color w:val="000000"/>
        </w:rPr>
        <w:t>petitul</w:t>
      </w:r>
      <w:r>
        <w:rPr>
          <w:rStyle w:val="Fontdeparagrafimplicit"/>
          <w:color w:val="000000"/>
        </w:rPr>
        <w:t xml:space="preserve"> recursului promovat.</w:t>
      </w:r>
    </w:p>
    <w:p w:rsidR="00F57B07" w14:paraId="40E90880" w14:textId="77777777">
      <w:pPr>
        <w:ind w:firstLine="709"/>
        <w:jc w:val="both"/>
      </w:pPr>
      <w:r>
        <w:rPr>
          <w:rStyle w:val="Fontdeparagrafimplicit"/>
          <w:color w:val="000000"/>
        </w:rPr>
        <w:t xml:space="preserve">În drept, au fost invocate </w:t>
      </w:r>
      <w:r>
        <w:t>dispoziţiile</w:t>
      </w:r>
      <w:r>
        <w:t xml:space="preserve"> art. 304 alin. 9, art. 304</w:t>
      </w:r>
      <w:r>
        <w:rPr>
          <w:rStyle w:val="Fontdeparagrafimplicit"/>
          <w:vertAlign w:val="superscript"/>
        </w:rPr>
        <w:t>1</w:t>
      </w:r>
      <w:r>
        <w:t xml:space="preserve">, art. 312 </w:t>
      </w:r>
      <w:r>
        <w:t>C.pr.civ</w:t>
      </w:r>
      <w:r>
        <w:t xml:space="preserve">. din 1865. </w:t>
      </w:r>
    </w:p>
    <w:p w:rsidR="00F57B07" w14:paraId="46F7EE3E" w14:textId="77777777">
      <w:pPr>
        <w:ind w:firstLine="709"/>
        <w:jc w:val="both"/>
        <w:rPr>
          <w:rStyle w:val="Fontdeparagrafimplicit"/>
          <w:b/>
          <w:color w:val="000000"/>
        </w:rPr>
      </w:pPr>
      <w:r>
        <w:rPr>
          <w:rStyle w:val="Fontdeparagrafimplicit"/>
          <w:b/>
          <w:color w:val="000000"/>
        </w:rPr>
        <w:t xml:space="preserve">3. </w:t>
      </w:r>
      <w:r>
        <w:rPr>
          <w:rStyle w:val="Fontdeparagrafimplicit"/>
          <w:b/>
          <w:color w:val="000000"/>
        </w:rPr>
        <w:t>Poziţia</w:t>
      </w:r>
      <w:r>
        <w:rPr>
          <w:rStyle w:val="Fontdeparagrafimplicit"/>
          <w:b/>
          <w:color w:val="000000"/>
        </w:rPr>
        <w:t xml:space="preserve"> procesuală a </w:t>
      </w:r>
      <w:r>
        <w:rPr>
          <w:rStyle w:val="Fontdeparagrafimplicit"/>
          <w:b/>
          <w:color w:val="000000"/>
        </w:rPr>
        <w:t>intimaţilor</w:t>
      </w:r>
      <w:r>
        <w:rPr>
          <w:rStyle w:val="Fontdeparagrafimplicit"/>
          <w:b/>
          <w:color w:val="000000"/>
        </w:rPr>
        <w:t>-pârâți</w:t>
      </w:r>
    </w:p>
    <w:p w:rsidR="00F57B07" w14:paraId="307B8EE6" w14:textId="1E7A4131">
      <w:pPr>
        <w:ind w:firstLine="709"/>
        <w:jc w:val="both"/>
        <w:rPr>
          <w:rStyle w:val="Fontdeparagrafimplicit"/>
        </w:rPr>
      </w:pPr>
      <w:r>
        <w:rPr>
          <w:rStyle w:val="Fontdeparagrafimplicit"/>
          <w:b/>
          <w:color w:val="000000"/>
        </w:rPr>
        <w:t>3.1.</w:t>
      </w:r>
      <w:r>
        <w:rPr>
          <w:rStyle w:val="Fontdeparagrafimplicit"/>
          <w:color w:val="000000"/>
        </w:rPr>
        <w:t xml:space="preserve"> Intimatul-pârât Consiliul .........</w:t>
      </w:r>
      <w:r>
        <w:rPr>
          <w:rStyle w:val="Fontdeparagrafimplicit"/>
          <w:color w:val="000000"/>
        </w:rPr>
        <w:t xml:space="preserve"> al Municipiului ..........................</w:t>
      </w:r>
      <w:r>
        <w:rPr>
          <w:rStyle w:val="Fontdeparagrafimplicit"/>
          <w:color w:val="000000"/>
        </w:rPr>
        <w:t xml:space="preserve"> - </w:t>
      </w:r>
      <w:r>
        <w:rPr>
          <w:rStyle w:val="Fontdeparagrafimplicit"/>
          <w:color w:val="000000"/>
        </w:rPr>
        <w:t>Administraţia</w:t>
      </w:r>
      <w:r>
        <w:rPr>
          <w:rStyle w:val="Fontdeparagrafimplicit"/>
          <w:color w:val="000000"/>
        </w:rPr>
        <w:t xml:space="preserve"> Cimitirelor </w:t>
      </w:r>
      <w:r>
        <w:rPr>
          <w:rStyle w:val="Fontdeparagrafimplicit"/>
          <w:color w:val="000000"/>
        </w:rPr>
        <w:t>şi</w:t>
      </w:r>
      <w:r>
        <w:rPr>
          <w:rStyle w:val="Fontdeparagrafimplicit"/>
          <w:color w:val="000000"/>
        </w:rPr>
        <w:t xml:space="preserve"> Crematoriilor Umane a formulat întâmpinare, prin care a solicitat respingerea recursului ca fiind nefondat </w:t>
      </w:r>
      <w:r>
        <w:rPr>
          <w:rStyle w:val="Fontdeparagrafimplicit"/>
          <w:color w:val="000000"/>
        </w:rPr>
        <w:t>şi</w:t>
      </w:r>
      <w:r>
        <w:rPr>
          <w:rStyle w:val="Fontdeparagrafimplicit"/>
          <w:color w:val="000000"/>
        </w:rPr>
        <w:t xml:space="preserve"> </w:t>
      </w:r>
      <w:r>
        <w:rPr>
          <w:rStyle w:val="Fontdeparagrafimplicit"/>
          <w:color w:val="000000"/>
        </w:rPr>
        <w:t>menţinerea</w:t>
      </w:r>
      <w:r>
        <w:rPr>
          <w:rStyle w:val="Fontdeparagrafimplicit"/>
          <w:color w:val="000000"/>
        </w:rPr>
        <w:t xml:space="preserve"> întru totul a </w:t>
      </w:r>
      <w:r>
        <w:rPr>
          <w:rStyle w:val="Fontdeparagrafimplicit"/>
          <w:color w:val="000000"/>
        </w:rPr>
        <w:t>sentinţei</w:t>
      </w:r>
      <w:r>
        <w:rPr>
          <w:rStyle w:val="Fontdeparagrafimplicit"/>
          <w:color w:val="000000"/>
        </w:rPr>
        <w:t xml:space="preserve"> civile </w:t>
      </w:r>
      <w:r>
        <w:rPr>
          <w:rStyle w:val="Fontdeparagrafimplicit"/>
          <w:color w:val="000000"/>
        </w:rPr>
        <w:t>recurate</w:t>
      </w:r>
      <w:r>
        <w:rPr>
          <w:rStyle w:val="Fontdeparagrafimplicit"/>
          <w:color w:val="000000"/>
        </w:rPr>
        <w:t>,</w:t>
      </w:r>
      <w:r>
        <w:t xml:space="preserve"> având în </w:t>
      </w:r>
      <w:r>
        <w:t xml:space="preserve">vedere că </w:t>
      </w:r>
      <w:r>
        <w:rPr>
          <w:rStyle w:val="Fontdeparagrafimplicit"/>
          <w:color w:val="000000"/>
        </w:rPr>
        <w:t xml:space="preserve">judecătorul de fond a dat o corectă interpretare normelor de drept aplicabile, </w:t>
      </w:r>
      <w:r>
        <w:rPr>
          <w:rStyle w:val="Fontdeparagrafimplicit"/>
          <w:color w:val="000000"/>
        </w:rPr>
        <w:t>pronunţând</w:t>
      </w:r>
      <w:r>
        <w:rPr>
          <w:rStyle w:val="Fontdeparagrafimplicit"/>
          <w:color w:val="000000"/>
        </w:rPr>
        <w:t xml:space="preserve"> o hotărâre legală </w:t>
      </w:r>
      <w:r>
        <w:rPr>
          <w:rStyle w:val="Fontdeparagrafimplicit"/>
          <w:color w:val="000000"/>
        </w:rPr>
        <w:t>şi</w:t>
      </w:r>
      <w:r>
        <w:rPr>
          <w:rStyle w:val="Fontdeparagrafimplicit"/>
          <w:color w:val="000000"/>
        </w:rPr>
        <w:t xml:space="preserve"> temeinică.</w:t>
      </w:r>
    </w:p>
    <w:p w:rsidR="00F57B07" w14:paraId="0F25E73F" w14:textId="77777777">
      <w:pPr>
        <w:ind w:firstLine="709"/>
        <w:jc w:val="both"/>
        <w:rPr>
          <w:rStyle w:val="Fontdeparagrafimplicit"/>
          <w:color w:val="000000"/>
        </w:rPr>
      </w:pPr>
      <w:r>
        <w:rPr>
          <w:rStyle w:val="Fontdeparagrafimplicit"/>
          <w:color w:val="000000"/>
        </w:rPr>
        <w:t xml:space="preserve">În drept, au fost invocate </w:t>
      </w:r>
      <w:r>
        <w:rPr>
          <w:rStyle w:val="Fontdeparagrafimplicit"/>
          <w:color w:val="000000"/>
        </w:rPr>
        <w:t>dispoziţiile</w:t>
      </w:r>
      <w:r>
        <w:rPr>
          <w:rStyle w:val="Fontdeparagrafimplicit"/>
          <w:color w:val="000000"/>
        </w:rPr>
        <w:t xml:space="preserve"> art. 205 </w:t>
      </w:r>
      <w:r>
        <w:rPr>
          <w:rStyle w:val="Fontdeparagrafimplicit"/>
          <w:color w:val="000000"/>
        </w:rPr>
        <w:t>C.pr.civ</w:t>
      </w:r>
      <w:r>
        <w:rPr>
          <w:rStyle w:val="Fontdeparagrafimplicit"/>
          <w:color w:val="000000"/>
        </w:rPr>
        <w:t>., Legea nr. 554/2004.</w:t>
      </w:r>
    </w:p>
    <w:p w:rsidR="00F57B07" w14:paraId="3C251F9F" w14:textId="1B404EDB">
      <w:pPr>
        <w:ind w:firstLine="709"/>
        <w:jc w:val="both"/>
        <w:rPr>
          <w:rStyle w:val="Fontdeparagrafimplicit"/>
          <w:color w:val="000000"/>
        </w:rPr>
      </w:pPr>
      <w:r>
        <w:rPr>
          <w:rStyle w:val="Fontdeparagrafimplicit"/>
          <w:b/>
          <w:color w:val="000000"/>
        </w:rPr>
        <w:t>3.2.</w:t>
      </w:r>
      <w:r>
        <w:rPr>
          <w:rStyle w:val="Fontdeparagrafimplicit"/>
          <w:color w:val="000000"/>
        </w:rPr>
        <w:t xml:space="preserve"> Intimatul-pârât Municipiul ..........................</w:t>
      </w:r>
      <w:r>
        <w:rPr>
          <w:rStyle w:val="Fontdeparagrafimplicit"/>
          <w:color w:val="000000"/>
        </w:rPr>
        <w:t xml:space="preserve"> prin Primar .........</w:t>
      </w:r>
      <w:r>
        <w:rPr>
          <w:rStyle w:val="Fontdeparagrafimplicit"/>
          <w:color w:val="000000"/>
        </w:rPr>
        <w:t>, legal citat, nu a formulat întâmpinare.</w:t>
      </w:r>
    </w:p>
    <w:p w:rsidR="00F57B07" w14:paraId="773AF864" w14:textId="77777777">
      <w:pPr>
        <w:ind w:firstLine="709"/>
        <w:jc w:val="both"/>
        <w:rPr>
          <w:rStyle w:val="Fontdeparagrafimplicit"/>
          <w:color w:val="000000"/>
        </w:rPr>
      </w:pPr>
      <w:r>
        <w:rPr>
          <w:rStyle w:val="Fontdeparagrafimplicit"/>
          <w:b/>
          <w:color w:val="000000"/>
        </w:rPr>
        <w:t xml:space="preserve">4. Aspecte procesuale </w:t>
      </w:r>
    </w:p>
    <w:p w:rsidR="00F57B07" w14:paraId="2C58082B" w14:textId="77777777">
      <w:pPr>
        <w:ind w:firstLine="709"/>
        <w:jc w:val="both"/>
        <w:rPr>
          <w:rStyle w:val="Fontdeparagrafimplicit"/>
          <w:color w:val="000000"/>
        </w:rPr>
      </w:pPr>
      <w:r>
        <w:rPr>
          <w:rStyle w:val="Fontdeparagrafimplicit"/>
          <w:color w:val="000000"/>
        </w:rPr>
        <w:t xml:space="preserve">În </w:t>
      </w:r>
      <w:r>
        <w:rPr>
          <w:rStyle w:val="Fontdeparagrafimplicit"/>
          <w:color w:val="000000"/>
        </w:rPr>
        <w:t>faţa</w:t>
      </w:r>
      <w:r>
        <w:rPr>
          <w:rStyle w:val="Fontdeparagrafimplicit"/>
          <w:color w:val="000000"/>
        </w:rPr>
        <w:t xml:space="preserve"> </w:t>
      </w:r>
      <w:r>
        <w:rPr>
          <w:rStyle w:val="Fontdeparagrafimplicit"/>
          <w:color w:val="000000"/>
        </w:rPr>
        <w:t>instanţei</w:t>
      </w:r>
      <w:r>
        <w:rPr>
          <w:rStyle w:val="Fontdeparagrafimplicit"/>
          <w:color w:val="000000"/>
        </w:rPr>
        <w:t xml:space="preserve"> de recurs nu au fost administrate probe noi.</w:t>
      </w:r>
    </w:p>
    <w:p w:rsidR="00F57B07" w14:paraId="483E2C91" w14:textId="77777777">
      <w:pPr>
        <w:ind w:firstLine="709"/>
        <w:jc w:val="both"/>
        <w:rPr>
          <w:rStyle w:val="Fontdeparagrafimplicit"/>
          <w:b/>
          <w:color w:val="000000"/>
        </w:rPr>
      </w:pPr>
      <w:r>
        <w:rPr>
          <w:rStyle w:val="Fontdeparagrafimplicit"/>
          <w:b/>
          <w:color w:val="000000"/>
        </w:rPr>
        <w:t>5. Asupra cererii de recurs</w:t>
      </w:r>
    </w:p>
    <w:p w:rsidR="00F57B07" w14:paraId="14409371" w14:textId="77777777">
      <w:pPr>
        <w:tabs>
          <w:tab w:val="left" w:pos="0"/>
          <w:tab w:val="left" w:pos="6360"/>
        </w:tabs>
        <w:ind w:firstLine="709"/>
        <w:jc w:val="both"/>
      </w:pPr>
      <w:r>
        <w:t xml:space="preserve">Analizând recursul prin prisma criticilor formulate </w:t>
      </w:r>
      <w:r>
        <w:t>şi</w:t>
      </w:r>
      <w:r>
        <w:t xml:space="preserve"> în conformitate cu </w:t>
      </w:r>
      <w:r>
        <w:t>dispoziţiile</w:t>
      </w:r>
      <w:r>
        <w:t xml:space="preserve"> art. 304</w:t>
      </w:r>
      <w:r>
        <w:rPr>
          <w:rStyle w:val="Fontdeparagrafimplicit"/>
          <w:vertAlign w:val="superscript"/>
        </w:rPr>
        <w:t>1</w:t>
      </w:r>
      <w:r>
        <w:t xml:space="preserve"> </w:t>
      </w:r>
      <w:r>
        <w:t>C.pr.civ</w:t>
      </w:r>
      <w:r>
        <w:t>. din 1865, Curtea a constatat că acesta este nefondat, fiind respins pentru următoarele considerente:</w:t>
      </w:r>
    </w:p>
    <w:p w:rsidR="00F57B07" w14:paraId="0C650496" w14:textId="00795A13">
      <w:pPr>
        <w:ind w:firstLine="709"/>
        <w:jc w:val="both"/>
      </w:pPr>
      <w:r>
        <w:rPr>
          <w:rStyle w:val="Fontdeparagrafimplicit"/>
          <w:b/>
        </w:rPr>
        <w:t xml:space="preserve">5.1. </w:t>
      </w:r>
      <w:r>
        <w:t xml:space="preserve">Conform </w:t>
      </w:r>
      <w:r>
        <w:t>situaţiei</w:t>
      </w:r>
      <w:r>
        <w:t xml:space="preserve"> de fapt rezultate din probele administrate în cauză, prin cererea înregistrată sub nr. ..............</w:t>
      </w:r>
      <w:r>
        <w:t xml:space="preserve">19.08.2011 la </w:t>
      </w:r>
      <w:r>
        <w:t>Administraţia</w:t>
      </w:r>
      <w:r>
        <w:t xml:space="preserve"> Cimitirelor </w:t>
      </w:r>
      <w:r>
        <w:t>şi</w:t>
      </w:r>
      <w:r>
        <w:t xml:space="preserve"> Crematoriilor Umane, </w:t>
      </w:r>
      <w:r>
        <w:t>reclamanţii</w:t>
      </w:r>
      <w:r>
        <w:t xml:space="preserve"> au solicitat pârâtei să furnizeze date concrete referitoare la locurile 141 </w:t>
      </w:r>
      <w:r>
        <w:t>şi</w:t>
      </w:r>
      <w:r>
        <w:t xml:space="preserve"> 142, figura 11 din Cimitirul X....</w:t>
      </w:r>
      <w:r>
        <w:t xml:space="preserve">, respectiv o copie a actului de </w:t>
      </w:r>
      <w:r>
        <w:t>donaţie</w:t>
      </w:r>
      <w:r>
        <w:t xml:space="preserve"> încheiat între familia FAM Y</w:t>
      </w:r>
      <w:r>
        <w:t xml:space="preserve"> </w:t>
      </w:r>
      <w:r>
        <w:t>şi</w:t>
      </w:r>
      <w:r>
        <w:t xml:space="preserve"> Statul Român, precum </w:t>
      </w:r>
      <w:r>
        <w:t>şi</w:t>
      </w:r>
      <w:r>
        <w:t xml:space="preserve"> actul de concesiune în care să fie cuprins monumentul funerar pe </w:t>
      </w:r>
      <w:r>
        <w:t>suprafaţa</w:t>
      </w:r>
      <w:r>
        <w:t xml:space="preserve"> rămasă liberă în figura nr. 141, 142, act de concesiune numai pe monumentul funerar ce </w:t>
      </w:r>
      <w:r>
        <w:t>aparţine</w:t>
      </w:r>
      <w:r>
        <w:t xml:space="preserve"> </w:t>
      </w:r>
      <w:r>
        <w:t>moştenitorilor</w:t>
      </w:r>
      <w:r>
        <w:t xml:space="preserve"> UEL....</w:t>
      </w:r>
      <w:r>
        <w:t>şi</w:t>
      </w:r>
      <w:r>
        <w:t xml:space="preserve"> NLA...</w:t>
      </w:r>
      <w:r>
        <w:t>.</w:t>
      </w:r>
    </w:p>
    <w:p w:rsidR="00F57B07" w14:paraId="1A6D9A41" w14:textId="6B004E71">
      <w:pPr>
        <w:ind w:firstLine="709"/>
        <w:jc w:val="both"/>
      </w:pPr>
      <w:r>
        <w:t>Prin adresa nr. A1/</w:t>
      </w:r>
      <w:r>
        <w:t xml:space="preserve">25.11.2011, pârâta le-a comunicat </w:t>
      </w:r>
      <w:r>
        <w:t>reclamanţilor</w:t>
      </w:r>
      <w:r>
        <w:t xml:space="preserve"> că, în 29.06.2011, </w:t>
      </w:r>
      <w:r>
        <w:t>aceştia</w:t>
      </w:r>
      <w:r>
        <w:t xml:space="preserve"> au primit copii după toate cele 292 de pagini ale dosarului locului 40, 140, 141-142 </w:t>
      </w:r>
      <w:r>
        <w:t>deţinut</w:t>
      </w:r>
      <w:r>
        <w:t xml:space="preserve"> de </w:t>
      </w:r>
      <w:r>
        <w:t>administraţie</w:t>
      </w:r>
      <w:r>
        <w:t xml:space="preserve"> în original, furnizând totodată motivele pentru care nu se poate răspunde favorabil solicitării acestora, respectiv împrejurarea că transmiterea dreptului de concesiune către numita UIA.....</w:t>
      </w:r>
      <w:r>
        <w:t>s-a efectuat în mod legal în baza Hotărârii Tribunalului .................</w:t>
      </w:r>
      <w:r>
        <w:t>nr. HT1/</w:t>
      </w:r>
      <w:r>
        <w:t xml:space="preserve">1942, </w:t>
      </w:r>
      <w:r>
        <w:t>soţia</w:t>
      </w:r>
      <w:r>
        <w:t xml:space="preserve"> defunctului TCU...</w:t>
      </w:r>
      <w:r>
        <w:t xml:space="preserve">fiind recunoscută ca unică </w:t>
      </w:r>
      <w:r>
        <w:t>moştenitoare</w:t>
      </w:r>
      <w:r>
        <w:t xml:space="preserve">, conform hotărârii </w:t>
      </w:r>
      <w:r>
        <w:t>menţionate</w:t>
      </w:r>
      <w:r>
        <w:t xml:space="preserve"> neexistând </w:t>
      </w:r>
      <w:r>
        <w:t>ascendenţi</w:t>
      </w:r>
      <w:r>
        <w:t xml:space="preserve">, </w:t>
      </w:r>
      <w:r>
        <w:t>descendenţi</w:t>
      </w:r>
      <w:r>
        <w:t xml:space="preserve"> </w:t>
      </w:r>
      <w:r>
        <w:t>şi</w:t>
      </w:r>
      <w:r>
        <w:t xml:space="preserve"> colaterali. Totodată, s-a </w:t>
      </w:r>
      <w:r>
        <w:t>reţinut</w:t>
      </w:r>
      <w:r>
        <w:t xml:space="preserve"> că actele de </w:t>
      </w:r>
      <w:r>
        <w:t>moştenitor</w:t>
      </w:r>
      <w:r>
        <w:t xml:space="preserve"> prezentate de </w:t>
      </w:r>
      <w:r>
        <w:t>reclamanţi</w:t>
      </w:r>
      <w:r>
        <w:t xml:space="preserve"> demonstrează că </w:t>
      </w:r>
      <w:r>
        <w:t>aceştia</w:t>
      </w:r>
      <w:r>
        <w:t xml:space="preserve"> sunt singurii </w:t>
      </w:r>
      <w:r>
        <w:t>moştenitori</w:t>
      </w:r>
      <w:r>
        <w:t xml:space="preserve"> ai familiei FAM Y</w:t>
      </w:r>
      <w:r>
        <w:t xml:space="preserve">, nu </w:t>
      </w:r>
      <w:r>
        <w:t>şi</w:t>
      </w:r>
      <w:r>
        <w:t xml:space="preserve"> ai defunctului TCU...</w:t>
      </w:r>
      <w:r>
        <w:t>şi</w:t>
      </w:r>
      <w:r>
        <w:t xml:space="preserve"> nu au calitatea de anulare a actului de </w:t>
      </w:r>
      <w:r>
        <w:t>moştenitor</w:t>
      </w:r>
      <w:r>
        <w:t xml:space="preserve"> prezentat de numita ACU...</w:t>
      </w:r>
      <w:r>
        <w:t xml:space="preserve">. Potrivit adresei </w:t>
      </w:r>
      <w:r>
        <w:t>menţionate</w:t>
      </w:r>
      <w:r>
        <w:t xml:space="preserve">, membrii familiei FAM Q </w:t>
      </w:r>
      <w:r>
        <w:t xml:space="preserve">au donat cu bună </w:t>
      </w:r>
      <w:r>
        <w:t>ştiinţă</w:t>
      </w:r>
      <w:r>
        <w:t xml:space="preserve"> mai mult decât aveau legal în concesiune </w:t>
      </w:r>
      <w:r>
        <w:t>şi</w:t>
      </w:r>
      <w:r>
        <w:t xml:space="preserve"> anume 31,50 mp în loc de 21,75 mp, de unde rezultă că </w:t>
      </w:r>
      <w:r>
        <w:t>aceştia</w:t>
      </w:r>
      <w:r>
        <w:t xml:space="preserve"> nu mai </w:t>
      </w:r>
      <w:r>
        <w:t>deţin</w:t>
      </w:r>
      <w:r>
        <w:t xml:space="preserve"> în concesiune teren pe acest loc, iar pentru corectarea actelor de concesiune eliberate incorect </w:t>
      </w:r>
      <w:r>
        <w:t>şi</w:t>
      </w:r>
      <w:r>
        <w:t xml:space="preserve"> </w:t>
      </w:r>
      <w:r>
        <w:t>renunţarea</w:t>
      </w:r>
      <w:r>
        <w:t xml:space="preserve"> asupra dreptului de concesiune asupra celor 9,75 mp </w:t>
      </w:r>
      <w:r>
        <w:t>diferenţă</w:t>
      </w:r>
      <w:r>
        <w:t xml:space="preserve">, </w:t>
      </w:r>
      <w:r>
        <w:t>donaţi</w:t>
      </w:r>
      <w:r>
        <w:t xml:space="preserve"> în mod nelegal, este necesar acordul </w:t>
      </w:r>
      <w:r>
        <w:t>şi</w:t>
      </w:r>
      <w:r>
        <w:t xml:space="preserve"> </w:t>
      </w:r>
      <w:r>
        <w:t>renunţarea</w:t>
      </w:r>
      <w:r>
        <w:t xml:space="preserve"> tuturor celor </w:t>
      </w:r>
      <w:r>
        <w:t>implicaţi</w:t>
      </w:r>
      <w:r>
        <w:t>.</w:t>
      </w:r>
    </w:p>
    <w:p w:rsidR="00F57B07" w14:paraId="79C36615" w14:textId="77777777">
      <w:pPr>
        <w:tabs>
          <w:tab w:val="left" w:pos="0"/>
          <w:tab w:val="left" w:pos="6360"/>
        </w:tabs>
        <w:ind w:firstLine="709"/>
        <w:jc w:val="both"/>
      </w:pPr>
      <w:r>
        <w:rPr>
          <w:rStyle w:val="Fontdeparagrafimplicit"/>
          <w:b/>
        </w:rPr>
        <w:t xml:space="preserve">5.2. </w:t>
      </w:r>
      <w:r>
        <w:t xml:space="preserve">În </w:t>
      </w:r>
      <w:r>
        <w:t>privinţa</w:t>
      </w:r>
      <w:r>
        <w:t xml:space="preserve"> motivelor invocate de recurent cu privire la încălcarea sau aplicarea </w:t>
      </w:r>
      <w:r>
        <w:t>greşită</w:t>
      </w:r>
      <w:r>
        <w:t xml:space="preserve"> a normelor de drept material, Curtea </w:t>
      </w:r>
      <w:r>
        <w:t>reţine</w:t>
      </w:r>
      <w:r>
        <w:t xml:space="preserve"> că </w:t>
      </w:r>
      <w:r>
        <w:t>instanţa</w:t>
      </w:r>
      <w:r>
        <w:t xml:space="preserve"> de fond a realizat o analiză judicioasă a </w:t>
      </w:r>
      <w:r>
        <w:t>dispoziţiilor</w:t>
      </w:r>
      <w:r>
        <w:t xml:space="preserve"> legale incidente în cauză, fiind prezentate argumentele de fapt </w:t>
      </w:r>
      <w:r>
        <w:t>şi</w:t>
      </w:r>
      <w:r>
        <w:t xml:space="preserve"> de drept ce au format convingerea </w:t>
      </w:r>
      <w:r>
        <w:t>instanţei</w:t>
      </w:r>
      <w:r>
        <w:t xml:space="preserve">. </w:t>
      </w:r>
    </w:p>
    <w:p w:rsidR="00F57B07" w14:paraId="583035DA" w14:textId="77777777">
      <w:pPr>
        <w:ind w:firstLine="709"/>
        <w:jc w:val="both"/>
      </w:pPr>
      <w:r>
        <w:t xml:space="preserve">Cu prioritate, se constată că recurentul-reclamant </w:t>
      </w:r>
      <w:r>
        <w:t>îşi</w:t>
      </w:r>
      <w:r>
        <w:t xml:space="preserve"> fundamentează recursul pe pretinsa interpretare greșită a dispozițiilor art. 8 din Legea 554/2004, în sensul că răspunsul autorității reprezintă un refuz nejustificat al </w:t>
      </w:r>
      <w:r>
        <w:t>autorităţii</w:t>
      </w:r>
      <w:r>
        <w:t xml:space="preserve"> de a le </w:t>
      </w:r>
      <w:r>
        <w:t>soluţiona</w:t>
      </w:r>
      <w:r>
        <w:t xml:space="preserve"> o cerere referitoare la un drept recunoscut de lege.</w:t>
      </w:r>
    </w:p>
    <w:p w:rsidR="00F57B07" w14:paraId="4C8EE0B5" w14:textId="77777777">
      <w:pPr>
        <w:ind w:firstLine="708"/>
        <w:contextualSpacing/>
        <w:jc w:val="both"/>
      </w:pPr>
      <w:r>
        <w:t xml:space="preserve">Potrivit </w:t>
      </w:r>
      <w:r>
        <w:t>dispoziţiilor</w:t>
      </w:r>
      <w:r>
        <w:t xml:space="preserve"> art. 8 alin. 1 din Legea nr. 554/2004, persoana vătămată într-un drept recunoscut de lege sau într-un interes legitim printr-un act administrativ unilateral, </w:t>
      </w:r>
      <w:r>
        <w:t>nemulţumită</w:t>
      </w:r>
      <w:r>
        <w:t xml:space="preserve"> de răspunsul primit la plângerea prealabilă sau care nu a primit niciun răspuns în termenul prevăzut la art. 2 alin. (1) </w:t>
      </w:r>
      <w:hyperlink w:history="1" r:id="rId4">
        <w:r>
          <w:t>lit. h)</w:t>
        </w:r>
      </w:hyperlink>
      <w:r>
        <w:t xml:space="preserve">, poate sesiza </w:t>
      </w:r>
      <w:r>
        <w:t>instanţa</w:t>
      </w:r>
      <w:r>
        <w:t xml:space="preserve"> de contencios administrativ competentă, pentru a solicita anularea în tot sau în parte a actului, repararea pagubei cauzate </w:t>
      </w:r>
      <w:r>
        <w:t>şi</w:t>
      </w:r>
      <w:r>
        <w:t xml:space="preserve">, eventual, </w:t>
      </w:r>
      <w:r>
        <w:t>reparaţii</w:t>
      </w:r>
      <w:r>
        <w:t xml:space="preserve"> pentru daune morale. De asemenea, se poate adresa </w:t>
      </w:r>
      <w:r>
        <w:t>instanţei</w:t>
      </w:r>
      <w:r>
        <w:t xml:space="preserve"> de contencios administrativ </w:t>
      </w:r>
      <w:r>
        <w:t>şi</w:t>
      </w:r>
      <w:r>
        <w:t xml:space="preserve"> cel care se consideră vătămat într-un drept sau interes legitim al său prin </w:t>
      </w:r>
      <w:r>
        <w:t>nesoluţionarea</w:t>
      </w:r>
      <w:r>
        <w:t xml:space="preserve"> în termen sau prin refuzul nejustificat de </w:t>
      </w:r>
      <w:r>
        <w:t>soluţionare</w:t>
      </w:r>
      <w:r>
        <w:t xml:space="preserve"> a unei cereri, precum </w:t>
      </w:r>
      <w:r>
        <w:t>şi</w:t>
      </w:r>
      <w:r>
        <w:t xml:space="preserve"> prin refuzul de efectuare a unei anumite </w:t>
      </w:r>
      <w:r>
        <w:t>operaţiuni</w:t>
      </w:r>
      <w:r>
        <w:t xml:space="preserve"> administrative necesare pe</w:t>
      </w:r>
      <w:r>
        <w:t>ntru exercitarea sau protejarea dreptului sau interesului legitim. </w:t>
      </w:r>
    </w:p>
    <w:p w:rsidR="00F57B07" w14:paraId="204F6AE7" w14:textId="77777777">
      <w:pPr>
        <w:ind w:firstLine="708"/>
        <w:contextualSpacing/>
        <w:jc w:val="both"/>
      </w:pPr>
      <w:r>
        <w:t xml:space="preserve">Totodată, conform art. 2 alin. 1 lit. i din lege, refuzul nejustificat de a </w:t>
      </w:r>
      <w:r>
        <w:t>soluţiona</w:t>
      </w:r>
      <w:r>
        <w:t xml:space="preserve"> o cerere reprezintă exprimarea explicită, cu exces de putere, a </w:t>
      </w:r>
      <w:r>
        <w:t>voinţei</w:t>
      </w:r>
      <w:r>
        <w:t xml:space="preserve"> de a nu rezolva cererea unei persoane; este asimilată refuzului nejustificat </w:t>
      </w:r>
      <w:r>
        <w:t>şi</w:t>
      </w:r>
      <w:r>
        <w:t xml:space="preserve"> nepunerea în executare a actului </w:t>
      </w:r>
      <w:r>
        <w:t xml:space="preserve">administrativ emis ca urmare a </w:t>
      </w:r>
      <w:r>
        <w:t>soluţionării</w:t>
      </w:r>
      <w:r>
        <w:t xml:space="preserve"> favorabile a cererii sau, după caz, a plângerii prealabile.</w:t>
      </w:r>
    </w:p>
    <w:p w:rsidR="00F57B07" w14:paraId="21C4F005" w14:textId="77777777">
      <w:pPr>
        <w:ind w:firstLine="708"/>
        <w:contextualSpacing/>
        <w:jc w:val="both"/>
      </w:pPr>
      <w:r>
        <w:t xml:space="preserve">În </w:t>
      </w:r>
      <w:r>
        <w:t>speţă</w:t>
      </w:r>
      <w:r>
        <w:t xml:space="preserve">, prima instanță a concluzionat că nu poate fi vorba de un </w:t>
      </w:r>
      <w:r>
        <w:t xml:space="preserve">refuz nejustificat al </w:t>
      </w:r>
      <w:r>
        <w:t>autorităţii</w:t>
      </w:r>
      <w:r>
        <w:t xml:space="preserve"> de a </w:t>
      </w:r>
      <w:r>
        <w:t>soluţiona</w:t>
      </w:r>
      <w:r>
        <w:t xml:space="preserve"> cererea autorilor recurentului, având în vedere că răspunsul la solicitarea acestora este motivată prin trimiteri la calitatea, respectiv lipsa </w:t>
      </w:r>
      <w:r>
        <w:t>calităţii</w:t>
      </w:r>
      <w:r>
        <w:t xml:space="preserve"> de </w:t>
      </w:r>
      <w:r>
        <w:t>moştenitori</w:t>
      </w:r>
      <w:r>
        <w:t xml:space="preserve"> a diverselor persoane implicate, precum </w:t>
      </w:r>
      <w:r>
        <w:t>şi</w:t>
      </w:r>
      <w:r>
        <w:t xml:space="preserve"> la încheierea de către acestea a unor acte juridice ce determină imposibilitatea </w:t>
      </w:r>
      <w:r>
        <w:t>autorităţii</w:t>
      </w:r>
      <w:r>
        <w:t xml:space="preserve"> de a răspunde în sensul dorit de </w:t>
      </w:r>
      <w:r>
        <w:t>reclamanţi</w:t>
      </w:r>
      <w:r>
        <w:t>.</w:t>
      </w:r>
    </w:p>
    <w:p w:rsidR="00F57B07" w14:paraId="1B38A9F7" w14:textId="77777777">
      <w:pPr>
        <w:ind w:firstLine="708"/>
        <w:contextualSpacing/>
        <w:jc w:val="both"/>
      </w:pPr>
      <w:r>
        <w:t>Instanţa</w:t>
      </w:r>
      <w:r>
        <w:t xml:space="preserve"> de fond, în rejudecarea cauzei după casarea cu trimitere, a ținut cont de îndrumările </w:t>
      </w:r>
      <w:r>
        <w:t>instanţei</w:t>
      </w:r>
      <w:r>
        <w:t xml:space="preserve"> superioare, fiind administrată proba cu expertiza tehnică judiciară, iar analiza refuzului autorității nu s-a limitat la chestiuni de ordin formal, argumentele reținute în fundamentarea concluziei fiind de ordin substanțial. </w:t>
      </w:r>
    </w:p>
    <w:p w:rsidR="00F57B07" w14:paraId="67DD1A68" w14:textId="77777777">
      <w:pPr>
        <w:ind w:firstLine="708"/>
        <w:contextualSpacing/>
        <w:jc w:val="both"/>
      </w:pPr>
      <w:r>
        <w:t xml:space="preserve">În mod corect a reținut prima instanță, având în vedere natura raportului juridic dedus judecății, că din interpretarea </w:t>
      </w:r>
      <w:r>
        <w:t>raţională</w:t>
      </w:r>
      <w:r>
        <w:t xml:space="preserve"> a legii, se desprinde concluzia că doar refuzul nejustificat, care se întemeiază pe exces de putere, poate fi </w:t>
      </w:r>
      <w:r>
        <w:t>sancţionat</w:t>
      </w:r>
      <w:r>
        <w:t xml:space="preserve"> de lege.</w:t>
      </w:r>
    </w:p>
    <w:p w:rsidR="00F57B07" w14:paraId="284AF208" w14:textId="09299CAB">
      <w:pPr>
        <w:ind w:firstLine="708"/>
        <w:contextualSpacing/>
        <w:jc w:val="both"/>
      </w:pPr>
      <w:r>
        <w:t>Deși nu a mai citat concluziile raportului de expertiză, instanța de fond a apreciat valoarea probatorie prin raportare la argumentele invocate de autoritate în adresa nr. A1/</w:t>
      </w:r>
      <w:r>
        <w:t xml:space="preserve">25.11.2011. </w:t>
      </w:r>
    </w:p>
    <w:p w:rsidR="00F57B07" w14:paraId="5E33E61C" w14:textId="026A064D">
      <w:pPr>
        <w:ind w:firstLine="708"/>
        <w:contextualSpacing/>
        <w:jc w:val="both"/>
      </w:pPr>
      <w:r>
        <w:t xml:space="preserve">Împrejurarea că pentru locurile de veci nr. 140 si 141, din figura 11 a Cimitirului X </w:t>
      </w:r>
      <w:r>
        <w:t xml:space="preserve">nu există în evidențe niciun act de concesiune nu este relevantă în cauză, având în vedere că refuzul nu a fost întemeiat pe acest unic aspect, ci pe împrejurarea că, de-a lungul timpului, membrii Familiei FAM Q </w:t>
      </w:r>
      <w:r>
        <w:t xml:space="preserve">au donat dreptul de concesiune asupra locurilor de veci, prin acte de donație a căror suprafață cumulată a depășit cota deținută de aceștia din dreptul de proprietate. </w:t>
      </w:r>
    </w:p>
    <w:p w:rsidR="00F57B07" w14:paraId="080FABC6" w14:textId="0AD8F15A">
      <w:pPr>
        <w:ind w:firstLine="708"/>
        <w:contextualSpacing/>
        <w:jc w:val="both"/>
      </w:pPr>
      <w:r>
        <w:t xml:space="preserve">Este dovedit în cauză, prin înscrisurile existente la dosar, dar și prin expertiza judiciară, că locurile de veci pe care este construit monumentul funerar sunt 140 si 141, din figura 11, conform planurilor cimitirului X </w:t>
      </w:r>
      <w:r>
        <w:t xml:space="preserve">, puse la </w:t>
      </w:r>
      <w:r>
        <w:t>dispoziţie</w:t>
      </w:r>
      <w:r>
        <w:t xml:space="preserve"> de ACCU si au </w:t>
      </w:r>
      <w:r>
        <w:t>impreuna</w:t>
      </w:r>
      <w:r>
        <w:t xml:space="preserve"> o </w:t>
      </w:r>
      <w:r>
        <w:t>suprafaţa</w:t>
      </w:r>
      <w:r>
        <w:t xml:space="preserve"> de 27,05 mp.</w:t>
      </w:r>
    </w:p>
    <w:p w:rsidR="00F57B07" w14:paraId="5C3D781C" w14:textId="77777777">
      <w:pPr>
        <w:ind w:firstLine="708"/>
        <w:contextualSpacing/>
        <w:jc w:val="both"/>
      </w:pPr>
      <w:r>
        <w:t xml:space="preserve">Referatul din 1984, în care se atestă faptul că actele de concesiune, întocmite si eliberate din 1950 si pana la data întocmirii acestuia, sunt </w:t>
      </w:r>
      <w:r>
        <w:rPr>
          <w:rStyle w:val="Fontdeparagrafimplicit"/>
          <w:i/>
        </w:rPr>
        <w:t>greşite</w:t>
      </w:r>
      <w:r>
        <w:t xml:space="preserve">, a </w:t>
      </w:r>
      <w:r>
        <w:t>ţinut</w:t>
      </w:r>
      <w:r>
        <w:t xml:space="preserve"> cont de </w:t>
      </w:r>
      <w:r>
        <w:t>donaţiile</w:t>
      </w:r>
      <w:r>
        <w:t xml:space="preserve"> făcute pana in anul 1984, însă </w:t>
      </w:r>
      <w:r>
        <w:t>suprafaţa</w:t>
      </w:r>
      <w:r>
        <w:t xml:space="preserve"> </w:t>
      </w:r>
      <w:r>
        <w:t>menţionata</w:t>
      </w:r>
      <w:r>
        <w:t xml:space="preserve"> in referat este de 42 mp, vădit </w:t>
      </w:r>
      <w:r>
        <w:rPr>
          <w:rStyle w:val="Fontdeparagrafimplicit"/>
          <w:i/>
        </w:rPr>
        <w:t>greșită</w:t>
      </w:r>
      <w:r>
        <w:t xml:space="preserve">. </w:t>
      </w:r>
    </w:p>
    <w:p w:rsidR="00F57B07" w14:paraId="3D35B851" w14:textId="001CF85C">
      <w:pPr>
        <w:ind w:firstLine="708"/>
        <w:contextualSpacing/>
        <w:jc w:val="both"/>
      </w:pPr>
      <w:r>
        <w:t xml:space="preserve">Membrii Familiei FAM Q </w:t>
      </w:r>
      <w:r>
        <w:t xml:space="preserve">, prin actele de </w:t>
      </w:r>
      <w:r>
        <w:t>donaţie</w:t>
      </w:r>
      <w:r>
        <w:t xml:space="preserve"> din data de 27.08.1964 (7,5 mp), 01.12.1964  (3,75 mp), 15.05.1965 (3,25 mp), 31.01.1966 (3,75 mp), 27.07.1967 (2,75 mp) </w:t>
      </w:r>
      <w:r>
        <w:t>şi</w:t>
      </w:r>
      <w:r>
        <w:t xml:space="preserve"> 25.04.1969 (3 mp), au donat </w:t>
      </w:r>
      <w:r>
        <w:t>suprafaţa</w:t>
      </w:r>
      <w:r>
        <w:t xml:space="preserve"> totală de </w:t>
      </w:r>
      <w:r>
        <w:rPr>
          <w:rStyle w:val="Fontdeparagrafimplicit"/>
          <w:i/>
        </w:rPr>
        <w:t>24 mp,</w:t>
      </w:r>
      <w:r>
        <w:t xml:space="preserve"> adică mai mult decât suprafața asupra căreia se întindea dreptul de concesiune (în cotă ideală de ½ din total). </w:t>
      </w:r>
    </w:p>
    <w:p w:rsidR="00F57B07" w14:paraId="50ECD5B7" w14:textId="50CB7ABF">
      <w:pPr>
        <w:ind w:firstLine="708"/>
        <w:contextualSpacing/>
        <w:jc w:val="both"/>
      </w:pPr>
      <w:r>
        <w:t xml:space="preserve">Actele depuse chiar de către autorii recurentului în primul ciclu procesual cuprind și o declarație de „renunțare” din partea </w:t>
      </w:r>
      <w:r>
        <w:t>d-lui</w:t>
      </w:r>
      <w:r>
        <w:t xml:space="preserve"> QEL.....</w:t>
      </w:r>
      <w:r>
        <w:t>la „cota de 7,5 mp” din dreptul său de concesiune situat în cimitirul X....</w:t>
      </w:r>
      <w:r>
        <w:t>, în semnat pe plan figura 11, locul 141 și 142, în favoarea d-nei ARA...</w:t>
      </w:r>
      <w:r>
        <w:t>(</w:t>
      </w:r>
      <w:r>
        <w:t>atentificată</w:t>
      </w:r>
      <w:r>
        <w:t xml:space="preserve"> sub nr. AUT.1/</w:t>
      </w:r>
      <w:r>
        <w:t>16.05.1991, f. 60), precum și o declarație de „renunțare”  din partea d-nei NLA...</w:t>
      </w:r>
      <w:r>
        <w:t xml:space="preserve"> la „cota de 3,75 mp” din dreptul său de concesiune situat în cimitirul X....</w:t>
      </w:r>
      <w:r>
        <w:t>, în semnat pe plan figura 11, locul 142, în favoarea d-nei ARA...</w:t>
      </w:r>
      <w:r>
        <w:t>(</w:t>
      </w:r>
      <w:r>
        <w:t>atentificată</w:t>
      </w:r>
      <w:r>
        <w:t xml:space="preserve"> sub nr. AUT.2/</w:t>
      </w:r>
      <w:r>
        <w:t>24.09.1994, f. 62). De asemenea, ulterior au mai avut loc alte „renunțări” (spre ex., d-na ARA...</w:t>
      </w:r>
      <w:r>
        <w:t>în favoarea soților UAN...</w:t>
      </w:r>
      <w:r>
        <w:t>și UIA....</w:t>
      </w:r>
      <w:r>
        <w:t xml:space="preserve">, f. 56 vol. 1) sau transmiteri prin succesiune, fără a exista o reflectare a tuturor acestor modificări în acte de concesiune, acte adiționale sau de preschimbare care să ateste continuitatea acestui drept de folosință în sensul pretins de recurent. </w:t>
      </w:r>
    </w:p>
    <w:p w:rsidR="00F57B07" w14:paraId="28CFA29A" w14:textId="6F23A41C">
      <w:pPr>
        <w:ind w:firstLine="708"/>
        <w:contextualSpacing/>
        <w:jc w:val="both"/>
      </w:pPr>
      <w:r>
        <w:t>Conform actului de concesiune nr. CON.1/</w:t>
      </w:r>
      <w:r>
        <w:t>1969 (f. 38 vol. 2), ulterior preschimbat: „</w:t>
      </w:r>
      <w:r>
        <w:rPr>
          <w:rStyle w:val="Fontdeparagrafimplicit"/>
          <w:i/>
        </w:rPr>
        <w:t>În caz de deces al concesionarului, membrii familiei sau moștenitorii sunt obligați a se prezenta la Administrația Crematoriilor și Cimitirelor ..........................</w:t>
      </w:r>
      <w:r>
        <w:rPr>
          <w:rStyle w:val="Fontdeparagrafimplicit"/>
          <w:i/>
        </w:rPr>
        <w:t xml:space="preserve"> pentru a li se face transcrierea concesiunii pe numele lor, în termen de șase luni de la data decesului, în caz contrar, prezentul act devine nul de drept</w:t>
      </w:r>
      <w:r>
        <w:t xml:space="preserve">” (folosire vădit improprie a instituției „nulității de drept” pentru un caz de „încetare de drept” a convenției). </w:t>
      </w:r>
    </w:p>
    <w:p w:rsidR="00F57B07" w14:paraId="409DAE9C" w14:textId="77777777">
      <w:pPr>
        <w:ind w:firstLine="708"/>
        <w:contextualSpacing/>
        <w:jc w:val="both"/>
      </w:pPr>
      <w:r>
        <w:t xml:space="preserve">În esență, trebuie subliniat că dreptul de proprietate asupra terenului aparține concedentului, iar concesionarii dobândesc un drept de folosință, dar și obligații prevăzute în </w:t>
      </w:r>
      <w:r>
        <w:t>contractul de concesiune, precum și în Regulamentul de organizare și funcționare a crematoriilor umane și cimitirelor, neputându-se reține că refuzul de a concesiona terenul este nejustificat, în condițiile în care s-au invocat argumentele de fapt și de drept anterior expuse, iar recurentul și autorii săi au contestat un pretins refuz ca urmare a unor solicitări formulate abia în anul 2011, întemeiate pe  un simplu referat din anul 1984, care nu poate produce efecte juridice prin el însuși, deoarece are val</w:t>
      </w:r>
      <w:r>
        <w:t>oarea unui act constatator al unei situații de fapt ce este afectată de vicii în ceea ce privește suprafața, în fapt existând numai 27,05 mp care corespund locurilor de veci pe care este construit monumentul funerar.</w:t>
      </w:r>
    </w:p>
    <w:p w:rsidR="00F57B07" w14:paraId="7C406724" w14:textId="77777777">
      <w:pPr>
        <w:ind w:firstLine="708"/>
        <w:contextualSpacing/>
        <w:jc w:val="both"/>
      </w:pPr>
      <w:r>
        <w:t>Autoritatea publică pârâtă nu poate face abstracție de existența actelor de dispoziție pentru suprafețe excedentare, iar decizia de a refuza încheierea unui contract de concesiune în scopul invocat de recurent nu este expresia unui exces de putere, astfel cum a reținut și prima instanță. Existența construcției - monument funerar, faptul că autorii recurentului sunt înhumați pe acele locuri de veci, inexistența în evidențe a unui contract de concesiune corespunzător care să fie valabil în prezent, astfel cum</w:t>
      </w:r>
      <w:r>
        <w:t xml:space="preserve"> se invocă de către recurent, pot constitui premise pentru o eventuală nouă concesiune în condițiile Regulamentului de organizare și funcționare a crematoriilor umane și cimitirelor, ca în cazul oricărui loc pentru care dreptul de folosință a încetat din diverse cauze expres prevăzute (cauză juridică distinctă de cea a prezentei acțiuni), iar nu fundamentul unei obligații de a încheia un act de concesiune care să ateste continuitatea dreptului de folosință pretins de recurent.</w:t>
      </w:r>
    </w:p>
    <w:p w:rsidR="00F57B07" w14:paraId="4DC1D36D" w14:textId="77777777">
      <w:pPr>
        <w:ind w:firstLine="709"/>
        <w:jc w:val="both"/>
      </w:pPr>
      <w:r>
        <w:t xml:space="preserve">Așa fiind, Tribunalul a </w:t>
      </w:r>
      <w:r>
        <w:t>reţinut</w:t>
      </w:r>
      <w:r>
        <w:t xml:space="preserve"> în mod judicios că </w:t>
      </w:r>
      <w:r>
        <w:t>acţiunea</w:t>
      </w:r>
      <w:r>
        <w:t xml:space="preserve"> nu </w:t>
      </w:r>
      <w:r>
        <w:t>îndeplineşte</w:t>
      </w:r>
      <w:r>
        <w:t xml:space="preserve"> </w:t>
      </w:r>
      <w:r>
        <w:t>cerinţele</w:t>
      </w:r>
      <w:r>
        <w:t xml:space="preserve"> art. 8 alin. (1) din Legea nr. 554/2004, motiv pentru care Curtea constată că recursul este nefondat </w:t>
      </w:r>
      <w:r>
        <w:t>şi</w:t>
      </w:r>
      <w:r>
        <w:t xml:space="preserve"> va fi respins ca atare, conform art. 312 </w:t>
      </w:r>
      <w:r>
        <w:t>C.pr.civ</w:t>
      </w:r>
      <w:r>
        <w:t>.</w:t>
      </w:r>
    </w:p>
    <w:p w:rsidR="00F57B07" w14:paraId="1FD8E679" w14:textId="77777777">
      <w:pPr>
        <w:ind w:firstLine="709"/>
        <w:jc w:val="both"/>
        <w:rPr>
          <w:rStyle w:val="Fontdeparagrafimplicit"/>
          <w:b/>
        </w:rPr>
      </w:pPr>
    </w:p>
    <w:p w:rsidR="00F57B07" w14:paraId="5F0E7CAF" w14:textId="77777777">
      <w:pPr>
        <w:ind w:firstLine="709"/>
        <w:jc w:val="center"/>
        <w:rPr>
          <w:rStyle w:val="Fontdeparagrafimplicit"/>
          <w:b/>
        </w:rPr>
      </w:pPr>
      <w:r>
        <w:rPr>
          <w:rStyle w:val="Fontdeparagrafimplicit"/>
          <w:b/>
        </w:rPr>
        <w:t>PENTRU ACESTE MOTIVE,</w:t>
      </w:r>
    </w:p>
    <w:p w:rsidR="00F57B07" w14:paraId="49D21F6A" w14:textId="77777777">
      <w:pPr>
        <w:ind w:firstLine="709"/>
        <w:jc w:val="center"/>
        <w:rPr>
          <w:rStyle w:val="Fontdeparagrafimplicit"/>
          <w:b/>
        </w:rPr>
      </w:pPr>
      <w:r>
        <w:rPr>
          <w:rStyle w:val="Fontdeparagrafimplicit"/>
          <w:b/>
        </w:rPr>
        <w:t>ÎN NUMELE LEGII,</w:t>
      </w:r>
    </w:p>
    <w:p w:rsidR="00F57B07" w14:paraId="1D0BF72F" w14:textId="77777777">
      <w:pPr>
        <w:ind w:firstLine="709"/>
        <w:jc w:val="center"/>
      </w:pPr>
      <w:r>
        <w:rPr>
          <w:rStyle w:val="Fontdeparagrafimplicit"/>
          <w:b/>
        </w:rPr>
        <w:t>DECIDE</w:t>
      </w:r>
      <w:r>
        <w:t>:</w:t>
      </w:r>
    </w:p>
    <w:p w:rsidR="00F57B07" w14:paraId="6F167919" w14:textId="77777777">
      <w:pPr>
        <w:ind w:firstLine="709"/>
      </w:pPr>
    </w:p>
    <w:p w:rsidR="00F57B07" w14:paraId="4C30A8AC" w14:textId="4DB584C6">
      <w:pPr>
        <w:ind w:firstLine="709"/>
        <w:jc w:val="both"/>
      </w:pPr>
      <w:r>
        <w:t xml:space="preserve">Respinge recursul promovat de </w:t>
      </w:r>
      <w:r>
        <w:t>recurenţii-reclamanţi</w:t>
      </w:r>
      <w:r>
        <w:t xml:space="preserve"> </w:t>
      </w:r>
      <w:r>
        <w:rPr>
          <w:rStyle w:val="Fontdeparagrafimplicit"/>
          <w:b/>
        </w:rPr>
        <w:t>UIN...</w:t>
      </w:r>
      <w:r>
        <w:rPr>
          <w:rStyle w:val="Fontdeparagrafimplicit"/>
          <w:b/>
        </w:rPr>
        <w:t>,</w:t>
      </w:r>
      <w:r>
        <w:rPr>
          <w:rStyle w:val="Fontdeparagrafimplicit"/>
          <w:rFonts w:ascii="Calibri" w:hAnsi="Calibri"/>
          <w:sz w:val="22"/>
        </w:rPr>
        <w:t xml:space="preserve"> </w:t>
      </w:r>
      <w:r>
        <w:rPr>
          <w:rStyle w:val="Fontdeparagrafimplicit"/>
          <w:b/>
        </w:rPr>
        <w:t>moştenitor</w:t>
      </w:r>
      <w:r>
        <w:rPr>
          <w:rStyle w:val="Fontdeparagrafimplicit"/>
          <w:b/>
        </w:rPr>
        <w:t xml:space="preserve"> al lui UEL....</w:t>
      </w:r>
      <w:r>
        <w:rPr>
          <w:rStyle w:val="Fontdeparagrafimplicit"/>
          <w:b/>
        </w:rPr>
        <w:t>şi</w:t>
      </w:r>
      <w:r>
        <w:t xml:space="preserve"> </w:t>
      </w:r>
      <w:r>
        <w:rPr>
          <w:rStyle w:val="Fontdeparagrafimplicit"/>
          <w:b/>
        </w:rPr>
        <w:t>NIA.....</w:t>
      </w:r>
      <w:r>
        <w:rPr>
          <w:rStyle w:val="Fontdeparagrafimplicit"/>
          <w:b/>
        </w:rPr>
        <w:t xml:space="preserve">, </w:t>
      </w:r>
      <w:r>
        <w:t>toţi</w:t>
      </w:r>
      <w:r>
        <w:t xml:space="preserve"> cu domiciliul ales la reprezentatul </w:t>
      </w:r>
      <w:r>
        <w:t>convenţional</w:t>
      </w:r>
      <w:r>
        <w:t xml:space="preserve"> în ..........................</w:t>
      </w:r>
      <w:r>
        <w:t>, ...................................................................................</w:t>
      </w:r>
      <w:r>
        <w:rPr>
          <w:rStyle w:val="Fontdeparagrafimplicit"/>
          <w:b/>
        </w:rPr>
        <w:t xml:space="preserve"> </w:t>
      </w:r>
      <w:r>
        <w:t xml:space="preserve">împotriva </w:t>
      </w:r>
      <w:r>
        <w:t>sentinţei</w:t>
      </w:r>
      <w:r>
        <w:t xml:space="preserve"> civile nr. SC1/</w:t>
      </w:r>
      <w:r>
        <w:t xml:space="preserve">.2015, </w:t>
      </w:r>
      <w:r>
        <w:t>pronunţate</w:t>
      </w:r>
      <w:r>
        <w:t xml:space="preserve"> de Tribunalul ..........................</w:t>
      </w:r>
      <w:r>
        <w:t xml:space="preserve"> - </w:t>
      </w:r>
      <w:r>
        <w:t>Secţia</w:t>
      </w:r>
      <w:r>
        <w:t xml:space="preserve"> a .........</w:t>
      </w:r>
      <w:r>
        <w:t xml:space="preserve">Contencios Administrativ </w:t>
      </w:r>
      <w:r>
        <w:t>şi</w:t>
      </w:r>
      <w:r>
        <w:t xml:space="preserve"> Fiscal în dosarul nr. ..........................</w:t>
      </w:r>
      <w:r>
        <w:t xml:space="preserve">, în contradictoriu cu </w:t>
      </w:r>
      <w:r>
        <w:t>intimaţii-pârâţi</w:t>
      </w:r>
      <w:r>
        <w:t xml:space="preserve"> </w:t>
      </w:r>
      <w:r>
        <w:rPr>
          <w:rStyle w:val="Fontdeparagrafimplicit"/>
          <w:b/>
        </w:rPr>
        <w:t>MUNICIPIUL .........</w:t>
      </w:r>
      <w:r>
        <w:rPr>
          <w:rStyle w:val="Fontdeparagrafimplicit"/>
          <w:b/>
        </w:rPr>
        <w:t xml:space="preserve"> prin PRIMAR .........</w:t>
      </w:r>
      <w:r>
        <w:rPr>
          <w:rStyle w:val="Fontdeparagrafimplicit"/>
          <w:b/>
        </w:rPr>
        <w:t xml:space="preserve">, </w:t>
      </w:r>
      <w:r>
        <w:t>cu sediul ...............</w:t>
      </w:r>
      <w:r>
        <w:t xml:space="preserve"> ..........................</w:t>
      </w:r>
      <w:r>
        <w:t>, ........................</w:t>
      </w:r>
      <w:r>
        <w:rPr>
          <w:rStyle w:val="Fontdeparagrafimplicit"/>
          <w:b/>
        </w:rPr>
        <w:t xml:space="preserve"> </w:t>
      </w:r>
      <w:r>
        <w:t>şi</w:t>
      </w:r>
      <w:r>
        <w:t xml:space="preserve"> </w:t>
      </w:r>
      <w:r>
        <w:rPr>
          <w:rStyle w:val="Fontdeparagrafimplicit"/>
          <w:b/>
        </w:rPr>
        <w:t>CONSILIUL .........</w:t>
      </w:r>
      <w:r>
        <w:rPr>
          <w:rStyle w:val="Fontdeparagrafimplicit"/>
          <w:b/>
        </w:rPr>
        <w:t xml:space="preserve"> AL MUNICIPIULUI ..........................</w:t>
      </w:r>
      <w:r>
        <w:rPr>
          <w:rStyle w:val="Fontdeparagrafimplicit"/>
          <w:b/>
        </w:rPr>
        <w:t xml:space="preserve"> - ADMINISTRAŢIA CIMITIRELOR ŞI CREMATORIILOR UMANE</w:t>
      </w:r>
      <w:r>
        <w:t>, cu sediul ........</w:t>
      </w:r>
      <w:r>
        <w:t>, ..........................</w:t>
      </w:r>
      <w:r>
        <w:t>, ...................</w:t>
      </w:r>
      <w:r>
        <w:t>,</w:t>
      </w:r>
      <w:r>
        <w:rPr>
          <w:rStyle w:val="Fontdeparagrafimplicit"/>
          <w:b/>
        </w:rPr>
        <w:t xml:space="preserve"> </w:t>
      </w:r>
      <w:r>
        <w:t>ca nefondat.</w:t>
      </w:r>
    </w:p>
    <w:p w:rsidR="00F57B07" w14:paraId="01C39A3E" w14:textId="77777777">
      <w:pPr>
        <w:ind w:firstLine="709"/>
        <w:jc w:val="both"/>
      </w:pPr>
      <w:r>
        <w:t>Irevocabilă.</w:t>
      </w:r>
    </w:p>
    <w:p w:rsidR="00F57B07" w14:paraId="4800E223" w14:textId="37896771">
      <w:pPr>
        <w:ind w:firstLine="709"/>
        <w:jc w:val="both"/>
      </w:pPr>
      <w:r>
        <w:t>Pronunţată</w:t>
      </w:r>
      <w:r>
        <w:t xml:space="preserve"> în </w:t>
      </w:r>
      <w:r>
        <w:t>şedinţa</w:t>
      </w:r>
      <w:r>
        <w:t xml:space="preserve"> publică din data de .........</w:t>
      </w:r>
      <w:r>
        <w:t>2018.</w:t>
      </w:r>
    </w:p>
    <w:p w:rsidR="007B3BBA" w:rsidP="007B3BBA" w14:paraId="283F7F5D" w14:textId="77777777">
      <w:pPr>
        <w:tabs>
          <w:tab w:val="left" w:pos="0"/>
        </w:tabs>
      </w:pPr>
    </w:p>
    <w:p w:rsidR="007B3BBA" w:rsidP="007B3BBA" w14:paraId="27A19254" w14:textId="77777777">
      <w:pPr>
        <w:tabs>
          <w:tab w:val="left" w:pos="0"/>
        </w:tabs>
      </w:pPr>
    </w:p>
    <w:p w:rsidRPr="007B3BBA" w:rsidR="007B3BBA" w:rsidP="007B3BBA" w14:paraId="6AFE6E62" w14:textId="11778A52">
      <w:pPr>
        <w:tabs>
          <w:tab w:val="left" w:pos="0"/>
        </w:tabs>
        <w:rPr>
          <w:b/>
        </w:rPr>
      </w:pPr>
      <w:r>
        <w:rPr>
          <w:rStyle w:val="Fontdeparagrafimplicit"/>
          <w:b/>
        </w:rPr>
        <w:t xml:space="preserve">  PREŞEDINTE,                             JUDECĂTOR,                                 </w:t>
      </w:r>
      <w:r>
        <w:rPr>
          <w:rStyle w:val="Fontdeparagrafimplicit"/>
          <w:b/>
        </w:rPr>
        <w:t>JUDECĂTOR</w:t>
      </w:r>
      <w:r>
        <w:t>,          A0016</w:t>
      </w:r>
      <w:r>
        <w:t xml:space="preserve">    </w:t>
      </w:r>
      <w:r>
        <w:t xml:space="preserve">                               </w:t>
      </w:r>
      <w:r>
        <w:t xml:space="preserve">      ...................</w:t>
      </w:r>
      <w:r>
        <w:tab/>
      </w:r>
      <w:r>
        <w:tab/>
        <w:t xml:space="preserve">                        .............................</w:t>
      </w:r>
    </w:p>
    <w:p w:rsidR="00F57B07" w14:paraId="3DDD9804" w14:textId="21DC175F">
      <w:pPr>
        <w:tabs>
          <w:tab w:val="left" w:pos="0"/>
        </w:tabs>
        <w:ind w:firstLine="709"/>
      </w:pPr>
      <w:r>
        <w:tab/>
      </w:r>
      <w:r>
        <w:tab/>
      </w:r>
      <w:r>
        <w:tab/>
      </w:r>
      <w:r>
        <w:tab/>
        <w:t xml:space="preserve">           </w:t>
      </w:r>
    </w:p>
    <w:p w:rsidR="00F57B07" w14:paraId="791DB960" w14:textId="77777777">
      <w:pPr>
        <w:tabs>
          <w:tab w:val="left" w:pos="0"/>
        </w:tabs>
        <w:ind w:firstLine="709"/>
      </w:pPr>
    </w:p>
    <w:p w:rsidR="00F57B07" w14:paraId="045D959C" w14:textId="77777777">
      <w:pPr>
        <w:tabs>
          <w:tab w:val="left" w:pos="0"/>
        </w:tabs>
        <w:ind w:firstLine="709"/>
        <w:jc w:val="center"/>
        <w:rPr>
          <w:rStyle w:val="Fontdeparagrafimplicit"/>
          <w:b/>
        </w:rPr>
      </w:pPr>
      <w:r>
        <w:tab/>
      </w:r>
      <w:r>
        <w:tab/>
      </w:r>
      <w:r>
        <w:tab/>
      </w:r>
      <w:r>
        <w:tab/>
      </w:r>
      <w:r>
        <w:tab/>
      </w:r>
      <w:r>
        <w:tab/>
      </w:r>
      <w:r>
        <w:tab/>
      </w:r>
      <w:r>
        <w:tab/>
      </w:r>
      <w:r>
        <w:tab/>
      </w:r>
      <w:r>
        <w:rPr>
          <w:rStyle w:val="Fontdeparagrafimplicit"/>
          <w:b/>
        </w:rPr>
        <w:t>GREFIER,</w:t>
      </w:r>
    </w:p>
    <w:p w:rsidR="00F57B07" w14:paraId="15412D5C" w14:textId="758FE2E2">
      <w:pPr>
        <w:tabs>
          <w:tab w:val="left" w:pos="0"/>
        </w:tabs>
        <w:ind w:firstLine="709"/>
      </w:pPr>
      <w:r>
        <w:tab/>
      </w:r>
      <w:r>
        <w:tab/>
      </w:r>
      <w:r>
        <w:tab/>
      </w:r>
      <w:r>
        <w:tab/>
      </w:r>
      <w:r>
        <w:tab/>
        <w:t xml:space="preserve"> </w:t>
      </w:r>
      <w:r>
        <w:tab/>
      </w:r>
      <w:r>
        <w:tab/>
      </w:r>
      <w:r>
        <w:tab/>
      </w:r>
      <w:r>
        <w:tab/>
        <w:t xml:space="preserve">          ............................</w:t>
      </w:r>
    </w:p>
    <w:p w:rsidR="00F57B07" w14:paraId="0075D1EE" w14:textId="77777777">
      <w:pPr>
        <w:ind w:firstLine="709"/>
        <w:jc w:val="both"/>
      </w:pPr>
    </w:p>
    <w:p w:rsidR="00F57B07" w14:paraId="43035115" w14:textId="77777777">
      <w:pPr>
        <w:ind w:firstLine="709"/>
        <w:jc w:val="both"/>
      </w:pPr>
    </w:p>
    <w:p w:rsidR="00F57B07" w14:paraId="714A6041" w14:textId="77777777">
      <w:pPr>
        <w:ind w:firstLine="709"/>
        <w:jc w:val="both"/>
      </w:pPr>
    </w:p>
    <w:p w:rsidR="00F57B07" w14:paraId="4D5B89CF" w14:textId="77777777">
      <w:pPr>
        <w:ind w:firstLine="709"/>
        <w:jc w:val="both"/>
      </w:pPr>
    </w:p>
    <w:p w:rsidR="00F57B07" w14:paraId="4BC2AF21" w14:textId="77777777">
      <w:pPr>
        <w:ind w:firstLine="709"/>
        <w:jc w:val="both"/>
      </w:pPr>
    </w:p>
    <w:p w:rsidR="00F57B07" w14:paraId="06C5522B" w14:textId="77777777">
      <w:pPr>
        <w:ind w:firstLine="709"/>
        <w:jc w:val="both"/>
      </w:pPr>
    </w:p>
    <w:p w:rsidR="00F57B07" w14:paraId="5AEDF28B" w14:textId="77777777">
      <w:pPr>
        <w:ind w:firstLine="709"/>
        <w:jc w:val="both"/>
      </w:pPr>
    </w:p>
    <w:p w:rsidR="00F57B07" w14:paraId="757E9DCD" w14:textId="3F5F7AB6">
      <w:pPr>
        <w:ind w:firstLine="709"/>
        <w:jc w:val="both"/>
        <w:rPr>
          <w:rStyle w:val="Fontdeparagrafimplicit"/>
          <w:sz w:val="16"/>
        </w:rPr>
      </w:pPr>
      <w:r>
        <w:rPr>
          <w:rStyle w:val="Fontdeparagrafimplicit"/>
          <w:sz w:val="16"/>
        </w:rPr>
        <w:t>Tribunalul ..........................</w:t>
      </w:r>
      <w:r>
        <w:rPr>
          <w:rStyle w:val="Fontdeparagrafimplicit"/>
          <w:sz w:val="16"/>
        </w:rPr>
        <w:t xml:space="preserve"> - </w:t>
      </w:r>
      <w:r>
        <w:rPr>
          <w:rStyle w:val="Fontdeparagrafimplicit"/>
          <w:sz w:val="16"/>
        </w:rPr>
        <w:t>Secţia</w:t>
      </w:r>
      <w:r>
        <w:rPr>
          <w:rStyle w:val="Fontdeparagrafimplicit"/>
          <w:sz w:val="16"/>
        </w:rPr>
        <w:t xml:space="preserve"> a .........</w:t>
      </w:r>
      <w:r>
        <w:rPr>
          <w:rStyle w:val="Fontdeparagrafimplicit"/>
          <w:sz w:val="16"/>
        </w:rPr>
        <w:t xml:space="preserve">Contencios Administrativ </w:t>
      </w:r>
      <w:r>
        <w:rPr>
          <w:rStyle w:val="Fontdeparagrafimplicit"/>
          <w:sz w:val="16"/>
        </w:rPr>
        <w:t>şi</w:t>
      </w:r>
      <w:r>
        <w:rPr>
          <w:rStyle w:val="Fontdeparagrafimplicit"/>
          <w:sz w:val="16"/>
        </w:rPr>
        <w:t xml:space="preserve"> Fiscal</w:t>
      </w:r>
    </w:p>
    <w:p w:rsidR="00F57B07" w14:paraId="1578C37A" w14:textId="0BD4C900">
      <w:pPr>
        <w:ind w:firstLine="709"/>
        <w:jc w:val="both"/>
        <w:rPr>
          <w:rStyle w:val="Fontdeparagrafimplicit"/>
          <w:sz w:val="16"/>
        </w:rPr>
      </w:pPr>
      <w:r>
        <w:rPr>
          <w:rStyle w:val="Fontdeparagrafimplicit"/>
          <w:sz w:val="16"/>
        </w:rPr>
        <w:t>Jud. fond – ..................</w:t>
      </w:r>
      <w:r>
        <w:rPr>
          <w:rStyle w:val="Fontdeparagrafimplicit"/>
          <w:sz w:val="16"/>
        </w:rPr>
        <w:t xml:space="preserve">                                                    </w:t>
      </w:r>
    </w:p>
    <w:p w:rsidR="00F57B07" w14:paraId="54EFD87D" w14:textId="16943161">
      <w:pPr>
        <w:ind w:firstLine="709"/>
        <w:jc w:val="both"/>
        <w:rPr>
          <w:rStyle w:val="Fontdeparagrafimplicit"/>
          <w:sz w:val="16"/>
        </w:rPr>
      </w:pPr>
      <w:r>
        <w:rPr>
          <w:rStyle w:val="Fontdeparagrafimplicit"/>
          <w:sz w:val="16"/>
        </w:rPr>
        <w:t xml:space="preserve">Red. A0016  </w:t>
      </w:r>
      <w:r>
        <w:rPr>
          <w:rStyle w:val="Fontdeparagrafimplicit"/>
          <w:sz w:val="16"/>
        </w:rPr>
        <w:t>5 ex.</w:t>
      </w:r>
    </w:p>
    <w:p w:rsidR="00F57B07" w14:paraId="105123F5" w14:textId="77777777">
      <w:pPr>
        <w:ind w:firstLine="709"/>
        <w:jc w:val="both"/>
        <w:rPr>
          <w:rStyle w:val="Fontdeparagrafimplicit"/>
          <w:sz w:val="16"/>
        </w:rPr>
      </w:pPr>
    </w:p>
    <w:p w:rsidR="00F57B07" w14:paraId="13DD1ABD"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B07"/>
    <w:rsid w:val="007B3BBA"/>
    <w:rsid w:val="00AA6E5E"/>
    <w:rsid w:val="00F57B07"/>
  </w:rsids>
  <w:docVars>
    <w:docVar w:name="url" w:val="http://10.1.48.53:80/ecris_cdms/document_upload.aspx?id_document=200000003032284&amp;id_departament=5&amp;id_sesiune=2661278&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F33C8C1"/>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7B3BBA"/>
    <w:pPr>
      <w:tabs>
        <w:tab w:val="center" w:pos="4680"/>
        <w:tab w:val="right" w:pos="9360"/>
      </w:tabs>
    </w:pPr>
  </w:style>
  <w:style w:type="character" w:customStyle="1" w:styleId="HeaderChar">
    <w:name w:val="Header Char"/>
    <w:basedOn w:val="DefaultParagraphFont"/>
    <w:link w:val="Header"/>
    <w:uiPriority w:val="99"/>
    <w:rsid w:val="007B3BBA"/>
    <w:rPr>
      <w:sz w:val="24"/>
      <w:lang w:val="ro-RO"/>
    </w:rPr>
  </w:style>
  <w:style w:type="paragraph" w:styleId="Footer">
    <w:name w:val="footer"/>
    <w:basedOn w:val="Normal"/>
    <w:link w:val="FooterChar"/>
    <w:uiPriority w:val="99"/>
    <w:unhideWhenUsed/>
    <w:rsid w:val="007B3BBA"/>
    <w:pPr>
      <w:tabs>
        <w:tab w:val="center" w:pos="4680"/>
        <w:tab w:val="right" w:pos="9360"/>
      </w:tabs>
    </w:pPr>
  </w:style>
  <w:style w:type="character" w:customStyle="1" w:styleId="FooterChar">
    <w:name w:val="Footer Char"/>
    <w:basedOn w:val="DefaultParagraphFont"/>
    <w:link w:val="Footer"/>
    <w:uiPriority w:val="99"/>
    <w:rsid w:val="007B3BBA"/>
    <w:rPr>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ct:56998%2033036558"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19</ap:TotalTime>
  <ap:Pages>5</ap:Pages>
  <ap:Words>2342</ap:Words>
  <ap:Characters>13352</ap:Characters>
  <ap:Application>Microsoft Office Word</ap:Application>
  <ap:DocSecurity>0</ap:DocSecurity>
  <ap:Lines>111</ap:Lines>
  <ap:Paragraphs>31</ap:Paragraphs>
  <ap:ScaleCrop>false</ap:ScaleCrop>
  <ap:CharactersWithSpaces>15663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