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5</w:t>
      </w:r>
    </w:p>
    <w:p>
      <w:pPr>
        <w:pStyle w:val="Normal"/>
        <w:rPr>
          <w:b/>
        </w:rPr>
      </w:pPr>
      <w:r>
        <w:rPr>
          <w:b/>
        </w:rPr>
      </w:r>
    </w:p>
    <w:p>
      <w:pPr>
        <w:pStyle w:val="Normal"/>
        <w:rPr>
          <w:b/>
        </w:rPr>
      </w:pPr>
      <w:r>
        <w:rPr>
          <w:b/>
        </w:rPr>
        <w:t>DOSAR NR. D1</w:t>
      </w:r>
    </w:p>
    <w:p>
      <w:pPr>
        <w:pStyle w:val="Normal"/>
        <w:jc w:val="center"/>
        <w:rPr>
          <w:b/>
        </w:rPr>
      </w:pPr>
      <w:r>
        <w:rPr>
          <w:b/>
        </w:rPr>
      </w:r>
    </w:p>
    <w:p>
      <w:pPr>
        <w:pStyle w:val="Normal"/>
        <w:jc w:val="center"/>
        <w:rPr>
          <w:b/>
        </w:rPr>
      </w:pPr>
      <w:r>
        <w:rPr>
          <w:b/>
        </w:rPr>
        <w:t>R O M Â N I A</w:t>
      </w:r>
    </w:p>
    <w:p>
      <w:pPr>
        <w:pStyle w:val="Normal"/>
        <w:jc w:val="center"/>
        <w:rPr>
          <w:b/>
        </w:rPr>
      </w:pPr>
      <w:r>
        <w:rPr>
          <w:b/>
        </w:rPr>
        <w:t>CURTEA DE APEL ...</w:t>
      </w:r>
    </w:p>
    <w:p>
      <w:pPr>
        <w:pStyle w:val="Normal"/>
        <w:jc w:val="center"/>
        <w:rPr>
          <w:b/>
        </w:rPr>
      </w:pPr>
      <w:r>
        <w:rPr>
          <w:b/>
        </w:rPr>
        <w:t>SECŢIA ... ŞI PENTRU CAUZE CU MINORI – NCPP</w:t>
      </w:r>
    </w:p>
    <w:p>
      <w:pPr>
        <w:pStyle w:val="Normal"/>
        <w:jc w:val="center"/>
        <w:rPr/>
      </w:pPr>
      <w:r>
        <w:rPr/>
      </w:r>
    </w:p>
    <w:p>
      <w:pPr>
        <w:pStyle w:val="Normal"/>
        <w:jc w:val="center"/>
        <w:rPr>
          <w:b/>
        </w:rPr>
      </w:pPr>
      <w:r>
        <w:rPr>
          <w:b/>
        </w:rPr>
        <w:t>SENTINŢA PENALĂ NR. ...</w:t>
      </w:r>
    </w:p>
    <w:p>
      <w:pPr>
        <w:pStyle w:val="Normal"/>
        <w:jc w:val="center"/>
        <w:rPr/>
      </w:pPr>
      <w:r>
        <w:rPr/>
        <w:t>Şedinţa </w:t>
      </w:r>
      <w:bookmarkStart w:name="tip_sedinta" w:id="0"/>
      <w:r>
        <w:rPr/>
        <w:t>publică</w:t>
      </w:r>
      <w:bookmarkEnd w:id="0"/>
      <w:r>
        <w:rPr/>
        <w:t xml:space="preserve"> din data de .. </w:t>
      </w:r>
    </w:p>
    <w:p>
      <w:pPr>
        <w:pStyle w:val="Normal"/>
        <w:jc w:val="center"/>
        <w:rPr>
          <w:b/>
        </w:rPr>
      </w:pPr>
      <w:r>
        <w:rPr>
          <w:b/>
        </w:rPr>
      </w:r>
    </w:p>
    <w:p>
      <w:pPr>
        <w:pStyle w:val="Normal"/>
        <w:jc w:val="center"/>
        <w:rPr>
          <w:b/>
        </w:rPr>
      </w:pPr>
      <w:r>
        <w:rPr>
          <w:b/>
        </w:rPr>
        <w:t>Instanţa constituită din:</w:t>
      </w:r>
    </w:p>
    <w:p>
      <w:pPr>
        <w:pStyle w:val="Normal"/>
        <w:jc w:val="center"/>
        <w:rPr>
          <w:b/>
        </w:rPr>
      </w:pPr>
      <w:r>
        <w:rPr>
          <w:b/>
        </w:rPr>
        <w:t>PREŞEDINTE - A0013</w:t>
      </w:r>
    </w:p>
    <w:p>
      <w:pPr>
        <w:pStyle w:val="Normal"/>
        <w:jc w:val="center"/>
        <w:rPr>
          <w:b/>
        </w:rPr>
      </w:pPr>
      <w:r>
        <w:rPr>
          <w:b/>
        </w:rPr>
        <w:t>Grefier - ...</w:t>
      </w:r>
    </w:p>
    <w:p>
      <w:pPr>
        <w:pStyle w:val="Normal"/>
        <w:jc w:val="center"/>
        <w:rPr/>
      </w:pPr>
      <w:r>
        <w:rPr/>
      </w:r>
    </w:p>
    <w:p>
      <w:pPr>
        <w:pStyle w:val="Normal"/>
        <w:jc w:val="center"/>
        <w:rPr/>
      </w:pPr>
      <w:r>
        <w:rPr/>
      </w:r>
    </w:p>
    <w:p>
      <w:pPr>
        <w:pStyle w:val="Normal"/>
        <w:ind w:firstLine="1134"/>
        <w:jc w:val="both"/>
        <w:rPr/>
      </w:pPr>
      <w:r>
        <w:rPr/>
        <w:t xml:space="preserve">Pe rol se află pronunţarea asupra </w:t>
      </w:r>
      <w:r>
        <w:rPr>
          <w:b/>
        </w:rPr>
        <w:t>cauzei penale</w:t>
      </w:r>
      <w:r>
        <w:rPr/>
        <w:t xml:space="preserve"> privind pe </w:t>
      </w:r>
      <w:r>
        <w:rPr>
          <w:b/>
        </w:rPr>
        <w:t>A1</w:t>
      </w:r>
      <w:r>
        <w:rPr/>
        <w:t xml:space="preserve">, având ca obiect </w:t>
      </w:r>
      <w:r>
        <w:rPr>
          <w:i/>
        </w:rPr>
        <w:t>intervenirea unei legi penale noi (art. 595 Cod de procedură penală)</w:t>
      </w:r>
      <w:r>
        <w:rPr/>
        <w:t>.</w:t>
      </w:r>
    </w:p>
    <w:p>
      <w:pPr>
        <w:pStyle w:val="Normal"/>
        <w:ind w:firstLine="1134"/>
        <w:jc w:val="both"/>
        <w:rPr/>
      </w:pPr>
      <w:r>
        <w:rPr/>
        <w:t xml:space="preserve">Dezbaterile asupra cererii au avut loc în şedinţa publică din data de ..., susţinerile părţilor fiind consemnate în încheierea de şedinţă din acea zi, </w:t>
      </w:r>
      <w:r>
        <w:rPr>
          <w:i/>
        </w:rPr>
        <w:t>la ședința de judecată participând procuror</w:t>
      </w:r>
      <w:r>
        <w:rPr/>
        <w:t xml:space="preserve"> </w:t>
      </w:r>
      <w:r>
        <w:rPr>
          <w:i/>
        </w:rPr>
        <w:t>... de la Parchetul de pe lângă Înalta Curte de Casație și Justiție – Direcția Națională Anticorupție – Serviciul Teritorial ....</w:t>
      </w:r>
      <w:r>
        <w:rPr/>
        <w:t xml:space="preserve"> când Curtea de Apel a stabilit pronunţarea pentru data de ..., când, în aceeaşi compunere:</w:t>
      </w:r>
    </w:p>
    <w:p>
      <w:pPr>
        <w:pStyle w:val="Normal"/>
        <w:ind w:firstLine="1134"/>
        <w:jc w:val="both"/>
        <w:rPr/>
      </w:pPr>
      <w:r>
        <w:rPr/>
      </w:r>
    </w:p>
    <w:p>
      <w:pPr>
        <w:pStyle w:val="Normal"/>
        <w:jc w:val="center"/>
        <w:rPr>
          <w:b/>
        </w:rPr>
      </w:pPr>
      <w:r>
        <w:rPr>
          <w:b/>
        </w:rPr>
        <w:t>CURTEA DE APEL</w:t>
      </w:r>
    </w:p>
    <w:p>
      <w:pPr>
        <w:pStyle w:val="Normal"/>
        <w:jc w:val="center"/>
        <w:rPr>
          <w:b/>
        </w:rPr>
      </w:pPr>
      <w:r>
        <w:rPr>
          <w:b/>
        </w:rPr>
      </w:r>
    </w:p>
    <w:p>
      <w:pPr>
        <w:pStyle w:val="Normal"/>
        <w:ind w:firstLine="1134"/>
        <w:jc w:val="both"/>
        <w:rPr>
          <w:b/>
        </w:rPr>
      </w:pPr>
      <w:r>
        <w:rPr>
          <w:b/>
        </w:rPr>
        <w:t>Deliberând asupra cererii formulat de A1, constată următoarele:</w:t>
      </w:r>
    </w:p>
    <w:p>
      <w:pPr>
        <w:pStyle w:val="Normal"/>
        <w:ind w:firstLine="1134"/>
        <w:jc w:val="both"/>
        <w:rPr>
          <w:b/>
        </w:rPr>
      </w:pPr>
      <w:r>
        <w:rPr>
          <w:b/>
        </w:rPr>
      </w:r>
    </w:p>
    <w:p>
      <w:pPr>
        <w:pStyle w:val="Normal"/>
        <w:ind w:firstLine="1134"/>
        <w:jc w:val="both"/>
        <w:rPr/>
      </w:pPr>
      <w:r>
        <w:rPr>
          <w:b/>
        </w:rPr>
        <w:t xml:space="preserve">Prin Decizia penală nr. DP1 pronunțată la data de ... de către Înalta Curte de Casație și Justiție – Secția ..., </w:t>
      </w:r>
      <w:r>
        <w:rPr/>
        <w:t>în dosarul nr.</w:t>
      </w:r>
      <w:r>
        <w:rPr>
          <w:b/>
        </w:rPr>
        <w:t xml:space="preserve"> </w:t>
      </w:r>
      <w:r>
        <w:rPr/>
        <w:t>D2</w:t>
      </w:r>
      <w:r>
        <w:rPr>
          <w:b/>
        </w:rPr>
        <w:t xml:space="preserve">, </w:t>
      </w:r>
      <w:r>
        <w:rPr>
          <w:rStyle w:val="apple-converted-space"/>
        </w:rPr>
        <w:t> </w:t>
      </w:r>
      <w:r>
        <w:rPr/>
        <w:t xml:space="preserve">s-a calificat cererea formulată de contestatorul </w:t>
      </w:r>
      <w:r>
        <w:rPr>
          <w:b/>
        </w:rPr>
        <w:t>A1</w:t>
      </w:r>
      <w:r>
        <w:rPr/>
        <w:t xml:space="preserve"> ca fiind o contestaţie întemeiată pe dispoziţiile art. 595 Cod de procedură penală şi a fost trimis cauza, spre competentă soluţionare, Curţii de Apel ....</w:t>
      </w:r>
    </w:p>
    <w:p>
      <w:pPr>
        <w:pStyle w:val="Normal"/>
        <w:ind w:firstLine="1134"/>
        <w:jc w:val="both"/>
        <w:rPr>
          <w:b/>
        </w:rPr>
      </w:pPr>
      <w:r>
        <w:rPr>
          <w:b/>
        </w:rPr>
        <w:t>În motivare, s-au reținut următoarele:</w:t>
      </w:r>
    </w:p>
    <w:p>
      <w:pPr>
        <w:pStyle w:val="Normal"/>
        <w:ind w:firstLine="1134"/>
        <w:jc w:val="both"/>
        <w:rPr>
          <w:u w:val="single"/>
        </w:rPr>
      </w:pPr>
      <w:r>
        <w:rPr>
          <w:u w:val="single"/>
        </w:rPr>
      </w:r>
    </w:p>
    <w:p>
      <w:pPr>
        <w:pStyle w:val="Normal"/>
        <w:ind w:firstLine="1134"/>
        <w:jc w:val="both"/>
        <w:rPr/>
      </w:pPr>
      <w:r>
        <w:rPr>
          <w:u w:val="single"/>
        </w:rPr>
        <w:t>Prin sentinţa nr. DP2 din ... pronunţată de Curtea de Apel..., Secţia ...</w:t>
      </w:r>
      <w:r>
        <w:rPr/>
        <w:t xml:space="preserve">, printre altele, făcându-se aplicarea art. 5 C. pen., a fost condamnat inculpatul </w:t>
      </w:r>
      <w:r>
        <w:rPr>
          <w:b/>
        </w:rPr>
        <w:t>A1</w:t>
      </w:r>
      <w:r>
        <w:rPr/>
        <w:t xml:space="preserve"> pentru săvârşirea infracţiunii de complicitate la evaziune fiscală prevăzută în art. 26 C. pen. anterior raportat la art. 9 alin. (1) lit. g) şi alin. (3) din Legea nr. 241/2005 raportat la art. 17 lit. g) din Legea nr. 78/2000, cu aplicarea art. 41 alin. (2) C. pen. anterior, la pedeapsa de 6 ani închisoare şi 2 ani interzicerea drepturilor prevăzute în art. 64 alin. (1) lit. a) teza a II-a şi b) C. pen. anterior.</w:t>
      </w:r>
    </w:p>
    <w:p>
      <w:pPr>
        <w:pStyle w:val="Normal"/>
        <w:ind w:firstLine="1134"/>
        <w:jc w:val="both"/>
        <w:rPr/>
      </w:pPr>
      <w:r>
        <w:rPr/>
        <w:t>În baza art. 26 C. pen. anterior raportat la art. 13</w:t>
      </w:r>
      <w:r>
        <w:rPr>
          <w:vertAlign w:val="superscript"/>
        </w:rPr>
        <w:t>2</w:t>
      </w:r>
      <w:r>
        <w:rPr>
          <w:rStyle w:val="apple-converted-space"/>
        </w:rPr>
        <w:t> </w:t>
      </w:r>
      <w:r>
        <w:rPr/>
        <w:t>din Legea nr. 78/2000 raportat la art. 248 C. pen. anterior combinat cu art. 248</w:t>
      </w:r>
      <w:r>
        <w:rPr>
          <w:vertAlign w:val="superscript"/>
        </w:rPr>
        <w:t>1</w:t>
      </w:r>
      <w:r>
        <w:rPr>
          <w:rStyle w:val="apple-converted-space"/>
        </w:rPr>
        <w:t> </w:t>
      </w:r>
      <w:r>
        <w:rPr/>
        <w:t>C. pen. anterior, cu aplicarea art. 41 alin. (2) C. pen. anterior, a fost condamnat acelaşi inculpat la pedeapsa de 6 ani închisoare şi 2 ani interzicerea drepturilor prevăzute în art. 64 alin. (1) lit. a) teza a II-a şi b) C. pen. anterior, pentru săvârşirea infracţiunii de complicitate la abuz în serviciu contra intereselor publice în formă calificată.</w:t>
      </w:r>
    </w:p>
    <w:p>
      <w:pPr>
        <w:pStyle w:val="Normal"/>
        <w:ind w:firstLine="1134"/>
        <w:jc w:val="both"/>
        <w:rPr/>
      </w:pPr>
      <w:r>
        <w:rPr/>
        <w:t xml:space="preserve">În baza art. 23 alin. (1) lit. a) şi c) din Legea nr. 656/2002 raportat la art. 17 lit. e) din Legea nr. 78/2000, cu aplicarea art. 41 alin. (2) C. pen. anterior, a fost condamnat inculpatul </w:t>
      </w:r>
      <w:r>
        <w:rPr>
          <w:b/>
        </w:rPr>
        <w:t>A1</w:t>
      </w:r>
      <w:r>
        <w:rPr/>
        <w:t xml:space="preserve"> la pedeapsa de 5 ani închisoare; în baza art. 275 alin. (1) pct. 1 din Legea nr. 31/1990 raportat la art. 17 lit. h) din Legea nr. 78/2000, cu aplicarea art. 41 alin. (2) C. pen. anterior, la pedeapsa de 6 luni închisoare; în baza art. 8 din Legea nr. 39/2003 raportat la art. 323 C. pen. anterior, cu aplicarea art. 41 alin. (2) C. pen. anterior, la pedeapsa de 6 ani închisoare şi 2 ani interzicerea drepturilor prevăzute în art. 64 alin. (1) lit. a) teza a II-a C. pen. anterior, iar în baza art. 143 alin. (2) lit. b) din Legea nr. 85/2006 raportat la art. 17 lit. h) din Legea nr. 78/2000, la pedeapsa de 2 ani şi 6 luni închisoare.</w:t>
      </w:r>
    </w:p>
    <w:p>
      <w:pPr>
        <w:pStyle w:val="Normal"/>
        <w:ind w:firstLine="1134"/>
        <w:jc w:val="both"/>
        <w:rPr/>
      </w:pPr>
      <w:r>
        <w:rPr/>
        <w:t>În baza art. 33 lit. a), art. 34 alin. (1) lit. b) şi art. 35 alin. (3) C. pen. anterior, au fost contopite pedepsele aplicate inculpatului, urmând ca acesta să execute pedeapsa cea mai grea, de 6 ani închisoare şi 2 ani interzicerea drepturilor prevăzute în art. 64 alin. (1) lit. a) teza a II-a şi b) C. pen. anterior.</w:t>
      </w:r>
    </w:p>
    <w:p>
      <w:pPr>
        <w:pStyle w:val="Normal"/>
        <w:ind w:firstLine="1134"/>
        <w:jc w:val="both"/>
        <w:rPr/>
      </w:pPr>
      <w:r>
        <w:rPr/>
        <w:t>În baza art. 71 alin. (2) C. pen. anterior, au fost interzise inculpatului drepturile prevăzute în art. 64 alin. (1) lit. a) teza a II-a şi b) C. pen. anterior.</w:t>
      </w:r>
    </w:p>
    <w:p>
      <w:pPr>
        <w:pStyle w:val="Normal"/>
        <w:ind w:firstLine="1134"/>
        <w:jc w:val="both"/>
        <w:rPr>
          <w:u w:val="single"/>
        </w:rPr>
      </w:pPr>
      <w:r>
        <w:rPr>
          <w:u w:val="single"/>
        </w:rPr>
      </w:r>
    </w:p>
    <w:p>
      <w:pPr>
        <w:pStyle w:val="Normal"/>
        <w:ind w:firstLine="1134"/>
        <w:jc w:val="both"/>
        <w:rPr/>
      </w:pPr>
      <w:r>
        <w:rPr>
          <w:u w:val="single"/>
        </w:rPr>
        <w:t>Prin decizia nr. DP3 din ... a Înaltei Curţi de Casaţie şi Justiţie, Secţia ..,</w:t>
      </w:r>
      <w:r>
        <w:rPr/>
        <w:t xml:space="preserve"> printre altele, au fost admise apelurile declarate de Parchetul de pe lângă Înalta Curte de Casaţie şi Justiţie - Direcţia Naţională Anticorupţie - Serviciul Teritorial ..., de inculpaţii</w:t>
      </w:r>
      <w:r>
        <w:rPr>
          <w:b/>
        </w:rPr>
        <w:t xml:space="preserve"> A1, </w:t>
      </w:r>
      <w:r>
        <w:rPr/>
        <w:t>B1, B2, B3 şi B4</w:t>
      </w:r>
      <w:r>
        <w:rPr>
          <w:b/>
        </w:rPr>
        <w:t xml:space="preserve"> şi de</w:t>
      </w:r>
      <w:r>
        <w:rPr/>
        <w:t xml:space="preserve"> experta B5 împotriva sentinţei nr. DP2 din ... a Curţii de Apel..., Secţia ..., a fost desfiinţată, în parte, sentinţa menţionată şi, rejudecând, printre altele:</w:t>
      </w:r>
    </w:p>
    <w:p>
      <w:pPr>
        <w:pStyle w:val="Normal"/>
        <w:ind w:firstLine="1134"/>
        <w:jc w:val="both"/>
        <w:rPr/>
      </w:pPr>
      <w:r>
        <w:rPr/>
        <w:t xml:space="preserve">A fost descontopită pedeapsa rezultantă de 6 ani închisoare şi 2 ani interzicerea drepturilor prevăzute în art. 64 alin. (1) lit. a) teza a II-a şi b) C. pen. anterior aplicată inculpatului </w:t>
      </w:r>
      <w:r>
        <w:rPr>
          <w:b/>
        </w:rPr>
        <w:t>A1</w:t>
      </w:r>
      <w:r>
        <w:rPr/>
        <w:t xml:space="preserve"> în pedepsele componente, care au fost repuse în individualitatea lor.</w:t>
      </w:r>
    </w:p>
    <w:p>
      <w:pPr>
        <w:pStyle w:val="Normal"/>
        <w:ind w:firstLine="1134"/>
        <w:jc w:val="both"/>
        <w:rPr/>
      </w:pPr>
      <w:r>
        <w:rPr/>
        <w:t>În baza art. 396 alin. (5) raportat la art. 16 alin. (1) lit. b) teza I C. proc. pen., a fost achitat inculpatul</w:t>
      </w:r>
      <w:r>
        <w:rPr>
          <w:b/>
        </w:rPr>
        <w:t xml:space="preserve"> A1</w:t>
      </w:r>
      <w:r>
        <w:rPr/>
        <w:t xml:space="preserve"> pentru infracţiunea prevăzută în art. 8 din Legea nr. 39/2003 raportat la art. 323 C. pen. anterior, cu aplicarea art. 41 alin. (2) C. pen. anterior.</w:t>
      </w:r>
    </w:p>
    <w:p>
      <w:pPr>
        <w:pStyle w:val="Normal"/>
        <w:ind w:firstLine="1134"/>
        <w:jc w:val="both"/>
        <w:rPr/>
      </w:pPr>
      <w:r>
        <w:rPr/>
        <w:t>În baza art. 386 alin. (1) C. proc. pen., a fost schimbată încadrarea juridică din infracţiunea prevăzută în art. 275 alin. (1) pct. 1 din Legea nr. 31/1990 raportat la art. 17 lit. h) din Legea nr. 78/2000, cu aplicarea art. 41 alin. (2) C. pen. anterior în infracţiunea prevăzută în art. 275 alin. (1) pct. 1 din Legea nr. 31/1990, cu aplicarea art. 41 alin. (2) C. pen. anterior.</w:t>
      </w:r>
    </w:p>
    <w:p>
      <w:pPr>
        <w:pStyle w:val="Normal"/>
        <w:ind w:firstLine="1134"/>
        <w:jc w:val="both"/>
        <w:rPr/>
      </w:pPr>
      <w:r>
        <w:rPr/>
        <w:t>În baza art. 396 alin. (6) raportat la art. 16 alin. (1) lit. f) C. proc. pen., s-a dispus încetarea procesului penal sub aspectul săvârşirii infracţiunii prevăzute în art. 275 alin. (1) pct. 1 din Legea nr. 31/1990, cu aplicarea art. 41 alin. (2) C. pen. anterior, ca urmare a intervenirii prescripţiei răspunderii penale.</w:t>
      </w:r>
    </w:p>
    <w:p>
      <w:pPr>
        <w:pStyle w:val="Normal"/>
        <w:ind w:firstLine="1134"/>
        <w:jc w:val="both"/>
        <w:rPr/>
      </w:pPr>
      <w:r>
        <w:rPr/>
        <w:t>În baza art. 33 lit. a), art. 34 alin. (1) lit. b) şi art. 35 alin. (3) C. pen. anterior, au fost contopite pedepsele de:</w:t>
      </w:r>
    </w:p>
    <w:p>
      <w:pPr>
        <w:pStyle w:val="NormalWeb"/>
        <w:spacing w:before="0" w:after="0"/>
        <w:jc w:val="both"/>
        <w:rPr/>
      </w:pPr>
      <w:r>
        <w:rPr/>
        <w:t>- 6 ani închisoare şi 2 ani interzicerea drepturilor prevăzute în art. 64 alin. (1) lit. a) teza a II-a şi b) C. pen. anterior, pentru infracţiunea prevăzută în art. 26 C. pen. anterior raportat la art. 9 alin. (1) lit. g) şi alin. (3) din Legea nr. 241/2005 raportat la art. 17 lit. g) din Legea nr. 78/2000, cu aplicarea art. 41 alin. (2) C. pen. anterior;</w:t>
      </w:r>
    </w:p>
    <w:p>
      <w:pPr>
        <w:pStyle w:val="NormalWeb"/>
        <w:spacing w:before="0" w:after="0"/>
        <w:jc w:val="both"/>
        <w:rPr/>
      </w:pPr>
      <w:r>
        <w:rPr/>
        <w:t>- 6 ani închisoare şi 2 ani interzicerea drepturilor prevăzute în art. 64 alin. (1) lit. a) teza a II-a şi b) C. pen. anterior, pentru infracţiunea prevăzută în art. 26 C. pen. anterior raportat la art. 13</w:t>
      </w:r>
      <w:r>
        <w:rPr>
          <w:vertAlign w:val="superscript"/>
        </w:rPr>
        <w:t>2</w:t>
      </w:r>
      <w:r>
        <w:rPr>
          <w:rStyle w:val="apple-converted-space"/>
        </w:rPr>
        <w:t> </w:t>
      </w:r>
      <w:r>
        <w:rPr/>
        <w:t>din Legea nr. 78/2000 raportat la art. 248 C. pen. anterior combinat cu art. 248</w:t>
      </w:r>
      <w:r>
        <w:rPr>
          <w:vertAlign w:val="superscript"/>
        </w:rPr>
        <w:t>1</w:t>
      </w:r>
      <w:r>
        <w:rPr>
          <w:rStyle w:val="apple-converted-space"/>
        </w:rPr>
        <w:t> </w:t>
      </w:r>
      <w:r>
        <w:rPr/>
        <w:t>C. pen. anterior, cu aplicarea art. 41 alin. (2) C. pen. anterior;</w:t>
      </w:r>
    </w:p>
    <w:p>
      <w:pPr>
        <w:pStyle w:val="NormalWeb"/>
        <w:spacing w:before="0" w:after="0"/>
        <w:jc w:val="both"/>
        <w:rPr/>
      </w:pPr>
      <w:r>
        <w:rPr/>
        <w:t>- 5 ani închisoare pentru infracţiunea prevăzută în art. 23 alin. (1) lit. a) şi c) din Legea nr. 656/2002 raportat la art. 17 lit. e) din Legea nr. 78/2000, cu aplicarea art. 41 alin. (2) C. pen. anterior;</w:t>
      </w:r>
    </w:p>
    <w:p>
      <w:pPr>
        <w:pStyle w:val="NormalWeb"/>
        <w:spacing w:before="0" w:after="0"/>
        <w:jc w:val="both"/>
        <w:rPr/>
      </w:pPr>
      <w:r>
        <w:rPr/>
        <w:t>- 2 ani şi 6 luni închisoare pentru infracţiunea prevăzută în art. 143 alin. (2) lit. b) din Legea nr. 85/2006 raportat la art. 17 lit. h) din Legea nr. 78/2000, aplicate inculpatului şi s-a dispus ca acesta să execute pedeapsa cea mai grea, de 6 ani închisoare şi 2 ani interzicerea drepturilor prevăzute în art. 64 alin. (1) lit. a) teza a II-a şi b) C. pen. anterior.</w:t>
      </w:r>
    </w:p>
    <w:p>
      <w:pPr>
        <w:pStyle w:val="NormalWeb"/>
        <w:spacing w:before="0" w:after="0"/>
        <w:ind w:firstLine="1134"/>
        <w:jc w:val="both"/>
        <w:rPr/>
      </w:pPr>
      <w:r>
        <w:rPr/>
        <w:t>În baza art. 71 alin. (2) C. pen. anterior, au fost interzise inculpatului drepturile prevăzute în art. 64 alin. (1) lit. a) teza a II-a şi b) C. pen. anterior.</w:t>
      </w:r>
    </w:p>
    <w:p>
      <w:pPr>
        <w:pStyle w:val="NormalWeb"/>
        <w:spacing w:before="0" w:after="0"/>
        <w:ind w:firstLine="1134"/>
        <w:jc w:val="both"/>
        <w:rPr/>
      </w:pPr>
      <w:r>
        <w:rPr/>
      </w:r>
    </w:p>
    <w:p>
      <w:pPr>
        <w:pStyle w:val="NormalWeb"/>
        <w:spacing w:before="0" w:after="0"/>
        <w:ind w:firstLine="1134"/>
        <w:jc w:val="both"/>
        <w:rPr/>
      </w:pPr>
      <w:r>
        <w:rPr/>
        <w:t xml:space="preserve">Împotriva Deciziei nr. DP3 din ... a Înaltei Curţi de Casaţie şi Justiţie, Secţia penală, a formulat contestaţie la executare </w:t>
      </w:r>
      <w:r>
        <w:rPr>
          <w:b/>
        </w:rPr>
        <w:t>A1</w:t>
      </w:r>
      <w:r>
        <w:rPr/>
        <w:t>.</w:t>
      </w:r>
    </w:p>
    <w:p>
      <w:pPr>
        <w:pStyle w:val="NormalWeb"/>
        <w:spacing w:before="0" w:after="0"/>
        <w:ind w:firstLine="1134"/>
        <w:jc w:val="both"/>
        <w:rPr/>
      </w:pPr>
      <w:r>
        <w:rPr/>
        <w:t>În motivarea căii de atac, în esenţă, a susţinut că, aşa cum reiese din motivarea Deciziei nr. DP3 a Înaltei Curţi de Casaţie şi Justiţie, a fost condamnat contrar prevederilor deciziei Curţii Constituţionale nr. 405 din 15 iunie 2016, pentru o faptă parţial dezincriminată.</w:t>
      </w:r>
    </w:p>
    <w:p>
      <w:pPr>
        <w:pStyle w:val="NormalWeb"/>
        <w:spacing w:before="0" w:after="0"/>
        <w:ind w:firstLine="1134"/>
        <w:jc w:val="both"/>
        <w:rPr/>
      </w:pPr>
      <w:r>
        <w:rPr/>
        <w:t>În drept, au fost invocate dispoziţiile art. 595, art. 597 şi art. 598 alin. (1) lit. c) C. proc. pen.</w:t>
      </w:r>
    </w:p>
    <w:p>
      <w:pPr>
        <w:pStyle w:val="NormalWeb"/>
        <w:spacing w:before="0" w:after="0"/>
        <w:ind w:firstLine="1134"/>
        <w:jc w:val="both"/>
        <w:rPr/>
      </w:pPr>
      <w:r>
        <w:rPr>
          <w:u w:val="single"/>
        </w:rPr>
        <w:t>Prin încheierea din data de ....</w:t>
      </w:r>
      <w:r>
        <w:rPr/>
        <w:t>, Înalta Curte de Casaţie şi Justiţie, din oficiu, a pus în vedere contestatorului să precizeze care este obiectul cauzei, respectiv textul de lege pe care îşi întemeiază contestaţia formulată, având în vedere că de indicarea temeiului legal depinde atât stabilirea competenţei materiale a instanţei, cât şi modalitatea de desemnare a completului de judecată, putând fi vorba, după caz, despre o cauză care se soluţionează de curtea de apel sau de Înalta Curte de Casaţie şi Justiţie, respectiv o cauză ce se repartizează aleatoriu sau revine spre soluţionare, în mod direct, completului care a pronunţat anterior decizia contestată, potrivit dispoziţiilor Regulamentului de ordine interioară al instanţelor judecătoreşti. Prin urmare, s-a pus în vedere contestatorului să indice, în mod expres, dacă cererea formulată are în vedere dispoziţiile art. 598 C. proc. pen. sau art. 595 C. proc. pen.</w:t>
      </w:r>
    </w:p>
    <w:p>
      <w:pPr>
        <w:pStyle w:val="NormalWeb"/>
        <w:spacing w:before="0" w:after="0"/>
        <w:ind w:firstLine="1134"/>
        <w:jc w:val="both"/>
        <w:rPr/>
      </w:pPr>
      <w:r>
        <w:rPr>
          <w:u w:val="single"/>
        </w:rPr>
        <w:t>Prin notele de şedinţă înregistrate la data de 24 martie 2017</w:t>
      </w:r>
      <w:r>
        <w:rPr/>
        <w:t>, contestatorul a precizat că temeiul de drept al cererii este reprezentat de dispoziţiile art. 598 alin. (1) lit. c) C. proc. pen.</w:t>
      </w:r>
    </w:p>
    <w:p>
      <w:pPr>
        <w:pStyle w:val="NormalWeb"/>
        <w:spacing w:before="0" w:after="0"/>
        <w:ind w:firstLine="1134"/>
        <w:jc w:val="both"/>
        <w:rPr/>
      </w:pPr>
      <w:r>
        <w:rPr/>
        <w:t xml:space="preserve">Ulterior, </w:t>
      </w:r>
      <w:r>
        <w:rPr>
          <w:u w:val="single"/>
        </w:rPr>
        <w:t>prin concluziile scrise înregistrate la data de 30 martie 2017</w:t>
      </w:r>
      <w:r>
        <w:rPr/>
        <w:t>, contestatorul a solicitat să se aibă în vedere decizia Curţii Constituţionale nr. 405 din 15 iunie 2016, care constată că dispoziţiile legale cu privire la reglementarea abuzului în serviciu din Codul penal anterior sunt constituţionale în măsura în care prin sintagma „îndeplineşte în mod defectuos” se înţelege „îndeplineşte prin încălcarea legii.” Aşadar, în evaluarea aplicării sau menţinerii unei sentinţe penale deja pronunţate, instanţa trebuie să analizeze existenţa faptei de abuz în serviciu, raportându-se exclusiv la considerentele enunţate în decizia Curţii Constituţionale nr. 405/2016. Altfel spus, constatarea că o faptă intră în sfera abuzului în serviciu trebuie să se realizeze numai în situaţiile în care fapta este comisă prin încălcarea unei legi, a unei ordonanţe sau a unei ordonanţe de urgenţă.</w:t>
      </w:r>
    </w:p>
    <w:p>
      <w:pPr>
        <w:pStyle w:val="NormalWeb"/>
        <w:spacing w:before="0" w:after="0"/>
        <w:ind w:firstLine="1134"/>
        <w:jc w:val="both"/>
        <w:rPr/>
      </w:pPr>
      <w:r>
        <w:rPr/>
        <w:t>A menţionat contestatorul că, în motivarea deciziei penale nr. DP3 din ... a Înaltei Curţi de Casaţie şi Justiţie, nu se reţine încălcarea niciunei legi, întrucât nu se poate considera că prin semnarea unor bilete la ordin, chiar şi în situaţia lipsei de disponibil bănesc, ar fi săvârşit infracţiunea de complicitate la abuz în serviciu, din moment ce legislaţia în vigoare, care reglementează circuitul instrumentelor bancare de tip bilet la ordin, prevede această situaţie, pe care nu o asimilează legii penale.</w:t>
      </w:r>
    </w:p>
    <w:p>
      <w:pPr>
        <w:pStyle w:val="NormalWeb"/>
        <w:spacing w:before="0" w:after="0"/>
        <w:ind w:firstLine="1134"/>
        <w:jc w:val="both"/>
        <w:rPr/>
      </w:pPr>
      <w:r>
        <w:rPr/>
        <w:t>Examinând actele şi lucrările dosarului, Înalta Curte de Casaţie şi Justiţie a constatat următoarele:</w:t>
      </w:r>
    </w:p>
    <w:p>
      <w:pPr>
        <w:pStyle w:val="NormalWeb"/>
        <w:spacing w:before="0" w:after="0"/>
        <w:ind w:firstLine="1134"/>
        <w:jc w:val="both"/>
        <w:rPr/>
      </w:pPr>
      <w:r>
        <w:rPr/>
        <w:t>Prima problemă de drept este aceea a identificării naturii solicitării formulate de petent, în raport de conţinutul cererii, în care se invocă lipsa prevederii faptei în legea penală, în urma declarării ca neconstituţional a unui text de lege. Această problemă este dezlegată de hotărârea prealabilă nr. 6/2017 a Completului pentru dezlegarea unor chestiuni de drept în materie penală al Înaltei Curţi de Casaţie şi Justiţie, în care s-a arătat că efectele unei decizii a Curţii Constituţionale sunt echivalente abrogării textului de incriminare, inclusiv dezincriminării. Totodată, decizia menţionată arată că, atunci când fapta anterioară a fost dezincriminată, trăsătura tipicităţii nu este întrunită indiferent dacă dezincriminarea a operat ca efect al abrogării normei sau ca efect al admiterii excepţiei de neconstituţionalitate şi al constatării neconstituţionalităţii normei (în acelaşi sens este şi decizia nr. 18/2016 a Completului pentru dezlegarea unor chestiuni de drept în materie penală al Înaltei Curţi de Casaţie şi Justiţie).</w:t>
      </w:r>
    </w:p>
    <w:p>
      <w:pPr>
        <w:pStyle w:val="NormalWeb"/>
        <w:spacing w:before="0" w:after="0"/>
        <w:ind w:firstLine="1134"/>
        <w:jc w:val="both"/>
        <w:rPr/>
      </w:pPr>
      <w:r>
        <w:rPr/>
        <w:t>Constatarea neconstituţionalităţii unei norme de incriminare, având ca efect dezincriminarea, precizează decizia nr. 6/2017 a Completului pentru dezlegarea unor chestiuni de drept în materie penală al Înaltei Curţi de Casaţie şi Justiţie, „poate privi norma în integralitatea sa ori numai anumite variante de incriminare (prin constatarea neconstituţionalităţii unor teze ale normei de incriminare sau a unor sintagme din norma de incriminare care determină existenţa unor variante de incriminare). În această ipoteză, constatarea neconstituţionalităţii are ca efect dezincriminarea acelei variante vizate de decizia instanţei de contencios constituţional, iar nu a tuturor variantelor prevăzute în norma de incriminare.”</w:t>
      </w:r>
    </w:p>
    <w:p>
      <w:pPr>
        <w:pStyle w:val="NormalWeb"/>
        <w:spacing w:before="0" w:after="0"/>
        <w:ind w:firstLine="1134"/>
        <w:jc w:val="both"/>
        <w:rPr/>
      </w:pPr>
      <w:r>
        <w:rPr/>
        <w:t>În consecinţă, cererea formulată de petent urmează a fi examinată în raport cu dubla sa semnificaţie, pe de o parte, invocarea dezincriminării, iar pe de altă parte, sursa acestei dezincriminări, astfel cum este invocată de petent, respectiv o decizie a Curţii Constituţionale, care nu a fost urmată de o intervenţie a legiuitorului în sensul celor dispuse de Curtea Constituţională.</w:t>
      </w:r>
    </w:p>
    <w:p>
      <w:pPr>
        <w:pStyle w:val="NormalWeb"/>
        <w:spacing w:before="0" w:after="0"/>
        <w:ind w:firstLine="1134"/>
        <w:jc w:val="both"/>
        <w:rPr/>
      </w:pPr>
      <w:r>
        <w:rPr/>
      </w:r>
    </w:p>
    <w:p>
      <w:pPr>
        <w:pStyle w:val="NormalWeb"/>
        <w:spacing w:before="0" w:after="0"/>
        <w:ind w:firstLine="1134"/>
        <w:jc w:val="both"/>
        <w:rPr/>
      </w:pPr>
      <w:r>
        <w:rPr/>
        <w:t>Considerentele ce preced, având în vedere natura hotărârilor din care provin, respectiv două decizii ale Completului pentru dezlegarea unor chestiuni de drept în materie penală al Înaltei Curţi de Casaţie şi Justiţie, date în unificarea practicii judiciare, nu mai impun examinarea deciziei de speţă depusă ca jurisprudenţă de reprezentantul Ministerului Public.</w:t>
      </w:r>
    </w:p>
    <w:p>
      <w:pPr>
        <w:pStyle w:val="NormalWeb"/>
        <w:spacing w:before="0" w:after="0"/>
        <w:ind w:firstLine="1134"/>
        <w:jc w:val="both"/>
        <w:rPr/>
      </w:pPr>
      <w:r>
        <w:rPr/>
        <w:t>În cele ce urmează, însă, instanţa va examina mijloacele procesuale prin care o parte poate invoca situaţia dezincriminării ca urmare a declarării neconstituţionalităţii unui text de lege. Examenul are în vedere strict aptitudinea procesuală a căii de atac de a permite examinarea unei asemenea cereri.</w:t>
      </w:r>
    </w:p>
    <w:p>
      <w:pPr>
        <w:pStyle w:val="NormalWeb"/>
        <w:spacing w:before="0" w:after="0"/>
        <w:ind w:firstLine="1134"/>
        <w:jc w:val="both"/>
        <w:rPr/>
      </w:pPr>
      <w:r>
        <w:rPr/>
        <w:t>A doua problemă de drept pusă în discuţie de cererea formulată în prezenta cauză are în vedere procedura aplicabilă atunci când se invocă dezincriminarea unei fapte ca efect al declarării neconstituţionale a unui text de incriminare. Procedura aplicabilă influenţează decisiv competenţa de soluţionare în primă instanţă a respectivei cereri.</w:t>
      </w:r>
    </w:p>
    <w:p>
      <w:pPr>
        <w:pStyle w:val="NormalWeb"/>
        <w:spacing w:before="0" w:after="0"/>
        <w:ind w:firstLine="1134"/>
        <w:jc w:val="both"/>
        <w:rPr/>
      </w:pPr>
      <w:r>
        <w:rPr/>
        <w:t>Codul de procedură penală prevede mai multe situaţii juridice care decurg din lipsa prevederii unei fapte ca infracţiune.</w:t>
      </w:r>
    </w:p>
    <w:p>
      <w:pPr>
        <w:pStyle w:val="NormalWeb"/>
        <w:spacing w:before="0" w:after="0"/>
        <w:ind w:firstLine="1134"/>
        <w:jc w:val="both"/>
        <w:rPr/>
      </w:pPr>
      <w:r>
        <w:rPr/>
        <w:t>Astfel, o primă procedură incidentă în cauză este aceea prevăzută în cadrul recursului în casaţie, când poate fi invocat motivul prevăzut în art. 438 alin. (1) pct. 7 C. proc. pen. (inculpatul a fost condamnat pentru o faptă care nu este prevăzută de legea penală).</w:t>
      </w:r>
    </w:p>
    <w:p>
      <w:pPr>
        <w:pStyle w:val="NormalWeb"/>
        <w:spacing w:before="0" w:after="0"/>
        <w:ind w:firstLine="1134"/>
        <w:jc w:val="both"/>
        <w:rPr/>
      </w:pPr>
      <w:r>
        <w:rPr/>
        <w:t>O a doua procedură, prevăzută de Codul procedură penală, este aceea descrisă în art. 595 alin. (1), intervenirea unei legi penale noi, care are următorul cuprins: „Când după rămânerea definitivă a hotărârii de condamnare sau a hotărârii prin care s-a aplicat o măsură educativă intervine o lege ce nu mai prevede ca infracţiune fapta pentru care s-a pronunţat condamnarea ori o lege care prevede o pedeapsă sau o măsură educativă mai uşoară decât cea care se execută ori urmează a se executa, instanţa ia măsuri pentru aducerea la îndeplinire, după caz, a dispoziţiilor art. 4 şi 6 din Codul penal.”</w:t>
      </w:r>
    </w:p>
    <w:p>
      <w:pPr>
        <w:pStyle w:val="NormalWeb"/>
        <w:spacing w:before="0" w:after="0"/>
        <w:ind w:firstLine="1134"/>
        <w:jc w:val="both"/>
        <w:rPr/>
      </w:pPr>
      <w:r>
        <w:rPr/>
        <w:t>Au existat şi ipoteze în care au fost invocate prevederile art. 598 alin. (1) lit. c) C. proc. pen., „când se iveşte vreo nelămurire cu privire la hotărârea care se execută sau vreo împiedicare la executare.”</w:t>
      </w:r>
    </w:p>
    <w:p>
      <w:pPr>
        <w:pStyle w:val="NormalWeb"/>
        <w:spacing w:before="0" w:after="0"/>
        <w:ind w:firstLine="1134"/>
        <w:jc w:val="both"/>
        <w:rPr/>
      </w:pPr>
      <w:r>
        <w:rPr/>
        <w:t>Cu privire la aspectul particular al declarării ca neconstituţional a unui text de lege, procedura penală reglementează şi o cale de atac distinctă, aceea a revizuirii, prevăzută în art. 453 alin. (1) lit. f) C. proc. pen. („hotărârea s-a întemeiat pe o prevedere legală care, după ce hotărârea a devenit definitivă, a fost declarată neconstituţională ca urmare a admiterii unei excepţii de neconstituţionalitate ridicate în acea cauză, în situaţia în care consecinţele încălcării dispoziţiei constituţionale continuă să se producă şi nu pot fi remediate decât prin revizuirea hotărârii pronunţate”).</w:t>
      </w:r>
    </w:p>
    <w:p>
      <w:pPr>
        <w:pStyle w:val="NormalWeb"/>
        <w:spacing w:before="0" w:after="0"/>
        <w:ind w:firstLine="1134"/>
        <w:jc w:val="both"/>
        <w:rPr/>
      </w:pPr>
      <w:r>
        <w:rPr/>
        <w:t>Fiecare dintre ipotezele descrise anterior presupune însă condiţii distincte în care cererile pot fi formulate, astfel încât, pe de o parte, căile extraordinare de atac să nu se suprapună între ele sau cu mijloacele de contestare a punerii în executare a unei decizii definitive, iar pe de altă parte, pentru a se asigura aplicarea efectelor legii de dezincriminare, indiferent de momentul la care aceasta intervine în raport cu data rămânerii definitive a unei hotărâri de condamnare şi indiferent de persoana care o solicită.</w:t>
      </w:r>
    </w:p>
    <w:p>
      <w:pPr>
        <w:pStyle w:val="NormalWeb"/>
        <w:spacing w:before="0" w:after="0"/>
        <w:ind w:firstLine="1134"/>
        <w:jc w:val="both"/>
        <w:rPr/>
      </w:pPr>
      <w:r>
        <w:rPr/>
        <w:t>Astfel, în ceea ce priveşte recursul în casaţie, pe de o parte, există condiţionarea termenului în care acesta se formulează, iar pe de altă parte, prin comparaţie cu prevederile art. 595 C. proc. pen., apare că momentul la care intervine legea de dezincriminare este situat fie înainte de pronunţarea hotărârii definitive, fie cel târziu până la expirarea termenului de declarare a acestei căi de atac.</w:t>
      </w:r>
    </w:p>
    <w:p>
      <w:pPr>
        <w:pStyle w:val="NormalWeb"/>
        <w:spacing w:before="0" w:after="0"/>
        <w:ind w:firstLine="1134"/>
        <w:jc w:val="both"/>
        <w:rPr/>
      </w:pPr>
      <w:r>
        <w:rPr/>
        <w:t>În consecinţă, în această primă ipoteză, pot fi valorificate doar acele legi de dezincriminare (</w:t>
      </w:r>
      <w:r>
        <w:rPr>
          <w:rStyle w:val="Emphasis"/>
        </w:rPr>
        <w:t xml:space="preserve">mutatis mutandis </w:t>
      </w:r>
      <w:r>
        <w:rPr/>
        <w:t>şi cazul unei decizii a Curţii Constituţionale prin care norma de incriminare este declarată neconstituţională) care intră în vigoare cel târziu până la expirarea termenului de declarare a recursului în casaţie.</w:t>
      </w:r>
    </w:p>
    <w:p>
      <w:pPr>
        <w:pStyle w:val="NormalWeb"/>
        <w:spacing w:before="0" w:after="0"/>
        <w:ind w:firstLine="1134"/>
        <w:jc w:val="both"/>
        <w:rPr/>
      </w:pPr>
      <w:r>
        <w:rPr/>
        <w:t>În ceea ce priveşte revizuirea prevăzută în art. 453 alin. (1) lit. f) C. proc. pen., motivul prevăzut de lege este legat de admiterea unei excepţii de neconstituţionalitate în respectiva cauză, atunci când consecinţele încălcării dispoziţiilor constituţionale continuă să se producă şi nu pot fi remediate decât prin revizuirea hotărârii pronunţate.</w:t>
      </w:r>
    </w:p>
    <w:p>
      <w:pPr>
        <w:pStyle w:val="NormalWeb"/>
        <w:spacing w:before="0" w:after="0"/>
        <w:ind w:firstLine="1134"/>
        <w:jc w:val="both"/>
        <w:rPr/>
      </w:pPr>
      <w:r>
        <w:rPr/>
        <w:t>Contestaţia prevăzută în art. 595 C. proc. pen. extinde posibilitatea de a beneficia de efectele unei legi de dezincriminare dincolo de termenul în care aceasta ar fi putut fi invocată în cadrul unui recurs în casaţie şi de persoanele care ar fi putut formula un recurs în casaţie sau persoanele care au invocat excepţia de neconstituţionalitate, sursă a dezincriminării, având în vedere că, în cadrul acestei proceduri, invocarea legii de dezincriminare se poate face din oficiu.</w:t>
      </w:r>
    </w:p>
    <w:p>
      <w:pPr>
        <w:pStyle w:val="NormalWeb"/>
        <w:spacing w:before="0" w:after="0"/>
        <w:ind w:firstLine="1134"/>
        <w:jc w:val="both"/>
        <w:rPr/>
      </w:pPr>
      <w:r>
        <w:rPr/>
        <w:t>Examinând normele ce preced, instanţa a constata că persoana condamnată în prezenta cauză a solicitat aplicarea dispoziţiilor art. 598 alin. (1) lit. c) C. proc. pen., dar că, în realitate, nelămurirea invocată de aceasta reprezintă o problemă de drept, reglementată în mod special în Codul de procedură penală, în art. 595, text care derogă de la dispoziţiile generale. O contestaţie la executare ce vizează nelămuriri cu privire la hotărârea ce se execută nu poate fi formulată în situaţia în care Codul procedură penală prevede o reglementare distinctă a respectivei probleme de drept, astfel cum este cazul în speţă.</w:t>
      </w:r>
    </w:p>
    <w:p>
      <w:pPr>
        <w:pStyle w:val="NormalWeb"/>
        <w:spacing w:before="0" w:after="0"/>
        <w:ind w:firstLine="1134"/>
        <w:jc w:val="both"/>
        <w:rPr/>
      </w:pPr>
      <w:r>
        <w:rPr/>
        <w:t>Mai mult, prin contestaţia la executare prevăzută în art. 598 alin. (1) lit. c) C. proc. pen. nu se poate modifica o hotărâre, aducându-se atingere autorităţii de lucru judecat ce ţine de incriminare. Pe această cale, se pot invoca numai aspecte ce privesc exclusiv executarea hotărârilor, nu se pot pune în discuţie legalitatea şi temeinicia hotărârilor în baza cărora se face executarea şi nu se poate ajunge la modificarea hotărârilor rămase definitive. Referitor la cazul prevăzut în art. 598 alin. (1) lit. c) C. proc. pen., împiedicările la executare trebuie să se datoreze unor cauze legale prin care nu se poate pune în executare hotărârea sau nu poate continua executarea acesteia.</w:t>
      </w:r>
    </w:p>
    <w:p>
      <w:pPr>
        <w:pStyle w:val="Normal"/>
        <w:ind w:firstLine="1134"/>
        <w:jc w:val="both"/>
        <w:rPr/>
      </w:pPr>
      <w:r>
        <w:rPr/>
        <w:t xml:space="preserve">Drept urmare, având în vedere critica invocată (în sensul că a fost condamnat contrar prevederilor deciziei Curţii Constituţionale nr. 405 din 15 iunie 2016, pentru o faptă </w:t>
      </w:r>
      <w:r>
        <w:rPr>
          <w:b/>
        </w:rPr>
        <w:t>parţial dezincriminată</w:t>
      </w:r>
      <w:r>
        <w:rPr/>
        <w:t xml:space="preserve">), s-a calificat cererea formulată de contestatorul </w:t>
      </w:r>
      <w:r>
        <w:rPr>
          <w:b/>
        </w:rPr>
        <w:t>A1</w:t>
      </w:r>
      <w:r>
        <w:rPr/>
        <w:t xml:space="preserve"> ca fiind o contestaţie întemeiată pe dispoziţiile art. 595 Cod de procedură penală şi a fost trimis cauza, spre competentă soluţionare, Curţii de Apel ...</w:t>
      </w:r>
    </w:p>
    <w:p>
      <w:pPr>
        <w:pStyle w:val="Normal"/>
        <w:ind w:firstLine="1134"/>
        <w:jc w:val="both"/>
        <w:rPr/>
      </w:pPr>
      <w:r>
        <w:rPr/>
      </w:r>
    </w:p>
    <w:p>
      <w:pPr>
        <w:pStyle w:val="Normal"/>
        <w:ind w:firstLine="1134"/>
        <w:jc w:val="both"/>
        <w:rPr/>
      </w:pPr>
      <w:r>
        <w:rPr/>
        <w:t>Cauza a fost înregistrată pe rolul Curții de Apel ... la data de 26.05.2017, sub nr.  D1.</w:t>
      </w:r>
    </w:p>
    <w:p>
      <w:pPr>
        <w:pStyle w:val="Normal"/>
        <w:ind w:firstLine="1134"/>
        <w:jc w:val="both"/>
        <w:rPr/>
      </w:pPr>
      <w:r>
        <w:rPr>
          <w:b/>
        </w:rPr>
        <w:t>A1</w:t>
      </w:r>
      <w:r>
        <w:rPr/>
        <w:t xml:space="preserve"> a fost asistat de apărător desemnat din oficiu, av. Av1 (împuternicire avocațială nr. ...0/30.05.2017 emisă de Baroul ... – </w:t>
      </w:r>
      <w:r>
        <w:rPr>
          <w:i/>
        </w:rPr>
        <w:t>fila 10 dosar Curtea de Apel ...</w:t>
      </w:r>
      <w:r>
        <w:rPr/>
        <w:t>).</w:t>
      </w:r>
    </w:p>
    <w:p>
      <w:pPr>
        <w:pStyle w:val="Normal"/>
        <w:ind w:firstLine="1134"/>
        <w:jc w:val="both"/>
        <w:rPr/>
      </w:pPr>
      <w:r>
        <w:rPr/>
        <w:t xml:space="preserve">Au fost citați intimații: Direcția Regională a Finanțelor Publice – prin Administrația Județeană a Finanțelor Publice... (a primit termen în cunoștință prin semnarea dovezii de primire a citației de persoana însărcinată cu primirea corespondenței – </w:t>
      </w:r>
      <w:r>
        <w:rPr>
          <w:i/>
        </w:rPr>
        <w:t>fila 48 dosar Curtea de Apel ...</w:t>
      </w:r>
      <w:r>
        <w:rPr/>
        <w:t xml:space="preserve">), S.C. T1 S.R.L. .... (a primit termen în cunoștință prin semnarea dovezii de primire a citației de lichidatorul judiciar – </w:t>
      </w:r>
      <w:r>
        <w:rPr>
          <w:i/>
        </w:rPr>
        <w:t>fila 49 dosar Curtea de Apel ....</w:t>
      </w:r>
      <w:r>
        <w:rPr/>
        <w:t xml:space="preserve"> și S.C. T2 (a primit termen în cunoștință prin semnarea dovezii de primire a citației de lichidatorul judiciar – </w:t>
      </w:r>
      <w:r>
        <w:rPr>
          <w:i/>
        </w:rPr>
        <w:t>fila 50 dosar Curtea de Apel ...</w:t>
      </w:r>
      <w:r>
        <w:rPr/>
        <w:t>).</w:t>
      </w:r>
    </w:p>
    <w:p>
      <w:pPr>
        <w:pStyle w:val="Normal"/>
        <w:ind w:firstLine="1134"/>
        <w:jc w:val="both"/>
        <w:rPr/>
      </w:pPr>
      <w:r>
        <w:rPr>
          <w:b/>
        </w:rPr>
        <w:t>A1</w:t>
      </w:r>
      <w:r>
        <w:rPr/>
        <w:t xml:space="preserve"> a depus concluzii scrise (</w:t>
      </w:r>
      <w:r>
        <w:rPr>
          <w:i/>
        </w:rPr>
        <w:t>filele 62-67 și 81-92 dosar Curtea de Apel ...</w:t>
      </w:r>
      <w:r>
        <w:rPr/>
        <w:t xml:space="preserve">), prin care a invocat, </w:t>
      </w:r>
      <w:r>
        <w:rPr>
          <w:b/>
        </w:rPr>
        <w:t>în esență</w:t>
      </w:r>
      <w:r>
        <w:rPr/>
        <w:t xml:space="preserve">, următoarele: legea nu mai prevede ca infracțiune fapta de complicitate la abuz în serviciu pentru care a fost condamnat; în motivarea Deciziei penale nr. DP3/... pronunțate de Înalta Curte de Casație și Justiție nu se reține încălcarea vreunei legi; nu se poate considera că, prin completarea, semnarea și depunerea spre decontare a patru bilete la ordin, chiar și în lipsa disponibilului bănesc, a săvârșit complicitate la abuz în serviciu, fapta nefiind prevăzută de legea penală; cu privire la emiterea biletelor la ordin fără acoperire în cont, sunt aplicabile dispozițiile legale privitoare la gir, scadență, plată, acțiunea sau executarea cambială, regres în caz de neplată și protest, fapta neconstituind infracțiune, astfel cum a statuat și Înalta Curte de Casație și Justiție, prin Decizia nr. 338 din 13 decembrie 2004; raportat la dispozițiile Legii nr. 188/2000, ajutorul dat unui executor judecătoresc nu poate consta în simpla semnare și depunere a 4 patru bilete la ordin, chiar și în lipsa disponibilului bănesc; chiar și în situația în care ar fi existat un concurs de executări între executorul judecătoresc și cel fiscal, actele îndeplinite de executorul judecătoresc cu încălcarea regulilor de competență atribuțională nu pot constitui latura obiectivă a infracțiunii de abuz în serviciu, întrucât legiuitorul prin dispozițiile Codului de procedură civilă a reglementat remediile procesuale – </w:t>
      </w:r>
      <w:r>
        <w:rPr>
          <w:i/>
        </w:rPr>
        <w:t xml:space="preserve">reunirea executării </w:t>
      </w:r>
      <w:r>
        <w:rPr/>
        <w:t xml:space="preserve">(art. 373 indice 4 Cod de procedură civilă) sau </w:t>
      </w:r>
      <w:r>
        <w:rPr>
          <w:i/>
        </w:rPr>
        <w:t>anularea actelor de executare în cadrul unei contestații la executar</w:t>
      </w:r>
      <w:r>
        <w:rPr/>
        <w:t>e; nici sub aspectul întocmirii procedurilor de executare silită, în ceea ce privește raporturile care au existat între el și executorul judecătoresc B4, nu se poate reține o încălcare a legii, astfel cum se impune prin raportare la Decizia Curții Constituționale a României nr. 405 din 15 iunie 2016; cu privire la avantajul patrimonial pe care l-ar fi obținut, nu sunt îndeplinite rigorile Deciziei Curții Constituționale a României nr. 405 din 15 iunie 2016, în ceea ce privește raportarea la un prag valoric minim obligatoriu care să facă delimitarea între existența unei infracțiuni și a unei fapte sancționate contravențional și nici în ceea ce privește obligativitatea condiției de încălcare a legii; a respectat toate prevederile legale care fac referire la obligațiile pe care un licitator trebuia să le îndeplinească; referitor la valoarea de achiziție a bunurilor, nici sub acest aspect nu se îndeplinește condiția esențială a existenței încălcării legii, întrucât pentru cele 22 (douăzecișidouă) bunuri achiziționate, în calitate de administrator al S.C. T1 S.R.L. ...., în urma licitațiilor organizate de executorul judecătoresc B4, nu a existat un alt licitator interesat care să ofere un preț mai mare; vinovăția nu poate fi reținută de instanțele de judecată discreționar, prin aplicarea unei interpretări proprii și fără a se indica cu exactitate situația de încălcare a legii, argumentând existența faptei de complicitate la abuz în serviciu, prin îndeplinirea defectuoasă a unei atribuții de serviciu secundare sau terțiare; a fost condamnat invocându-se art. 17 din Legea nr. 78/2000, deși fusese abrogat în totalitatea anterior condamnării sale prin art. 79 pct. 10 din Legea nr. 187/2012, ignorându-se prevederile art. 4 Cod penal.</w:t>
      </w:r>
    </w:p>
    <w:p>
      <w:pPr>
        <w:pStyle w:val="Normal"/>
        <w:ind w:firstLine="1134"/>
        <w:jc w:val="both"/>
        <w:rPr/>
      </w:pPr>
      <w:r>
        <w:rPr/>
        <w:t>Solicită admiterea contestației la executare, desființarea în totalitate a Deciziei penale nr. DP3 din ..., încetarea pedepsei de 6 (șase) ani închisoare și a pedepsei complementare a interzicerii unor drepturi pentru o perioadă de 2 (doi) ani prev. de art. 64 alin. 1 lit. a) teza a II-a Cod penal 1969, iar, în latură civilă, aplicare art. 25 alin. 1 și 3 Cod de procedură penală.</w:t>
      </w:r>
    </w:p>
    <w:p>
      <w:pPr>
        <w:pStyle w:val="Normal"/>
        <w:ind w:firstLine="1134"/>
        <w:jc w:val="both"/>
        <w:rPr>
          <w:b/>
        </w:rPr>
      </w:pPr>
      <w:r>
        <w:rPr>
          <w:u w:val="single"/>
        </w:rPr>
        <w:t>În drept</w:t>
      </w:r>
      <w:r>
        <w:rPr/>
        <w:t>, au fost invocate dispozițiile art. 595 alin. 1 Cod de procedură penală cu referire la Decizia Curții Constituționale a României nr. 405 din 15 iunie 2016.</w:t>
      </w:r>
    </w:p>
    <w:p>
      <w:pPr>
        <w:pStyle w:val="Normal"/>
        <w:jc w:val="center"/>
        <w:rPr/>
      </w:pPr>
      <w:r>
        <w:rPr/>
      </w:r>
    </w:p>
    <w:p>
      <w:pPr>
        <w:pStyle w:val="Normal"/>
        <w:jc w:val="center"/>
        <w:rPr/>
      </w:pPr>
      <w:r>
        <w:rPr/>
      </w:r>
    </w:p>
    <w:p>
      <w:pPr>
        <w:pStyle w:val="Normal"/>
        <w:ind w:firstLine="720"/>
        <w:jc w:val="both"/>
        <w:rPr/>
      </w:pPr>
      <w:r>
        <w:rPr/>
      </w:r>
    </w:p>
    <w:p>
      <w:pPr>
        <w:pStyle w:val="Normal"/>
        <w:ind w:firstLine="1134"/>
        <w:jc w:val="both"/>
        <w:rPr>
          <w:b/>
        </w:rPr>
      </w:pPr>
      <w:r>
        <w:rPr>
          <w:b/>
        </w:rPr>
        <w:t>Analizând actele și lucrările dosarului, Curtea de Apel constată că este nefondată cererea formulată de petentul A1.</w:t>
      </w:r>
    </w:p>
    <w:p>
      <w:pPr>
        <w:pStyle w:val="Normal"/>
        <w:ind w:firstLine="1134"/>
        <w:jc w:val="both"/>
        <w:rPr>
          <w:b/>
        </w:rPr>
      </w:pPr>
      <w:r>
        <w:rPr>
          <w:b/>
        </w:rPr>
      </w:r>
    </w:p>
    <w:p>
      <w:pPr>
        <w:pStyle w:val="Normal"/>
        <w:ind w:firstLine="1134"/>
        <w:jc w:val="both"/>
        <w:rPr/>
      </w:pPr>
      <w:r>
        <w:rPr>
          <w:b/>
        </w:rPr>
        <w:t>Curtea de Apel</w:t>
      </w:r>
      <w:r>
        <w:rPr/>
        <w:t xml:space="preserve"> învederează, </w:t>
      </w:r>
      <w:r>
        <w:rPr>
          <w:i/>
        </w:rPr>
        <w:t>ab initio</w:t>
      </w:r>
      <w:r>
        <w:rPr/>
        <w:t>, contrar susținerilor procurorului, că posbilitatea de a analiza incidența Deciziei Curții Constituționale nr. 405 din 15 iunie 2016 referitoare la excepția de neconstituționalitate a dispozițiilor art. 246 Cod penal 1969, ale art. 297 alin. 1 Cod penal și ale art. 13 indice 2 din Legea nr. 78/2000, în cadrul reglementat de art. 595 Cod de procedură penală, a fost consacrată atât în jurisprudența relevantă a instanței supreme (</w:t>
      </w:r>
      <w:r>
        <w:rPr>
          <w:i/>
        </w:rPr>
        <w:t>Înalta Curte de Casație și Justiție – Secția penală, Decizia penală nr. DP1 din ...</w:t>
      </w:r>
      <w:r>
        <w:rPr/>
        <w:t xml:space="preserve">- care a stat, de altfel, la baza sesizării Curții de Apel ... cu prezenta cauză și </w:t>
      </w:r>
      <w:r>
        <w:rPr>
          <w:i/>
        </w:rPr>
        <w:t>Înalta Curte de Casație și Justiție – Secția penală, Decizia penală nr. 179/RC din 26.04.2017</w:t>
      </w:r>
      <w:r>
        <w:rPr/>
        <w:t xml:space="preserve">, ambele disponibile pe </w:t>
      </w:r>
      <w:hyperlink r:id="rId2">
        <w:r>
          <w:rPr>
            <w:rStyle w:val="Hyperlink"/>
            <w:i/>
            <w:color w:val="auto"/>
            <w:u w:val="none"/>
          </w:rPr>
          <w:t>www.scj.ro</w:t>
        </w:r>
      </w:hyperlink>
      <w:r>
        <w:rPr/>
        <w:t xml:space="preserve">), în jurisprudența instanțelor naționale (Decizia penală nr. 197/A din 13 februarie 2017, Curtea de Apel Cluj, secția penală și de minori; Decizia penală nr. 20/A/2017 din 9 februarie 2017, Curtea de Apel Alba Iulia, secția penală; Sentința penală nr. 134 din 23 martie 2017, Tribunalul Arad, secția penală; Sentința penală nr. 904 din 23 noiembrie 2016, Tribunalul Dâmbovița, secția penală, toate invocate în </w:t>
      </w:r>
      <w:r>
        <w:rPr>
          <w:i/>
        </w:rPr>
        <w:t>Decizia penală nr. 179/RC din 26.04.2017, Înalta Curte de Casație și Justiție – Secția penală</w:t>
      </w:r>
      <w:r>
        <w:rPr/>
        <w:t>), cât și în doctrina judiciară.</w:t>
      </w:r>
    </w:p>
    <w:p>
      <w:pPr>
        <w:pStyle w:val="Normal"/>
        <w:ind w:firstLine="1134"/>
        <w:jc w:val="both"/>
        <w:rPr/>
      </w:pPr>
      <w:r>
        <w:rPr/>
        <w:t>S-a arătat că: ”principiul legalității pedepsei impune ca pe întreaga durată a executării acesteia sancțiunile penale să aibă un temei legal (</w:t>
      </w:r>
      <w:r>
        <w:rPr>
          <w:i/>
        </w:rPr>
        <w:t>Înalta Curte de Casație și Justiție, Completul pentru dezlegarea unor chestiuni de drept în materie penală, Decizia nr. 6 din 26 mai 2014</w:t>
      </w:r>
      <w:r>
        <w:rPr/>
        <w:t xml:space="preserve"> și </w:t>
      </w:r>
      <w:r>
        <w:rPr>
          <w:i/>
        </w:rPr>
        <w:t>Decizia nr. 8 din 26 mai 2014</w:t>
      </w:r>
      <w:r>
        <w:rPr/>
        <w:t>); efectul concret al unei decizii de neconstituționalitate a unei legi de incriminare este același cu cel al legii de abrogare pe care Parlamentul ori, după caz, Guvernul au obligația (Decizia Curții Constituționale nr. 186 din 18 noiembrie 1999) de a o emite: dezincriminarea unei fapte [”încetează efectele juridice” – conform art. 31 alin. 3 din Legea nr. 47/1992]; decizia Curții Constituționale prin care se constată neconstituționalitatea unei legi este obligatorie (și) pentru instanțele de judecată, în lipsa unei legi/ordonanțe date în intervalul de 45 zile prevăzut de art. 147 alin. 1 din Constituția României, la fel ca o lege (Decizia Curții Constituționale nr. 169 din 2 noiembrie 1999).</w:t>
      </w:r>
    </w:p>
    <w:p>
      <w:pPr>
        <w:pStyle w:val="Normal"/>
        <w:ind w:firstLine="1134"/>
        <w:jc w:val="both"/>
        <w:rPr/>
      </w:pPr>
      <w:r>
        <w:rPr/>
        <w:t xml:space="preserve">Persoanale condamnate în baza unor norme de incriminare declarate ulterior neconstituționale trebuie să poată obține, în baza deciziei Curții Constituționale, încetarea executării pedepselor aplicate [în acest sens, în ceea ce privește aplicarea Deciziei Curții Constituționale nr. 363 din 7 mai 2015 referitoare la admiterea excepției de neconstituționalitate a dispozițiilor art. 6 din Legea nr. 241/2005, a se vedea </w:t>
      </w:r>
      <w:r>
        <w:rPr>
          <w:i/>
        </w:rPr>
        <w:t>Înalta Curte de Casație și Justiție, Secția penală, Decizia nr. 330/A din 29 septembrie 2015</w:t>
      </w:r>
      <w:r>
        <w:rPr/>
        <w:t xml:space="preserve"> în care s-a constatat că prin declararea ca neconstituționale a dispozițiilor art. 6 din Legea nr. 241/2005 a operat dezincriminarea faptei; Judecătoria Sibiu, Secția penală, Sentința penală nr. 73 din 3 februarie 2016; Judecătoria Sectorului 1, Secția penală, Sentința penală nr. 578 din 22 iulie 2016, definitivă prin Decizia penală nr. 687/28 august 2016 a Tribunalului București, Secția I penală, </w:t>
      </w:r>
      <w:r>
        <w:rPr>
          <w:i/>
        </w:rPr>
        <w:t>nepublicate</w:t>
      </w:r>
      <w:r>
        <w:rPr/>
        <w:t xml:space="preserve">; Curtea de Apel Oradea, Secția penală, sentința penală nr. 122/pi din 4 decembrie 2015, </w:t>
      </w:r>
      <w:r>
        <w:rPr>
          <w:i/>
        </w:rPr>
        <w:t>www.rolii.ro</w:t>
      </w:r>
      <w:r>
        <w:rPr/>
        <w:t>].</w:t>
      </w:r>
    </w:p>
    <w:p>
      <w:pPr>
        <w:pStyle w:val="Normal"/>
        <w:ind w:firstLine="1134"/>
        <w:jc w:val="both"/>
        <w:rPr/>
      </w:pPr>
      <w:r>
        <w:rPr/>
        <w:t xml:space="preserve">O soluție contrară ridică și o problemă de conformitate cu art. 7 paragraf 1 din Convenția EDO. Astfel, întrucât prin dezincriminarea unei fapte este obligatorie reducerea sau, după caz, înlăturarea în totalitate a pedepsei aplicate, o astfel de măsură intră sub interdicția retroactivității pedepselor, consacrată de art. 7 paragraf 1 din Convenția EDO (Curtea E.D.O., </w:t>
      </w:r>
      <w:r>
        <w:rPr>
          <w:i/>
        </w:rPr>
        <w:t>Rio Prada c. Spaniei</w:t>
      </w:r>
      <w:r>
        <w:rPr/>
        <w:t>, hotărârea din 21 octombrie 2013, paragrafe 88-89).</w:t>
      </w:r>
    </w:p>
    <w:p>
      <w:pPr>
        <w:pStyle w:val="Normal"/>
        <w:ind w:firstLine="1134"/>
        <w:jc w:val="both"/>
        <w:rPr/>
      </w:pPr>
      <w:r>
        <w:rPr/>
        <w:t xml:space="preserve">Deși nu există o decizie prin care să se stabilească faptul că art. 7 paragraf 1 din Convenția EDO impune și aplicarea obligatorie a legii penale mai favorabile care intervine după ce o hotărâre a rămas definitivă, evoluția în acest sens a interpretării aceluiași articol în ceea ce privește efectele lui înainte de pronunțarea unei hotărâri definitive [Curtea E.D.O., </w:t>
      </w:r>
      <w:r>
        <w:rPr>
          <w:i/>
        </w:rPr>
        <w:t>cauza Scoppola c. Italiei</w:t>
      </w:r>
      <w:r>
        <w:rPr/>
        <w:t xml:space="preserve"> (nr. 2), hotărârea din 17 septembrie 2009, paragraf 109, </w:t>
      </w:r>
      <w:r>
        <w:rPr>
          <w:i/>
        </w:rPr>
        <w:t>http://hudoc.echr.coe.int</w:t>
      </w:r>
      <w:r>
        <w:rPr/>
        <w:t>] justifică aprecierea că art. 7 paragraf 1 din Convenția EDO nu garantează doar principiul neretroactivității legii penale mai severe, dar și, de asemenea, implicit, principiul retroactivității legii penale mai favorabile.</w:t>
      </w:r>
    </w:p>
    <w:p>
      <w:pPr>
        <w:pStyle w:val="Normal"/>
        <w:ind w:firstLine="1134"/>
        <w:jc w:val="both"/>
        <w:rPr/>
      </w:pPr>
      <w:r>
        <w:rPr/>
        <w:t xml:space="preserve">Cum, conform jurisprudenței Curții E.D.O., noțiunea de ”drept” (”droit” în franceză, ”law” în engleză), utilizată la art. 7, corespunde celei de ”lege”, care figurează în alte articole ale Convenției, aceasta cuprinde </w:t>
      </w:r>
      <w:r>
        <w:rPr>
          <w:b/>
        </w:rPr>
        <w:t>atât dreptul izvorât din lege, cât și din jurisprudență</w:t>
      </w:r>
      <w:r>
        <w:rPr/>
        <w:t xml:space="preserve">, ce se caracterizează, printre altele, prin accesibilitate și previzibilitate, iar aceste calitative trebuie îndeplinite și pentru pedeapsa pe care legea o implică [Curtea E.D.O., </w:t>
      </w:r>
      <w:r>
        <w:rPr>
          <w:i/>
        </w:rPr>
        <w:t>cauza Plechkov c. României</w:t>
      </w:r>
      <w:r>
        <w:rPr/>
        <w:t>, hotărârea din 16 septembrie 2014].</w:t>
      </w:r>
    </w:p>
    <w:p>
      <w:pPr>
        <w:pStyle w:val="Normal"/>
        <w:ind w:firstLine="1134"/>
        <w:jc w:val="both"/>
        <w:rPr/>
      </w:pPr>
      <w:r>
        <w:rPr/>
        <w:t xml:space="preserve">Toate acestea însemană că o decizie a Curții Constituționale se cricumscrie noțiunii de </w:t>
      </w:r>
      <w:r>
        <w:rPr>
          <w:b/>
        </w:rPr>
        <w:t>drept</w:t>
      </w:r>
      <w:r>
        <w:rPr/>
        <w:t xml:space="preserve"> și, deci, poate fi analizată din perspectiva respectării art. 7 paragraf 1 din Convenția EDO. În aceste condiții, aplicarea deciziilor Curții Constituționale devine obligatorie” [</w:t>
      </w:r>
      <w:r>
        <w:rPr>
          <w:b/>
        </w:rPr>
        <w:t>....</w:t>
      </w:r>
      <w:r>
        <w:rPr/>
        <w:t xml:space="preserve"> şi </w:t>
      </w:r>
      <w:r>
        <w:rPr>
          <w:b/>
        </w:rPr>
        <w:t>...</w:t>
      </w:r>
      <w:r>
        <w:rPr/>
        <w:t xml:space="preserve"> în </w:t>
      </w:r>
      <w:r>
        <w:rPr>
          <w:b/>
        </w:rPr>
        <w:t>... (coord.)</w:t>
      </w:r>
      <w:r>
        <w:rPr/>
        <w:t xml:space="preserve">, </w:t>
      </w:r>
      <w:r>
        <w:rPr>
          <w:i/>
        </w:rPr>
        <w:t>Codul de procedură penală. Comentariu pe articole</w:t>
      </w:r>
      <w:r>
        <w:rPr/>
        <w:t>, ediția a 2-a, Editura CH Beck, ..., 2015, p. 2423-2424].</w:t>
      </w:r>
    </w:p>
    <w:p>
      <w:pPr>
        <w:pStyle w:val="Normal"/>
        <w:ind w:firstLine="1134"/>
        <w:jc w:val="both"/>
        <w:rPr/>
      </w:pPr>
      <w:r>
        <w:rPr/>
      </w:r>
    </w:p>
    <w:p>
      <w:pPr>
        <w:pStyle w:val="Normal"/>
        <w:ind w:firstLine="1134"/>
        <w:jc w:val="both"/>
        <w:rPr/>
      </w:pPr>
      <w:r>
        <w:rPr/>
      </w:r>
    </w:p>
    <w:p>
      <w:pPr>
        <w:pStyle w:val="Normal"/>
        <w:ind w:firstLine="1134"/>
        <w:jc w:val="both"/>
        <w:rPr/>
      </w:pPr>
      <w:r>
        <w:rPr>
          <w:b/>
        </w:rPr>
        <w:t>Curtea de Apel</w:t>
      </w:r>
      <w:r>
        <w:rPr/>
        <w:t xml:space="preserve"> arată, în al doilea rând, că prin Deciziei Curții Constituționale nr. 405 din 15 iunie 2016 a operat </w:t>
      </w:r>
      <w:r>
        <w:rPr>
          <w:b/>
        </w:rPr>
        <w:t xml:space="preserve">doar o dezincriminarea </w:t>
      </w:r>
      <w:r>
        <w:rPr>
          <w:b/>
          <w:i/>
        </w:rPr>
        <w:t>parțială</w:t>
      </w:r>
      <w:r>
        <w:rPr>
          <w:b/>
        </w:rPr>
        <w:t xml:space="preserve"> a infracțiunii de abuz în serviciu</w:t>
      </w:r>
      <w:r>
        <w:rPr/>
        <w:t>.</w:t>
      </w:r>
    </w:p>
    <w:p>
      <w:pPr>
        <w:pStyle w:val="Normal"/>
        <w:ind w:firstLine="1134"/>
        <w:jc w:val="both"/>
        <w:rPr/>
      </w:pPr>
      <w:r>
        <w:rPr/>
        <w:t>Pentru situațiile în care acuzația de abuz în serviciu nu a vizat încălcarea unor norme cu putere de lege, Decizia Curții Constituționale echivalează cu o lege de dezincriminare.</w:t>
      </w:r>
    </w:p>
    <w:p>
      <w:pPr>
        <w:pStyle w:val="Normal"/>
        <w:ind w:firstLine="1134"/>
        <w:jc w:val="both"/>
        <w:rPr/>
      </w:pPr>
      <w:r>
        <w:rPr/>
        <w:t>Consecința dezincriminării faptei o constituie lipsa prevederii actuale în legea penală.</w:t>
      </w:r>
    </w:p>
    <w:p>
      <w:pPr>
        <w:pStyle w:val="Normal"/>
        <w:ind w:firstLine="1134"/>
        <w:jc w:val="both"/>
        <w:rPr/>
      </w:pPr>
      <w:r>
        <w:rPr/>
        <w:t>Astfel, neîndeplinirea sau îndeplinirea în mod defectuos a îndatoririlor de serviciu nu va putea fi reținută prin raportare la mențiuni sau obligații regăsite în hotărâri ale Guvernului, ordine ale miniștrilor, regulamente de organizare și funcționare interne, coduri deontologice, proceduri interne, norme metodologice etc., în esență, orice acte normative infralegale sau documente interne ale angajatorului.</w:t>
      </w:r>
    </w:p>
    <w:p>
      <w:pPr>
        <w:pStyle w:val="Normal"/>
        <w:ind w:firstLine="1134"/>
        <w:jc w:val="both"/>
        <w:rPr/>
      </w:pPr>
      <w:r>
        <w:rPr/>
        <w:t>Prin Decizia Curții Constituționale anterior evocată s-a realizat o reconfigurare a laturii obiective a infracțiunii de abuz în serviciu sub aspectul elementului material, sfera de incidență fiind restrânsă, constituind o veritabilă lege de dezincriminare cu consecințele ce decurg din reținerea incidenței dispozițiilor art. 4 C. pen.</w:t>
      </w:r>
    </w:p>
    <w:p>
      <w:pPr>
        <w:pStyle w:val="Normal"/>
        <w:ind w:firstLine="1134"/>
        <w:jc w:val="both"/>
        <w:rPr/>
      </w:pPr>
      <w:r>
        <w:rPr>
          <w:b/>
        </w:rPr>
        <w:t>Curtea de Apel</w:t>
      </w:r>
      <w:r>
        <w:rPr/>
        <w:t xml:space="preserve"> constată că </w:t>
      </w:r>
      <w:r>
        <w:rPr>
          <w:b/>
        </w:rPr>
        <w:t>A1</w:t>
      </w:r>
      <w:r>
        <w:rPr/>
        <w:t xml:space="preserve"> a fost condamnat pentru </w:t>
      </w:r>
      <w:r>
        <w:rPr>
          <w:b/>
        </w:rPr>
        <w:t xml:space="preserve">complicitate la abuz în serviciu contra intereselor publice </w:t>
      </w:r>
      <w:r>
        <w:rPr>
          <w:b/>
          <w:lang w:val="en-US"/>
        </w:rPr>
        <w:t>[</w:t>
      </w:r>
      <w:r>
        <w:rPr/>
        <w:t xml:space="preserve">a semnat la 13.03.2008 şi 28.03.2008, patru bilete la ordin ce au fost depuse spre decontare la BANCA1., deşi cunoştea că vor refuzate la plată, neexistând disponibilul necesar în contul indicat în aceste instrumente de plată şi care era supus măsurii de poprire dispusă de A.F.P.C.M. ...., l-a ajutat, cu intenţie, pe executorul judecătoresc B4 </w:t>
      </w:r>
      <w:r>
        <w:rPr>
          <w:b/>
        </w:rPr>
        <w:t>să îşi încalce atribuţiile de serviciu prevăzute de Codul de Procedură Civilă şi Codul de Procedură Fiscală</w:t>
      </w:r>
      <w:r>
        <w:rPr/>
        <w:t xml:space="preserve"> obţinând avantaje patrimoniale pentru S.C. T1 S.R.L. ... (la care avea calitatea de asociat şi administrator), respectiv dobândirea dreptului de proprietate în favoarea acestei firme asupra bunurilor imobile proprietatea S.C. T2</w:t>
      </w:r>
      <w:r>
        <w:rPr>
          <w:color w:val="EE0000"/>
        </w:rPr>
        <w:t xml:space="preserve"> </w:t>
      </w:r>
      <w:r>
        <w:rPr/>
        <w:t xml:space="preserve">S.A. ..., precum şi cumpărarea la licitaţie a 22 maşini şi utilaje la valoarea de 133.001,46 lei, în condiţiile în care acestea au fost evaluate pentru AFPCM .... la 465.460 lei], </w:t>
      </w:r>
      <w:r>
        <w:rPr>
          <w:b/>
        </w:rPr>
        <w:t>în forma încălcării legislației primare.</w:t>
      </w:r>
      <w:r>
        <w:rPr/>
        <w:t xml:space="preserve"> </w:t>
      </w:r>
    </w:p>
    <w:p>
      <w:pPr>
        <w:pStyle w:val="Normal"/>
        <w:ind w:firstLine="1134"/>
        <w:jc w:val="both"/>
        <w:rPr>
          <w:b/>
        </w:rPr>
      </w:pPr>
      <w:r>
        <w:rPr/>
        <w:t xml:space="preserve">În cauză, atât actul de sesizare cât și hotărârile de condamnare enumeră dispozițiile încălcate, respectiv </w:t>
      </w:r>
      <w:r>
        <w:rPr>
          <w:b/>
        </w:rPr>
        <w:t>art. 425, art. 426 şi art. 500 din Codul de procedură civilă şi art. 136 alin. 9 din Codul de procedură fiscală</w:t>
      </w:r>
      <w:r>
        <w:rPr/>
        <w:t xml:space="preserve">, </w:t>
      </w:r>
      <w:r>
        <w:rPr>
          <w:b/>
          <w:i/>
        </w:rPr>
        <w:t>prevederi care aparțin legislației primare.</w:t>
      </w:r>
    </w:p>
    <w:p>
      <w:pPr>
        <w:pStyle w:val="Normal"/>
        <w:ind w:firstLine="1134"/>
        <w:jc w:val="both"/>
        <w:rPr/>
      </w:pPr>
      <w:r>
        <w:rPr/>
      </w:r>
    </w:p>
    <w:p>
      <w:pPr>
        <w:pStyle w:val="Normal"/>
        <w:ind w:firstLine="1134"/>
        <w:jc w:val="both"/>
        <w:rPr/>
      </w:pPr>
      <w:r>
        <w:rPr/>
      </w:r>
    </w:p>
    <w:p>
      <w:pPr>
        <w:pStyle w:val="Normal"/>
        <w:ind w:firstLine="1134"/>
        <w:jc w:val="both"/>
        <w:rPr>
          <w:b/>
        </w:rPr>
      </w:pPr>
      <w:r>
        <w:rPr>
          <w:b/>
        </w:rPr>
        <w:t>Prin Decizia nr. 392 din 6 iunie 2017, publicată în Monitorul Oficial nr. 504 din 30.06.2017</w:t>
      </w:r>
      <w:r>
        <w:rPr/>
        <w:t>, Curtea Constituțională a respins ca inadmisibilă, excepția de neconstituționalitate a dispozițiilor art. 297 alin. 1 din Codul penal, excepție de neconstituționalitate care viza lipsa unui prag al pagubei și a circumstanțierii vătămării produse prin comiterea faptei de abuz în serviciu (</w:t>
      </w:r>
      <w:r>
        <w:rPr>
          <w:i/>
        </w:rPr>
        <w:t>paragraf 57</w:t>
      </w:r>
      <w:r>
        <w:rPr/>
        <w:t>).</w:t>
      </w:r>
    </w:p>
    <w:p>
      <w:pPr>
        <w:pStyle w:val="Normal"/>
        <w:ind w:firstLine="1134"/>
        <w:jc w:val="both"/>
        <w:rPr>
          <w:b/>
        </w:rPr>
      </w:pPr>
      <w:r>
        <w:rPr/>
        <w:t>Curtea Constituțională a constatat că ” lipsa unor circumstanțieri cu privire la determinarea unui anumit cuantum al pagubei ori a unei anume gravități a vătămării drepturilor sau intereselor legitime ale unei persoane fizice sau ale unei persoane juridice face dificilă și, uneori, imposibilă, delimitarea răspunderii penale de celelalte forme de răspundere juridică, cu consecința deschiderii procedurilor de cercetare penală, trimitere în judecată și condamnare a persoanelor care, în exercitarea atribuțiilor de serviciu, cauzează o pagubă ori o vătămare a drepturilor sau intereselor legitime ale unei persoane fizice sau ale unei persoane juridice, indiferent de valoarea pagubei sau de intensitatea vătămării. Dispozițiile penale în vigoare sunt formulate în sens larg și în termeni vagi, ce determină un grad sporit de impredictibilitate, aspect problematic din perspectiva art. 7 din Convenția pentru apărarea drepturilor omului și a libertăților fundamentale, precum și a altor cerințe fundamentale ale principiului statului de drept, această redactare constituind premisa unor interpretări și aplicări arbitrare/aleatorii. O asemenea omisiune are relevanță constituțională în cauza de față [a se vedea și Decizia nr. 503 din 20 aprilie 2010, Decizia nr. 107 din 27 februarie 2014 sau Decizia nr. 308 din 12 mai 2016, paragraful 41, prin care Curtea a statuat că „omisiunea și imprecizia legislativă sunt cele care generează încălcarea dreptului fundamental pretins a fi încălcat”] pentru că afectează drepturi și libertăți fundamentale ale persoanei împotriva căreia se formulează o astfel acuzație penală. În aceste condiții, Curtea, fiind ținută de obligația de a interpreta o dispoziție legală în sensul de a produce efecte și pentru a da, astfel, un sens constituțional acesteia [a se vedea în acest sens Decizia nr. 223 din 13 martie 2012], consideră necesară instituirea unui prag al pagubei și circumstanțierea vătămării produse prin comiterea faptei, elemente în funcție de care să se aprecieze incidența sau nu a legii penale.</w:t>
      </w:r>
    </w:p>
    <w:p>
      <w:pPr>
        <w:pStyle w:val="Normal"/>
        <w:ind w:firstLine="1134"/>
        <w:jc w:val="both"/>
        <w:rPr>
          <w:b/>
        </w:rPr>
      </w:pPr>
      <w:r>
        <w:rPr/>
        <w:t>Curtea Constituțională a motivat că ” nu are competența de a complini acest viciu normativ, întrucât și-ar depăși atribuțiile legale, acționând în sfera exclusivă de competență a legiuitorului primar sau delegat. Pe cale de consecință, ținând seama de dispozițiile constituționale ale art. 142 alin. (1), potrivit cărora „Curtea Constituțională este garantul supremației Constituției”, și de cele ale art. 1 alin. (5), potrivit cărora, „în România, respectarea [...] legilor este obligatorie”, Curtea subliniază că legiuitorul are obligația de a reglementa pragul valoric al pagubei și intensitatea vătămării dreptului sau interesului legitim rezultate din comiterea faptei în cuprinsul normelor penale referitoare la infracțiunea de abuz în serviciu, pasivitatea acestuia fiind de natură să determine apariția unor situații de incoerență și instabilitate, contrare principiului securității raporturilor juridice în componenta sa referitoare la claritatea și previzibilitatea legii (</w:t>
      </w:r>
      <w:r>
        <w:rPr>
          <w:i/>
        </w:rPr>
        <w:t>paragrafele 55 și 56</w:t>
      </w:r>
      <w:r>
        <w:rPr/>
        <w:t>).</w:t>
      </w:r>
    </w:p>
    <w:p>
      <w:pPr>
        <w:pStyle w:val="Normal"/>
        <w:ind w:firstLine="1134"/>
        <w:jc w:val="both"/>
        <w:rPr>
          <w:b/>
        </w:rPr>
      </w:pPr>
      <w:r>
        <w:rPr>
          <w:b/>
        </w:rPr>
        <w:t>Or, în lipsa unei intervenții a legiuitorului care să stabilească un prag valoric, existența unui anumit grad de intensitate, de gravitate al faptelor de natură a justifica sancțiunea penală, revine organelor judiciare chemate să aplice legea, însă doar a celor învestite cu soluționarea cauzei în fond și, eventual, în calea ordinară de atac a apelului, iar nu în procedura prev. de art. 595 alin. 1 Cod de procedură penală.</w:t>
      </w:r>
    </w:p>
    <w:p>
      <w:pPr>
        <w:pStyle w:val="Normal"/>
        <w:ind w:firstLine="1134"/>
        <w:jc w:val="both"/>
        <w:rPr>
          <w:i w:val="false"/>
          <w:i w:val="false"/>
        </w:rPr>
      </w:pPr>
      <w:r>
        <w:rPr>
          <w:i w:val="false"/>
        </w:rPr>
      </w:r>
    </w:p>
    <w:p>
      <w:pPr>
        <w:pStyle w:val="Normal"/>
        <w:ind w:firstLine="1134"/>
        <w:jc w:val="both"/>
        <w:rPr>
          <w:i w:val="false"/>
          <w:i w:val="false"/>
        </w:rPr>
      </w:pPr>
      <w:r>
        <w:rPr>
          <w:rStyle w:val="Emphasis"/>
          <w:i w:val="false"/>
        </w:rPr>
        <w:t xml:space="preserve">Referitor la cererea petentului </w:t>
      </w:r>
      <w:r>
        <w:rPr>
          <w:rStyle w:val="Emphasis"/>
          <w:b/>
          <w:i w:val="false"/>
        </w:rPr>
        <w:t>A1</w:t>
      </w:r>
      <w:r>
        <w:rPr>
          <w:rStyle w:val="Emphasis"/>
          <w:i w:val="false"/>
        </w:rPr>
        <w:t xml:space="preserve"> de înlăturare a dispozițiilor art. 17 lit. e), g) și h) din Legea nr. 78/2000, </w:t>
      </w:r>
      <w:r>
        <w:rPr>
          <w:rStyle w:val="Emphasis"/>
          <w:b/>
          <w:i w:val="false"/>
        </w:rPr>
        <w:t xml:space="preserve">Curtea de Apel </w:t>
      </w:r>
      <w:r>
        <w:rPr>
          <w:rStyle w:val="Emphasis"/>
          <w:i w:val="false"/>
        </w:rPr>
        <w:t>apreciază că, în realitate, se urmărește o schimbare a încadrării juridice a faptelor pentru care s-a dispus condamnarea petentului, solicitarea care nu poate fi examinată în prezentul cadru procesual.</w:t>
      </w:r>
    </w:p>
    <w:p>
      <w:pPr>
        <w:pStyle w:val="Normal"/>
        <w:ind w:firstLine="1134"/>
        <w:jc w:val="both"/>
        <w:rPr/>
      </w:pPr>
      <w:r>
        <w:rPr>
          <w:i/>
        </w:rPr>
        <w:t>Înalta Curte de Casație și Justiție, Secţia penală,</w:t>
      </w:r>
      <w:r>
        <w:rPr/>
        <w:t xml:space="preserve"> în </w:t>
      </w:r>
      <w:r>
        <w:rPr>
          <w:i/>
        </w:rPr>
        <w:t xml:space="preserve">Decizia penală nr. 404/A din 5 noiembrie 2015 </w:t>
      </w:r>
      <w:r>
        <w:rPr/>
        <w:t>(www.scj.ro), a arătat că ” în cazul infracţiunii de fals în înscrisuri sub semnătură privată, dacă potrivit legii vechi sunt incidente dispoziţiile art. 17 lit. c) din Legea nr. 78/2000, în vigoare la data săvârşirii faptei, mecanismul de aplicare a legii penale mai favorabile nu poate conduce la înlăturarea din încadrarea juridică a acestor dispoziţii şi la compararea formei simple a infracţiunii de fals în înscrisuri sub semnătură privată prevăzută în legea veche cu forma simplă a aceleiaşi infracţiuni reglementată în legea nouă. În ipoteza în care constată că legea veche constituie legea penală mai favorabilă, instanţa nu poate înlătura din încadrarea juridică dispoziţiile art. 17 lit. c) din Legea nr. 78/2000, întrucât înlăturarea acestor dispoziţii ar conduce la aplicarea unei</w:t>
      </w:r>
      <w:r>
        <w:rPr>
          <w:rStyle w:val="apple-converted-space"/>
        </w:rPr>
        <w:t> </w:t>
      </w:r>
      <w:r>
        <w:rPr>
          <w:rStyle w:val="Emphasis"/>
        </w:rPr>
        <w:t>lex tertia</w:t>
      </w:r>
      <w:r>
        <w:rPr/>
        <w:t>.</w:t>
      </w:r>
    </w:p>
    <w:p>
      <w:pPr>
        <w:pStyle w:val="Normal"/>
        <w:ind w:firstLine="1134"/>
        <w:jc w:val="both"/>
        <w:rPr/>
      </w:pPr>
      <w:r>
        <w:rPr/>
        <w:t>Nu pot fi examinate în prezentul cadru procesual nici restul motivelor dezvoltate de petent în notele scrise, întrucât reprezintă în realitate apărări cu privire la fondul cauzei, care au fost prezentate și analizate de către judecătorul fondului și de către instanța de control judiciar.</w:t>
      </w:r>
    </w:p>
    <w:p>
      <w:pPr>
        <w:pStyle w:val="Normal"/>
        <w:ind w:firstLine="1134"/>
        <w:jc w:val="both"/>
        <w:rPr>
          <w:b/>
        </w:rPr>
      </w:pPr>
      <w:r>
        <w:rPr>
          <w:b/>
        </w:rPr>
      </w:r>
    </w:p>
    <w:p>
      <w:pPr>
        <w:pStyle w:val="Normal"/>
        <w:ind w:firstLine="1134"/>
        <w:jc w:val="both"/>
        <w:rPr/>
      </w:pPr>
      <w:r>
        <w:rPr>
          <w:b/>
        </w:rPr>
        <w:t xml:space="preserve">Față de considerentele anterior expuse, Curtea de Apel, în baza art. 595 Cod de procedură penală, va </w:t>
      </w:r>
      <w:r>
        <w:rPr/>
        <w:t xml:space="preserve">respinge, </w:t>
      </w:r>
      <w:r>
        <w:rPr>
          <w:b/>
        </w:rPr>
        <w:t>ca nefondată,</w:t>
      </w:r>
      <w:r>
        <w:rPr/>
        <w:t xml:space="preserve"> cererea formulată de </w:t>
      </w:r>
      <w:r>
        <w:rPr>
          <w:b/>
        </w:rPr>
        <w:t>A1</w:t>
      </w:r>
      <w:r>
        <w:rPr/>
        <w:t xml:space="preserve">, aflat în executarea pedepsei de </w:t>
      </w:r>
      <w:r>
        <w:rPr>
          <w:i/>
        </w:rPr>
        <w:t>6 (şase) ani închisoare</w:t>
      </w:r>
      <w:r>
        <w:rPr/>
        <w:t>, aplicată prin sentinţa penală nr. DP2/... pronunţată de Curtea de Apel... – Secţia ..., modificată şi rămasă definitivă prin decizia penală nr. DP4 din ... pronunţată de Înalta Curte de Casaţie şi Justiţie – Secţia ....</w:t>
      </w:r>
    </w:p>
    <w:p>
      <w:pPr>
        <w:pStyle w:val="Normal"/>
        <w:ind w:firstLine="1134"/>
        <w:jc w:val="both"/>
        <w:rPr/>
      </w:pPr>
      <w:r>
        <w:rPr/>
      </w:r>
    </w:p>
    <w:p>
      <w:pPr>
        <w:pStyle w:val="Normal"/>
        <w:ind w:firstLine="1134"/>
        <w:jc w:val="both"/>
        <w:rPr/>
      </w:pPr>
      <w:r>
        <w:rPr>
          <w:i/>
        </w:rPr>
        <w:t>Constatând culpa procesuală a contestatorului,</w:t>
      </w:r>
      <w:r>
        <w:rPr/>
        <w:t xml:space="preserve"> în baza art. 275 alin. 2 Cod de procedură penală, va obliga pe </w:t>
      </w:r>
      <w:r>
        <w:rPr>
          <w:b/>
        </w:rPr>
        <w:t>A1</w:t>
      </w:r>
      <w:r>
        <w:rPr/>
        <w:t xml:space="preserve"> la plata sumei de 300 lei cu titlu de cheltuieli judiciare avansate de stat.</w:t>
      </w:r>
    </w:p>
    <w:p>
      <w:pPr>
        <w:pStyle w:val="Normal"/>
        <w:rPr>
          <w:b/>
        </w:rPr>
      </w:pPr>
      <w:r>
        <w:rPr>
          <w:b/>
        </w:rPr>
      </w:r>
    </w:p>
    <w:p>
      <w:pPr>
        <w:pStyle w:val="Normal"/>
        <w:jc w:val="center"/>
        <w:rPr>
          <w:b/>
        </w:rPr>
      </w:pPr>
      <w:r>
        <w:rPr>
          <w:b/>
        </w:rPr>
        <w:t>PENTRU ACESTE MOTIVE,</w:t>
        <w:br/>
        <w:t>ÎN NUMELE LEGII</w:t>
      </w:r>
    </w:p>
    <w:p>
      <w:pPr>
        <w:pStyle w:val="Normal"/>
        <w:jc w:val="center"/>
        <w:rPr>
          <w:b/>
        </w:rPr>
      </w:pPr>
      <w:bookmarkStart w:name="ce_face_curtea" w:id="1"/>
      <w:r>
        <w:rPr>
          <w:b/>
        </w:rPr>
        <w:t>HOTĂRĂŞTE</w:t>
      </w:r>
      <w:bookmarkEnd w:id="1"/>
      <w:r>
        <w:rPr>
          <w:b/>
        </w:rPr>
        <w:t>:</w:t>
      </w:r>
    </w:p>
    <w:p>
      <w:pPr>
        <w:pStyle w:val="Normal"/>
        <w:rPr/>
      </w:pPr>
      <w:r>
        <w:rPr/>
      </w:r>
    </w:p>
    <w:p>
      <w:pPr>
        <w:pStyle w:val="Normal"/>
        <w:ind w:firstLine="1134"/>
        <w:jc w:val="both"/>
        <w:rPr/>
      </w:pPr>
      <w:r>
        <w:rPr>
          <w:b/>
        </w:rPr>
        <w:t xml:space="preserve">În baza art. 595 Cod de procedură penală, </w:t>
      </w:r>
      <w:r>
        <w:rPr/>
        <w:t xml:space="preserve">respinge, </w:t>
      </w:r>
      <w:r>
        <w:rPr>
          <w:b/>
        </w:rPr>
        <w:t>ca nefondată,</w:t>
      </w:r>
      <w:r>
        <w:rPr/>
        <w:t xml:space="preserve"> cererea formulată de </w:t>
      </w:r>
      <w:r>
        <w:rPr>
          <w:b/>
        </w:rPr>
        <w:t>A1</w:t>
      </w:r>
      <w:r>
        <w:rPr/>
        <w:t xml:space="preserve">, fiul lui ... şi ..., CNP ..., născut la data de ... în comuna ..., judeţul ..., actualmente deţinut în Penitenciarul .. (cu domiciliul ales pentru comunicarea actelor de procedură la B1 în municipiul .., Bd. ..., nr. ..., sector ...), în executarea pedepsei de </w:t>
      </w:r>
      <w:r>
        <w:rPr>
          <w:i/>
        </w:rPr>
        <w:t>6 (şase) ani închisoare</w:t>
      </w:r>
      <w:r>
        <w:rPr/>
        <w:t>, aplicată prin sentinţa penală nr. DP2/... pronunţată de Curtea de Apel... – Secţia ..., modificată şi rămasă definitivă prin decizia penală nr. DP4 din .. pronunţată de Înalta Curte de Casaţie şi Justiţie – Secţia ...</w:t>
      </w:r>
    </w:p>
    <w:p>
      <w:pPr>
        <w:pStyle w:val="Normal"/>
        <w:ind w:firstLine="1134"/>
        <w:jc w:val="both"/>
        <w:rPr/>
      </w:pPr>
      <w:r>
        <w:rPr/>
        <w:t xml:space="preserve"> </w:t>
      </w:r>
      <w:r>
        <w:rPr/>
        <w:t>În baza art. 275 alin. 2 Cod de procedură penală, obligă pe A1 la plata sumei de 300 lei cu titlu de cheltuieli judiciare avansate de stat.</w:t>
      </w:r>
    </w:p>
    <w:p>
      <w:pPr>
        <w:pStyle w:val="Normal"/>
        <w:ind w:firstLine="1134"/>
        <w:jc w:val="both"/>
        <w:rPr/>
      </w:pPr>
      <w:r>
        <w:rPr/>
        <w:t>În baza art. 275 alin. 6 Cod de procedură penală, suma de 130 lei reprezentând onorariu apărător desemnat din oficiu (</w:t>
      </w:r>
      <w:r>
        <w:rPr>
          <w:i/>
        </w:rPr>
        <w:t>av. Av1, delegaţie nr. ...0/2017</w:t>
      </w:r>
      <w:r>
        <w:rPr/>
        <w:t>) rămâne în sarcina statului şi va fi avansată Baroului ... din fondurile Ministerului Justiţiei.</w:t>
      </w:r>
    </w:p>
    <w:p>
      <w:pPr>
        <w:pStyle w:val="Normal"/>
        <w:ind w:firstLine="1134"/>
        <w:jc w:val="both"/>
        <w:rPr/>
      </w:pPr>
      <w:r>
        <w:rPr/>
        <w:t>Cu drept de contestaţie în termen de 3 (trei) zile de la comunicarea copiei minutei.</w:t>
      </w:r>
    </w:p>
    <w:p>
      <w:pPr>
        <w:pStyle w:val="Normal"/>
        <w:ind w:firstLine="1134"/>
        <w:jc w:val="both"/>
        <w:rPr/>
      </w:pPr>
      <w:r>
        <w:rPr/>
        <w:t>Pronunţată în şedinţă publică, astăzi, ....</w:t>
      </w:r>
    </w:p>
    <w:p>
      <w:pPr>
        <w:pStyle w:val="Normal"/>
        <w:rPr/>
      </w:pPr>
      <w:r>
        <w:rPr/>
      </w:r>
    </w:p>
    <w:p>
      <w:pPr>
        <w:pStyle w:val="Normal"/>
        <w:jc w:val="center"/>
        <w:rPr>
          <w:b/>
        </w:rPr>
      </w:pPr>
      <w:r>
        <w:rPr>
          <w:b/>
        </w:rPr>
        <w:t>Preşedinte,</w:t>
      </w:r>
    </w:p>
    <w:p>
      <w:pPr>
        <w:pStyle w:val="Normal"/>
        <w:jc w:val="center"/>
        <w:rPr>
          <w:b/>
        </w:rPr>
      </w:pPr>
      <w:r>
        <w:rPr>
          <w:b/>
        </w:rPr>
        <w:t>A0013</w:t>
      </w:r>
    </w:p>
    <w:p>
      <w:pPr>
        <w:pStyle w:val="Normal"/>
        <w:jc w:val="center"/>
        <w:rPr>
          <w:b/>
        </w:rPr>
      </w:pPr>
      <w:r>
        <w:rPr>
          <w:b/>
        </w:rPr>
      </w:r>
    </w:p>
    <w:p>
      <w:pPr>
        <w:pStyle w:val="Normal"/>
        <w:jc w:val="center"/>
        <w:rPr>
          <w:b/>
        </w:rPr>
      </w:pPr>
      <w:r>
        <w:rPr>
          <w:b/>
        </w:rPr>
        <w:t>Grefier,</w:t>
      </w:r>
    </w:p>
    <w:p>
      <w:pPr>
        <w:pStyle w:val="Normal"/>
        <w:jc w:val="center"/>
        <w:rPr>
          <w:b/>
        </w:rPr>
      </w:pPr>
      <w:r>
        <w:rPr>
          <w:b/>
        </w:rPr>
        <w:t>...</w:t>
      </w:r>
    </w:p>
    <w:p>
      <w:pPr>
        <w:pStyle w:val="Normal"/>
        <w:rPr>
          <w:b/>
          <w:sz w:val="16"/>
        </w:rPr>
      </w:pPr>
      <w:r>
        <w:rPr>
          <w:b/>
          <w:sz w:val="16"/>
        </w:rPr>
      </w:r>
    </w:p>
    <w:p>
      <w:pPr>
        <w:pStyle w:val="Normal"/>
        <w:rPr>
          <w:b/>
          <w:sz w:val="16"/>
        </w:rPr>
      </w:pPr>
      <w:r>
        <w:rPr>
          <w:b/>
          <w:sz w:val="16"/>
        </w:rPr>
      </w:r>
    </w:p>
    <w:p>
      <w:pPr>
        <w:pStyle w:val="Normal"/>
        <w:rPr>
          <w:b/>
          <w:sz w:val="16"/>
        </w:rPr>
      </w:pPr>
      <w:r>
        <w:rPr>
          <w:b/>
          <w:sz w:val="16"/>
        </w:rPr>
        <w:t>...</w:t>
      </w:r>
    </w:p>
    <w:p>
      <w:pPr>
        <w:pStyle w:val="Normal"/>
        <w:rPr>
          <w:b/>
          <w:sz w:val="16"/>
        </w:rPr>
      </w:pPr>
      <w:r>
        <w:rPr>
          <w:b/>
          <w:sz w:val="16"/>
        </w:rPr>
        <w:t>Redactat, tehnoredactat judecător A0013</w:t>
      </w:r>
    </w:p>
    <w:p>
      <w:pPr>
        <w:pStyle w:val="Normal"/>
        <w:rPr>
          <w:b/>
          <w:sz w:val="16"/>
        </w:rPr>
      </w:pPr>
      <w:r>
        <w:rPr>
          <w:b/>
          <w:sz w:val="16"/>
        </w:rPr>
        <w:t>11 exemplare ..</w:t>
      </w:r>
    </w:p>
    <w:p>
      <w:pPr>
        <w:pStyle w:val="Normal"/>
        <w:rPr>
          <w:b/>
          <w:sz w:val="16"/>
        </w:rPr>
      </w:pPr>
      <w:r>
        <w:rPr>
          <w:b/>
          <w:sz w:val="16"/>
        </w:rPr>
        <w:t>Au fost emise nouă comunicări:</w:t>
      </w:r>
    </w:p>
    <w:p>
      <w:pPr>
        <w:pStyle w:val="Normal"/>
        <w:numPr>
          <w:ilvl w:val="0"/>
          <w:numId w:val="2"/>
        </w:numPr>
        <w:ind w:left="0" w:hanging="360"/>
        <w:rPr>
          <w:b/>
          <w:sz w:val="16"/>
        </w:rPr>
      </w:pPr>
      <w:r>
        <w:rPr>
          <w:b/>
          <w:sz w:val="16"/>
        </w:rPr>
        <w:t>2 contestator (... şi domic. proc. ales)</w:t>
      </w:r>
    </w:p>
    <w:p>
      <w:pPr>
        <w:pStyle w:val="Normal"/>
        <w:numPr>
          <w:ilvl w:val="0"/>
          <w:numId w:val="2"/>
        </w:numPr>
        <w:ind w:left="0" w:hanging="360"/>
        <w:rPr>
          <w:b/>
          <w:sz w:val="16"/>
        </w:rPr>
      </w:pPr>
      <w:r>
        <w:rPr>
          <w:b/>
          <w:sz w:val="16"/>
        </w:rPr>
        <w:t>1D.I.I.C.O.T. – S.T. ...</w:t>
      </w:r>
    </w:p>
    <w:p>
      <w:pPr>
        <w:pStyle w:val="Normal"/>
        <w:numPr>
          <w:ilvl w:val="0"/>
          <w:numId w:val="2"/>
        </w:numPr>
        <w:ind w:left="0" w:hanging="360"/>
        <w:rPr>
          <w:b/>
          <w:sz w:val="16"/>
        </w:rPr>
      </w:pPr>
      <w:r>
        <w:rPr>
          <w:b/>
          <w:sz w:val="16"/>
        </w:rPr>
        <w:t>3 părţi responsabile civilmente,</w:t>
      </w:r>
    </w:p>
    <w:p>
      <w:pPr>
        <w:pStyle w:val="Normal"/>
        <w:numPr>
          <w:ilvl w:val="0"/>
          <w:numId w:val="2"/>
        </w:numPr>
        <w:ind w:left="0" w:hanging="360"/>
        <w:rPr>
          <w:b/>
          <w:sz w:val="16"/>
        </w:rPr>
      </w:pPr>
      <w:r>
        <w:rPr>
          <w:b/>
          <w:sz w:val="16"/>
        </w:rPr>
        <w:t>2 părţi civile,</w:t>
      </w:r>
    </w:p>
    <w:p>
      <w:pPr>
        <w:pStyle w:val="Normal"/>
        <w:numPr>
          <w:ilvl w:val="0"/>
          <w:numId w:val="2"/>
        </w:numPr>
        <w:ind w:left="0" w:hanging="360"/>
        <w:rPr>
          <w:b/>
          <w:sz w:val="16"/>
        </w:rPr>
      </w:pPr>
      <w:r>
        <w:rPr>
          <w:b/>
          <w:sz w:val="16"/>
        </w:rPr>
        <w:t>Penitenciarul ...</w:t>
      </w:r>
    </w:p>
    <w:p>
      <w:pPr>
        <w:pStyle w:val="Normal"/>
        <w:rPr/>
      </w:pPr>
      <w:r>
        <w:rPr>
          <w:b/>
          <w:sz w:val="16"/>
        </w:rPr>
        <w:t xml:space="preserve">Data comunicării - </w:t>
      </w:r>
      <w:r>
        <w:rPr/>
        <w:t xml:space="preserve"> </w:t>
      </w:r>
    </w:p>
    <w:sectPr>
      <w:footerReference w:type="default" r:id="rId3"/>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10</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1320"/>
        </w:tabs>
        <w:ind w:left="1320" w:hanging="360"/>
      </w:pPr>
      <w:rPr>
        <w:rFonts w:ascii="Times New Roman" w:hAnsi="Times New Roman" w:cs="Times New Roman" w:hint="default"/>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cs="Wingdings" w:hint="default"/>
      </w:rPr>
    </w:lvl>
    <w:lvl w:ilvl="3">
      <w:start w:val="1"/>
      <w:numFmt w:val="bullet"/>
      <w:lvlText w:val=""/>
      <w:lvlJc w:val="left"/>
      <w:pPr>
        <w:tabs>
          <w:tab w:val="num" w:pos="3480"/>
        </w:tabs>
        <w:ind w:left="3480" w:hanging="360"/>
      </w:pPr>
      <w:rPr>
        <w:rFonts w:ascii="Symbol" w:hAnsi="Symbol" w:cs="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cs="Wingdings" w:hint="default"/>
      </w:rPr>
    </w:lvl>
    <w:lvl w:ilvl="6">
      <w:start w:val="1"/>
      <w:numFmt w:val="bullet"/>
      <w:lvlText w:val=""/>
      <w:lvlJc w:val="left"/>
      <w:pPr>
        <w:tabs>
          <w:tab w:val="num" w:pos="5640"/>
        </w:tabs>
        <w:ind w:left="5640" w:hanging="360"/>
      </w:pPr>
      <w:rPr>
        <w:rFonts w:ascii="Symbol" w:hAnsi="Symbol" w:cs="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cs="Wingdings" w:hint="default"/>
      </w:r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644167&amp;id_departament=26&amp;id_sesiune=325279&amp;id_user=165&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pple-converted-space">
    <w:name w:val="apple-converted-space"/>
    <w:qFormat/>
    <w:rPr/>
  </w:style>
  <w:style w:type="character" w:styleId="AntetCaracter">
    <w:name w:val="Antet Caracter"/>
    <w:link w:val="Header"/>
    <w:qFormat/>
    <w:rPr/>
  </w:style>
  <w:style w:type="character" w:styleId="SubsolCaracter">
    <w:name w:val="Subsol Caracter"/>
    <w:link w:val="Footer"/>
    <w:qFormat/>
    <w:rPr/>
  </w:style>
  <w:style w:type="character" w:styleId="Emphasis">
    <w:name w:val="Emphasis"/>
    <w:qFormat/>
    <w:rPr>
      <w:i/>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ListParagraph">
    <w:name w:val="List Paragraph"/>
    <w:basedOn w:val="Normal"/>
    <w:qFormat/>
    <w:pPr>
      <w:ind w:left="720"/>
    </w:pPr>
    <w:rPr>
      <w:sz w:val="28"/>
    </w:rPr>
  </w:style>
  <w:style w:type="paragraph" w:styleId="Style31">
    <w:name w:val="Style3"/>
    <w:basedOn w:val="Normal"/>
    <w:qFormat/>
    <w:pPr>
      <w:widowControl w:val="false"/>
      <w:spacing w:lineRule="exact" w:line="322"/>
      <w:ind w:firstLine="730"/>
      <w:jc w:val="both"/>
    </w:pPr>
    <w:rPr>
      <w:lang w:val="en-US"/>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scj.ro/" TargetMode="Externa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120</ap:TotalTime>
  <ap:Application>LibreOffice/24.2.7.2$Linux_X86_64 LibreOffice_project/420$Build-2</ap:Application>
  <ap:AppVersion>15.0000</ap:AppVersion>
  <ap:Pages>7</ap:Pages>
  <ap:Words>6134</ap:Words>
  <ap:Characters>32916</ap:Characters>
  <ap:CharactersWithSpaces>38960</ap:CharactersWithSpaces>
  <ap:Paragraphs>111</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