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61DAB" w14:textId="77777777" w:rsidR="00F45014" w:rsidRDefault="0057192D">
      <w:pPr>
        <w:tabs>
          <w:tab w:val="left" w:pos="426"/>
        </w:tabs>
        <w:rPr>
          <w:color w:val="BFBFBF"/>
          <w:sz w:val="20"/>
        </w:rPr>
      </w:pPr>
      <w:r>
        <w:rPr>
          <w:color w:val="BFBFBF"/>
          <w:sz w:val="20"/>
        </w:rPr>
        <w:t>Document finalizat</w:t>
      </w:r>
    </w:p>
    <w:p w14:paraId="25150B03" w14:textId="6A61DA12" w:rsidR="009600FD" w:rsidRDefault="009600FD">
      <w:pPr>
        <w:tabs>
          <w:tab w:val="left" w:pos="426"/>
        </w:tabs>
        <w:rPr>
          <w:b/>
        </w:rPr>
      </w:pPr>
      <w:r>
        <w:rPr>
          <w:b/>
        </w:rPr>
        <w:t>Hot. 9</w:t>
      </w:r>
    </w:p>
    <w:p w14:paraId="526CE6C9" w14:textId="57C7BFC7" w:rsidR="00F45014" w:rsidRDefault="0057192D">
      <w:pPr>
        <w:tabs>
          <w:tab w:val="left" w:pos="426"/>
        </w:tabs>
        <w:rPr>
          <w:b/>
        </w:rPr>
      </w:pPr>
      <w:r>
        <w:rPr>
          <w:b/>
        </w:rPr>
        <w:t>R O M Â N I A</w:t>
      </w:r>
    </w:p>
    <w:p w14:paraId="36DE99AB" w14:textId="65587045" w:rsidR="00F45014" w:rsidRDefault="0057192D">
      <w:pPr>
        <w:tabs>
          <w:tab w:val="left" w:pos="426"/>
        </w:tabs>
        <w:rPr>
          <w:b/>
        </w:rPr>
      </w:pPr>
      <w:r>
        <w:rPr>
          <w:b/>
        </w:rPr>
        <w:t xml:space="preserve">CURTEA DE APEL </w:t>
      </w:r>
      <w:r w:rsidR="00F51948">
        <w:rPr>
          <w:b/>
        </w:rPr>
        <w:t>................</w:t>
      </w:r>
    </w:p>
    <w:p w14:paraId="14B9F723" w14:textId="72A17EF3" w:rsidR="00F45014" w:rsidRDefault="0057192D">
      <w:pPr>
        <w:tabs>
          <w:tab w:val="left" w:pos="426"/>
        </w:tabs>
        <w:rPr>
          <w:b/>
        </w:rPr>
      </w:pPr>
      <w:r>
        <w:rPr>
          <w:b/>
        </w:rPr>
        <w:t xml:space="preserve">SECŢIA </w:t>
      </w:r>
      <w:r w:rsidR="00F51948">
        <w:rPr>
          <w:b/>
        </w:rPr>
        <w:t>...........</w:t>
      </w:r>
      <w:r>
        <w:rPr>
          <w:b/>
        </w:rPr>
        <w:t>, DE CONTENCIOS ADMINISTRATIV ŞI FISCAL</w:t>
      </w:r>
    </w:p>
    <w:p w14:paraId="3D4AAE2A" w14:textId="3CC80AE0" w:rsidR="00F45014" w:rsidRDefault="0057192D">
      <w:pPr>
        <w:tabs>
          <w:tab w:val="left" w:pos="426"/>
        </w:tabs>
        <w:rPr>
          <w:b/>
        </w:rPr>
      </w:pPr>
      <w:r>
        <w:rPr>
          <w:b/>
        </w:rPr>
        <w:t>Cod ECLI    ECLI:RO:</w:t>
      </w:r>
      <w:r w:rsidR="00F51948">
        <w:rPr>
          <w:b/>
        </w:rPr>
        <w:t>.....................................</w:t>
      </w:r>
    </w:p>
    <w:p w14:paraId="750860CA" w14:textId="1107EB8D" w:rsidR="00F45014" w:rsidRDefault="0057192D">
      <w:pPr>
        <w:tabs>
          <w:tab w:val="left" w:pos="426"/>
        </w:tabs>
        <w:rPr>
          <w:b/>
        </w:rPr>
      </w:pPr>
      <w:r>
        <w:rPr>
          <w:b/>
        </w:rPr>
        <w:t xml:space="preserve">Dosar nr. </w:t>
      </w:r>
      <w:r w:rsidR="00F51948">
        <w:rPr>
          <w:b/>
        </w:rPr>
        <w:t>..../...../.........</w:t>
      </w:r>
    </w:p>
    <w:p w14:paraId="5D7615EC" w14:textId="541367B7" w:rsidR="00F45014" w:rsidRDefault="0057192D">
      <w:pPr>
        <w:tabs>
          <w:tab w:val="left" w:pos="426"/>
        </w:tabs>
        <w:rPr>
          <w:b/>
        </w:rPr>
      </w:pPr>
      <w:r>
        <w:rPr>
          <w:b/>
        </w:rPr>
        <w:t xml:space="preserve">Nr. de înregistrare ca operator de date cu caracter personal  - </w:t>
      </w:r>
      <w:r w:rsidR="00F51948">
        <w:rPr>
          <w:b/>
        </w:rPr>
        <w:t>.............</w:t>
      </w:r>
    </w:p>
    <w:p w14:paraId="1633F859" w14:textId="77777777" w:rsidR="00F45014" w:rsidRDefault="00F45014">
      <w:pPr>
        <w:tabs>
          <w:tab w:val="left" w:pos="426"/>
        </w:tabs>
        <w:ind w:firstLine="709"/>
        <w:rPr>
          <w:b/>
        </w:rPr>
      </w:pPr>
    </w:p>
    <w:p w14:paraId="62CB1A3D" w14:textId="542AEB6B" w:rsidR="00F45014" w:rsidRDefault="0057192D">
      <w:pPr>
        <w:tabs>
          <w:tab w:val="left" w:pos="426"/>
        </w:tabs>
        <w:jc w:val="center"/>
        <w:rPr>
          <w:b/>
        </w:rPr>
      </w:pPr>
      <w:r>
        <w:rPr>
          <w:b/>
        </w:rPr>
        <w:t xml:space="preserve">SENTINŢA Nr. </w:t>
      </w:r>
      <w:r w:rsidR="00F51948">
        <w:rPr>
          <w:b/>
        </w:rPr>
        <w:t>......</w:t>
      </w:r>
    </w:p>
    <w:p w14:paraId="24BA80EF" w14:textId="297427B0" w:rsidR="00F45014" w:rsidRDefault="0057192D">
      <w:pPr>
        <w:tabs>
          <w:tab w:val="left" w:pos="426"/>
        </w:tabs>
        <w:jc w:val="center"/>
        <w:rPr>
          <w:b/>
        </w:rPr>
      </w:pPr>
      <w:r>
        <w:rPr>
          <w:b/>
        </w:rPr>
        <w:t xml:space="preserve">Şedinţa publică din </w:t>
      </w:r>
      <w:r w:rsidR="00F51948">
        <w:rPr>
          <w:b/>
        </w:rPr>
        <w:t>...................</w:t>
      </w:r>
      <w:r>
        <w:rPr>
          <w:b/>
        </w:rPr>
        <w:t xml:space="preserve"> </w:t>
      </w:r>
    </w:p>
    <w:p w14:paraId="21F12472" w14:textId="77777777" w:rsidR="00F45014" w:rsidRDefault="0057192D">
      <w:pPr>
        <w:tabs>
          <w:tab w:val="left" w:pos="426"/>
        </w:tabs>
        <w:jc w:val="center"/>
        <w:rPr>
          <w:b/>
        </w:rPr>
      </w:pPr>
      <w:r>
        <w:rPr>
          <w:b/>
        </w:rPr>
        <w:t>Completul constituit din:</w:t>
      </w:r>
    </w:p>
    <w:p w14:paraId="3B0FF82A" w14:textId="6DE1A4EC" w:rsidR="00F45014" w:rsidRDefault="0057192D">
      <w:pPr>
        <w:tabs>
          <w:tab w:val="left" w:pos="426"/>
        </w:tabs>
        <w:jc w:val="center"/>
        <w:rPr>
          <w:b/>
        </w:rPr>
      </w:pPr>
      <w:r>
        <w:rPr>
          <w:b/>
        </w:rPr>
        <w:t xml:space="preserve">PREŞEDINTE </w:t>
      </w:r>
      <w:r w:rsidR="00F51948">
        <w:rPr>
          <w:b/>
        </w:rPr>
        <w:t>A0015</w:t>
      </w:r>
    </w:p>
    <w:p w14:paraId="6EB0396C" w14:textId="0BE093C6" w:rsidR="00F45014" w:rsidRDefault="0057192D">
      <w:pPr>
        <w:tabs>
          <w:tab w:val="left" w:pos="426"/>
        </w:tabs>
        <w:jc w:val="center"/>
        <w:rPr>
          <w:b/>
        </w:rPr>
      </w:pPr>
      <w:r>
        <w:rPr>
          <w:b/>
        </w:rPr>
        <w:t xml:space="preserve">Grefier </w:t>
      </w:r>
      <w:r w:rsidR="00F51948">
        <w:rPr>
          <w:b/>
        </w:rPr>
        <w:t>..................</w:t>
      </w:r>
    </w:p>
    <w:p w14:paraId="7997E016" w14:textId="77777777" w:rsidR="00F45014" w:rsidRDefault="00F45014">
      <w:pPr>
        <w:tabs>
          <w:tab w:val="left" w:pos="426"/>
        </w:tabs>
        <w:ind w:firstLine="709"/>
        <w:jc w:val="center"/>
      </w:pPr>
    </w:p>
    <w:p w14:paraId="527CB5EF" w14:textId="29112B65" w:rsidR="00F45014" w:rsidRDefault="0057192D">
      <w:pPr>
        <w:tabs>
          <w:tab w:val="left" w:pos="426"/>
        </w:tabs>
        <w:ind w:firstLine="709"/>
        <w:jc w:val="both"/>
      </w:pPr>
      <w:r>
        <w:t xml:space="preserve">Pe rol se află judecarea cererii de chemare în judecată formulate de reclamanţii </w:t>
      </w:r>
      <w:r w:rsidR="00F51948">
        <w:rPr>
          <w:b/>
        </w:rPr>
        <w:t>A1</w:t>
      </w:r>
      <w:r>
        <w:t xml:space="preserve">, cu sediul în </w:t>
      </w:r>
      <w:r w:rsidR="00F51948">
        <w:t>..............................................</w:t>
      </w:r>
      <w:r>
        <w:t xml:space="preserve">, </w:t>
      </w:r>
      <w:r w:rsidR="00F51948">
        <w:rPr>
          <w:b/>
        </w:rPr>
        <w:t>A2</w:t>
      </w:r>
      <w:r>
        <w:t xml:space="preserve">, cu sediul în </w:t>
      </w:r>
      <w:r w:rsidR="00F51948">
        <w:t>..............................................</w:t>
      </w:r>
      <w:r>
        <w:t xml:space="preserve">, </w:t>
      </w:r>
      <w:r w:rsidR="00F51948">
        <w:rPr>
          <w:b/>
        </w:rPr>
        <w:t>A3</w:t>
      </w:r>
      <w:r>
        <w:t xml:space="preserve">, cu sediul în </w:t>
      </w:r>
      <w:r w:rsidR="00F51948">
        <w:t>..............................................</w:t>
      </w:r>
      <w:r>
        <w:t xml:space="preserve">, </w:t>
      </w:r>
      <w:r w:rsidR="00F51948">
        <w:rPr>
          <w:b/>
        </w:rPr>
        <w:t>A4</w:t>
      </w:r>
      <w:r>
        <w:t xml:space="preserve">, cu sediul în </w:t>
      </w:r>
      <w:r w:rsidR="00F51948">
        <w:t>..............................................</w:t>
      </w:r>
      <w:r>
        <w:t xml:space="preserve"> şi </w:t>
      </w:r>
      <w:r w:rsidR="00F51948" w:rsidRPr="00F51948">
        <w:rPr>
          <w:b/>
          <w:bCs/>
        </w:rPr>
        <w:t>A5</w:t>
      </w:r>
      <w:r>
        <w:t xml:space="preserve">, cu sediul în </w:t>
      </w:r>
      <w:r w:rsidR="00F51948">
        <w:t>..............................................</w:t>
      </w:r>
      <w:r>
        <w:t xml:space="preserve">, toţi cu sediul procesual ales în </w:t>
      </w:r>
      <w:r w:rsidR="00F51948">
        <w:t>..............................................</w:t>
      </w:r>
      <w:r>
        <w:t xml:space="preserve">, în contradictoriu cu pârâtul </w:t>
      </w:r>
      <w:r>
        <w:rPr>
          <w:b/>
        </w:rPr>
        <w:t>Guvernul României</w:t>
      </w:r>
      <w:r>
        <w:t xml:space="preserve">, cu sediul în </w:t>
      </w:r>
      <w:r w:rsidR="00F51948">
        <w:t>..............................................</w:t>
      </w:r>
      <w:r>
        <w:t xml:space="preserve"> şi cu intervenientul accesoriu Ministerul Mediului, Apelor şi Pădurilor (cu sediul în </w:t>
      </w:r>
      <w:r w:rsidR="00F51948">
        <w:t>..........................</w:t>
      </w:r>
      <w:r>
        <w:t xml:space="preserve">), având ca obiect </w:t>
      </w:r>
      <w:r>
        <w:rPr>
          <w:i/>
        </w:rPr>
        <w:t>anulate act administrativ cu caracter normativ</w:t>
      </w:r>
      <w:r>
        <w:t xml:space="preserve">.  </w:t>
      </w:r>
    </w:p>
    <w:p w14:paraId="155C7B1A" w14:textId="77777777" w:rsidR="00F45014" w:rsidRDefault="0057192D">
      <w:pPr>
        <w:tabs>
          <w:tab w:val="left" w:pos="426"/>
        </w:tabs>
        <w:ind w:firstLine="709"/>
        <w:jc w:val="both"/>
      </w:pPr>
      <w:r>
        <w:t>Fără citarea părţilor.</w:t>
      </w:r>
    </w:p>
    <w:p w14:paraId="17EB4FCB" w14:textId="1B97552F" w:rsidR="00F45014" w:rsidRDefault="0057192D">
      <w:pPr>
        <w:tabs>
          <w:tab w:val="left" w:pos="426"/>
        </w:tabs>
        <w:ind w:firstLine="709"/>
        <w:jc w:val="both"/>
      </w:pPr>
      <w:r>
        <w:t xml:space="preserve">Se constată că s-au  depus la dosarul cauzei, prin Serviciul Registratură al instanţei, în data de </w:t>
      </w:r>
      <w:r w:rsidR="00F51948">
        <w:t>................</w:t>
      </w:r>
      <w:r>
        <w:t>, de către intervenientul accesoriu Ministerul Mediului, Apelor şi Pădurilor, precizări scrise.</w:t>
      </w:r>
    </w:p>
    <w:p w14:paraId="3960CCD4" w14:textId="496C3A67" w:rsidR="00F45014" w:rsidRDefault="0057192D">
      <w:pPr>
        <w:tabs>
          <w:tab w:val="left" w:pos="426"/>
        </w:tabs>
        <w:spacing w:after="200"/>
        <w:ind w:firstLine="709"/>
        <w:jc w:val="both"/>
      </w:pPr>
      <w:r>
        <w:t xml:space="preserve">Mersul dezbaterilor şi susţinerile pe fond ale părţilor au fost consemnate în Încheierea de şedinţă din data de </w:t>
      </w:r>
      <w:r w:rsidR="00F51948">
        <w:t>.............</w:t>
      </w:r>
      <w:r>
        <w:t xml:space="preserve">, pronunțarea hotărârii fiind amânată pentru data </w:t>
      </w:r>
      <w:r w:rsidR="00F51948">
        <w:t>................</w:t>
      </w:r>
      <w:r>
        <w:t xml:space="preserve">, iar, ulterior, pentru data de azi, </w:t>
      </w:r>
      <w:r w:rsidR="00F51948">
        <w:t>............</w:t>
      </w:r>
      <w:r>
        <w:t>.</w:t>
      </w:r>
    </w:p>
    <w:p w14:paraId="519EAFB1" w14:textId="77777777" w:rsidR="00F45014" w:rsidRDefault="0057192D">
      <w:pPr>
        <w:tabs>
          <w:tab w:val="left" w:pos="426"/>
        </w:tabs>
        <w:ind w:firstLine="709"/>
        <w:jc w:val="center"/>
        <w:rPr>
          <w:b/>
        </w:rPr>
      </w:pPr>
      <w:r>
        <w:rPr>
          <w:b/>
        </w:rPr>
        <w:t>CURTEA DE APEL</w:t>
      </w:r>
    </w:p>
    <w:p w14:paraId="4FC6E880" w14:textId="77777777" w:rsidR="00F45014" w:rsidRDefault="00F45014">
      <w:pPr>
        <w:ind w:firstLine="709"/>
        <w:jc w:val="center"/>
      </w:pPr>
    </w:p>
    <w:p w14:paraId="1CD2501E" w14:textId="099E120A" w:rsidR="00F45014" w:rsidRDefault="0057192D">
      <w:pPr>
        <w:ind w:firstLine="709"/>
        <w:jc w:val="both"/>
      </w:pPr>
      <w:r>
        <w:t xml:space="preserve">Deliberând, constată că, prin cererea de chemare în judecată înregistrată pe rolul Curţii de Apel </w:t>
      </w:r>
      <w:r w:rsidR="00F51948">
        <w:t>...........</w:t>
      </w:r>
      <w:r>
        <w:t xml:space="preserve"> la data de </w:t>
      </w:r>
      <w:r w:rsidR="00F51948">
        <w:t>...........</w:t>
      </w:r>
      <w:r>
        <w:t xml:space="preserve">, sub nr. </w:t>
      </w:r>
      <w:r w:rsidR="00F51948">
        <w:t>..../...../.........</w:t>
      </w:r>
      <w:r>
        <w:t xml:space="preserve">, reclamanţii </w:t>
      </w:r>
      <w:r w:rsidR="00F51948">
        <w:t>A1</w:t>
      </w:r>
      <w:r>
        <w:t xml:space="preserve">, </w:t>
      </w:r>
      <w:r w:rsidR="00F51948">
        <w:t>A2</w:t>
      </w:r>
      <w:r>
        <w:t xml:space="preserve">, </w:t>
      </w:r>
      <w:r w:rsidR="00F51948">
        <w:t>A3</w:t>
      </w:r>
      <w:r>
        <w:t xml:space="preserve">, </w:t>
      </w:r>
      <w:r w:rsidR="00F51948">
        <w:t>A5</w:t>
      </w:r>
      <w:r>
        <w:t xml:space="preserve"> şi </w:t>
      </w:r>
      <w:r w:rsidR="00F51948">
        <w:t>A4</w:t>
      </w:r>
      <w:r>
        <w:t>, în contradictoriu cu pârâtul Guvernul României, au solicitat instanţei ca prin hotărârea pe care o va pronunţa să dispună:</w:t>
      </w:r>
    </w:p>
    <w:p w14:paraId="4B584BAA" w14:textId="77777777" w:rsidR="00F45014" w:rsidRDefault="0057192D">
      <w:pPr>
        <w:numPr>
          <w:ilvl w:val="0"/>
          <w:numId w:val="15"/>
        </w:numPr>
        <w:contextualSpacing/>
        <w:jc w:val="both"/>
      </w:pPr>
      <w:r>
        <w:t xml:space="preserve">Anularea </w:t>
      </w:r>
      <w:r>
        <w:rPr>
          <w:u w:color="000000"/>
        </w:rPr>
        <w:t>parţială</w:t>
      </w:r>
      <w:r>
        <w:t xml:space="preserve"> a Hotărârii de Guvern nr. 1370/2022 din 09.11.2022, publicată în Monitorul Oficial sub nr. 1087 din 10.11.2022, în concret:</w:t>
      </w:r>
    </w:p>
    <w:p w14:paraId="155B9E83" w14:textId="77777777" w:rsidR="00F45014" w:rsidRDefault="0057192D">
      <w:pPr>
        <w:ind w:firstLine="709"/>
        <w:jc w:val="both"/>
      </w:pPr>
      <w:r>
        <w:rPr>
          <w:u w:color="000000"/>
        </w:rPr>
        <w:t>1. Anularea parțială a articolului 1 din Normele metodologice</w:t>
      </w:r>
      <w:r>
        <w:t xml:space="preserve"> de acordare a contravalorii compensațiilor cuvenite în perioada 2010-2013 pentru masa lemnoasă nerecoltată din cauza funcțiilor de protecție stabilite prin amenajamente silvice, aferente acoperirii costurilor reclamate de gestionarea durabilă a pădurilor situate în siturile de importanță comunitară Natura 2000, pentru punerea în executare a hotărârilor judecătorești definitive, aprobate prin Hotărârea de Guvern nr. 1370/2022;</w:t>
      </w:r>
    </w:p>
    <w:p w14:paraId="76DCD4B0" w14:textId="77777777" w:rsidR="00F45014" w:rsidRDefault="0057192D">
      <w:pPr>
        <w:ind w:firstLine="709"/>
        <w:jc w:val="both"/>
      </w:pPr>
      <w:r>
        <w:t xml:space="preserve">2. Anularea parțială a art. 4 alin. 3 din Normele metodologice aprobate prin HG nr. 1370/2022 privind termenul limită pentru depunerea cererilor și a documentațiilor și a momentului de la care se calculează acest termen;  </w:t>
      </w:r>
    </w:p>
    <w:p w14:paraId="10D8609F" w14:textId="77777777" w:rsidR="00F45014" w:rsidRDefault="0057192D">
      <w:pPr>
        <w:ind w:firstLine="709"/>
        <w:jc w:val="both"/>
      </w:pPr>
      <w:r>
        <w:t>3. Anularea parţială a titlului din Anexa nr. 1 la Normele metodologice;</w:t>
      </w:r>
    </w:p>
    <w:p w14:paraId="57FF70D4" w14:textId="77777777" w:rsidR="00F45014" w:rsidRDefault="0057192D">
      <w:pPr>
        <w:ind w:firstLine="709"/>
        <w:jc w:val="both"/>
      </w:pPr>
      <w:r>
        <w:t xml:space="preserve">4. </w:t>
      </w:r>
      <w:r>
        <w:rPr>
          <w:u w:color="000000"/>
        </w:rPr>
        <w:t>Anularea parțială</w:t>
      </w:r>
      <w:r>
        <w:t xml:space="preserve"> a titlului din Anexa nr. 2 la Normele metodologice; </w:t>
      </w:r>
    </w:p>
    <w:p w14:paraId="7D985046" w14:textId="77777777" w:rsidR="00F45014" w:rsidRDefault="0057192D">
      <w:pPr>
        <w:ind w:firstLine="709"/>
        <w:jc w:val="both"/>
      </w:pPr>
      <w:r>
        <w:t>B. Obligarea pârâtului la adoptarea unei hotărâri de Guvern în care să se reflecte efectele juridice ale cererilor de mai sus, în sensul următor:</w:t>
      </w:r>
    </w:p>
    <w:p w14:paraId="574C96C6" w14:textId="77777777" w:rsidR="00F45014" w:rsidRDefault="0057192D">
      <w:pPr>
        <w:ind w:firstLine="709"/>
        <w:jc w:val="both"/>
      </w:pPr>
      <w:r>
        <w:lastRenderedPageBreak/>
        <w:t>1.) Ca efect al anulării parțiale a articolului 1 din Normele metodologice adoptate prin HG nr. 1370/2022, s-a solicitat ca noul conținut al articolului să fie următorul: „Prezentele norme se aplică tuturor proprietarilor de suprafeţe de păduri care suferă restricții în recoltarea de masă lemnoasă pentru masa lemnoasă nerecoltată din cauza funcțiilor de protecție stabilite prin amenajamente silvice pentru suprafeţele de păduri încadrate în tipurile funcţionale T1 şi T2, stabilite conform normelor tehnice pentru amenajarea pădurilor, incluse în rețeaua ecologică europeană Natura 2000, care determină restricții în recoltarea masei lemnoase” sau un conținut echivalent care să reflecte recunoașterea dreptului la compensații tuturor proprietarilor de păduri;</w:t>
      </w:r>
    </w:p>
    <w:p w14:paraId="304101D2" w14:textId="77777777" w:rsidR="00F45014" w:rsidRDefault="0057192D">
      <w:pPr>
        <w:ind w:firstLine="709"/>
        <w:jc w:val="both"/>
      </w:pPr>
      <w:r>
        <w:t>2.) Ca efect al anulării parțiale a articolului 4 alin. 3 din Normele metodologice adoptate prin HG nr. 1370/2022, s-a solicitat ca noul conținut al articolului să fie următorul: „Cererea de acordare a compensațiilor, însoțită de documentele prevăzute la alin. 2, se depune în termen de maximum 90 de zile, termen care se calculează de la intrarea în vigoare a hotărârii de modificare a normelor la structura teritorială de specialitate din subordinea autorității publice centrale care răspunde de silvicultură” sau un conținut echivalent al duratei maxime, dar care să reflecte în substanță exercitarea efectivă a dreptului de a depune cererea de acordare a compensațiilor;</w:t>
      </w:r>
    </w:p>
    <w:p w14:paraId="48EFB19A" w14:textId="77777777" w:rsidR="00F45014" w:rsidRDefault="0057192D">
      <w:pPr>
        <w:ind w:firstLine="709"/>
        <w:jc w:val="both"/>
      </w:pPr>
      <w:r>
        <w:t xml:space="preserve">3.) Ca efect al anulării parțiale a titlului Anexei nr. 1 la Normele metodologice adoptate prin HG nr. 1370/2022, s-a solicitat ca noul conținut al titlului să fie următorul: „METODOLOGIE de calcul pentru plata contravalorii compensaţiilor cuvenite în perioada 2010-2013 pentru masa lemnoasă nerecoltată din cauza funcţiilor de protecţie stabilite prin amenajamente silvice, aferente acoperirii costurilor reclamate de gestionarea durabilă a pădurilor situate în siturile de importanţă comunitară Natura 2000 </w:t>
      </w:r>
      <w:r>
        <w:rPr>
          <w:u w:color="000000"/>
        </w:rPr>
        <w:t>pentru proprietarii de păduri care suferă restricţii în recoltarea de masă lemnoasă</w:t>
      </w:r>
      <w:r>
        <w:t>” sau un conținut echivalent care să reflecte recunoașterea dreptului la compensații tuturor proprietarilor de păduri;</w:t>
      </w:r>
    </w:p>
    <w:p w14:paraId="2E7D3265" w14:textId="77777777" w:rsidR="00F45014" w:rsidRDefault="0057192D">
      <w:pPr>
        <w:ind w:firstLine="709"/>
        <w:jc w:val="both"/>
      </w:pPr>
      <w:r>
        <w:t xml:space="preserve">4.) Ca efect al anulării parțiale a titlului Anexei nr. 2 la Normele metodologice adoptate prin HG nr. 1370/2022, s-a solicitat ca noul conținut al titlului să fie următorul: „CERERE de acordare a contravalorii compensaţiilor cuvenite pentru masa lemnoasă nerecoltată din cauza funcţiilor de protecţie stabilite prin amenajamente silvice, aferente acoperirii costurilor reclamate de gestionarea durabilă a pădurilor situate în siturile de importanţă comunitară Natura 2000 </w:t>
      </w:r>
      <w:r>
        <w:rPr>
          <w:u w:color="000000"/>
        </w:rPr>
        <w:t>pentru proprietarii de păduri care suferă restricţii în recoltarea de masă lemnoasă</w:t>
      </w:r>
      <w:r>
        <w:t xml:space="preserve">” sau un conținut echivalent care să reflecte recunoașterea dreptului la compensații tuturor proprietarilor de păduri; </w:t>
      </w:r>
    </w:p>
    <w:p w14:paraId="1403112E" w14:textId="77777777" w:rsidR="00F45014" w:rsidRDefault="0057192D">
      <w:pPr>
        <w:ind w:firstLine="709"/>
        <w:jc w:val="both"/>
      </w:pPr>
      <w:r>
        <w:t xml:space="preserve">C. Obligarea pârâtului Guvernul României să completeze art. 4 din Normele  metodologice adoptate prin HG nr. 1370/2022 </w:t>
      </w:r>
      <w:r>
        <w:rPr>
          <w:u w:color="000000"/>
        </w:rPr>
        <w:t xml:space="preserve">prin inserarea unui nou alineat, </w:t>
      </w:r>
      <w:r>
        <w:t>respectiv alin. 4, care să prevadă următoarele: „Prin derogare de la dispoziţiile alin. 3, proprietarii de păduri care au depus în termen cererea, însoţită de documentația completă prevăzută la alin. 2, nu sunt obligaţi să mai depună încă o dată cererea și documentaţia în termenul stipulat la alin. 3, urmând ca acestea să fie verificate de structura teritorială competentă” sau un conținut echivalent care să reflecte/permită valorificarea cererilor și a documentațiilor deja depuse la structura teritorială competentă;</w:t>
      </w:r>
    </w:p>
    <w:p w14:paraId="54B6C5EF" w14:textId="77777777" w:rsidR="00F45014" w:rsidRDefault="0057192D">
      <w:pPr>
        <w:ind w:firstLine="709"/>
        <w:jc w:val="both"/>
      </w:pPr>
      <w:r>
        <w:t>D. Stabilirea unui termen de 30 de zile de la rămânerea definitivă a hotărârii pentru punerea în executare a obligațiilor impuse sub sancțiunea aplicării unei penalități părții obligate în cuantum de 500-1.000 lei pentru fiecare zi de întârziere și a unei amenzi prevăzute la art. 24 alin. 2 din Legea nr. 554/2004;</w:t>
      </w:r>
    </w:p>
    <w:p w14:paraId="02D452D2" w14:textId="77777777" w:rsidR="00F45014" w:rsidRDefault="0057192D">
      <w:pPr>
        <w:ind w:firstLine="709"/>
        <w:jc w:val="both"/>
      </w:pPr>
      <w:r>
        <w:t>E. Obligarea pârâtului la plata tuturor cheltuielilor de judecată, în temeiul art. 453 din Codul de procedură civilă.</w:t>
      </w:r>
    </w:p>
    <w:p w14:paraId="2679F278" w14:textId="38207865" w:rsidR="00F45014" w:rsidRDefault="0057192D">
      <w:pPr>
        <w:ind w:firstLine="709"/>
        <w:jc w:val="both"/>
      </w:pPr>
      <w:r>
        <w:t xml:space="preserve">În motivarea cererii introductive, cu titlul prealabil, reclamanţii au arătat că au parcurs procedura administrativă, prin formularea Plângerii prealabile nr. </w:t>
      </w:r>
      <w:r w:rsidR="00F51948">
        <w:t>....97/.......2023</w:t>
      </w:r>
      <w:r>
        <w:t xml:space="preserve">, aceasta fiind înregistrată la pârâtul Guvernul României sub nr. </w:t>
      </w:r>
      <w:r w:rsidR="00F51948">
        <w:t>....7/.../....2023</w:t>
      </w:r>
      <w:r>
        <w:t>, la care nu au primit răspuns în termenul de 30 de zile, prevăzut de art. 2 alin. 1 lit. h) din Legea nr. 554/2004.</w:t>
      </w:r>
    </w:p>
    <w:p w14:paraId="2F57B792" w14:textId="77777777" w:rsidR="00F45014" w:rsidRDefault="0057192D">
      <w:pPr>
        <w:ind w:firstLine="709"/>
        <w:jc w:val="both"/>
      </w:pPr>
      <w:r>
        <w:t xml:space="preserve">În ceea ce priveşte starea de fapt, reclamanţii au menţionat că au calitatea de proprietari de terenuri cu vegetație forestieră, situate în arii protejate de tip Natura 2000, încadrate în tipurile funcționale T1 și T2, fapt care presupune restricții totale/extrem de drastice în recoltarea </w:t>
      </w:r>
      <w:r>
        <w:lastRenderedPageBreak/>
        <w:t>de masă lemnoasă. În fapt, regimul de arii naturale protejate de tip Natura 2000 a fost consacrat inițial prin prevederile art. 26 alin. 1 din OUG nr. 57/2007 privind regimul ariilor naturale protejate, conservarea habitatelor naturale, a florei și faunei sălbatice.</w:t>
      </w:r>
    </w:p>
    <w:p w14:paraId="532A1B94" w14:textId="77777777" w:rsidR="00F45014" w:rsidRDefault="0057192D">
      <w:pPr>
        <w:ind w:firstLine="709"/>
        <w:jc w:val="both"/>
      </w:pPr>
      <w:r>
        <w:t>Pe de o parte, art. 97 alin. l lit. b) din Legea nr. 46/2008 - Codul silvic prevede: „(l) În scopul gestionării durabile a fondului forestier proprietate privată a persoanelor fizice și juridice și a celui proprietate publică și privată a unităţilor administrativ-teritoriale, statul alocă anual de la buget, prin bugetul autorităţii publice centrale care răspunde de silvicultură, sume pentru: b) acordarea unor compensaţii reprezentând contravaloarea produselor pe care proprietarii nu le recoltează, datorită funcţiilor de protecţie stabilite prin amenajamente silvice care determină restricţii în recoltarea de masă lemnoasă”.</w:t>
      </w:r>
    </w:p>
    <w:p w14:paraId="1170D7CF" w14:textId="77777777" w:rsidR="00F45014" w:rsidRDefault="0057192D">
      <w:pPr>
        <w:ind w:firstLine="709"/>
        <w:jc w:val="both"/>
      </w:pPr>
      <w:r>
        <w:t>Totodată, articolul 99 din același act normativ prevede, de asemenea, că „Normele metodologice de acordare, utilizare și control al sumelor anuale prevăzute la art. 98 se aprobă prin hotărâre a Guvernului, la propunerea autorităţii publice centrale care răspunde de silvicultură, în termen de 90 de zile de la data intrării în vigoare a prezentului cod”.</w:t>
      </w:r>
    </w:p>
    <w:p w14:paraId="3113C7EA" w14:textId="77777777" w:rsidR="00F45014" w:rsidRDefault="0057192D">
      <w:pPr>
        <w:ind w:firstLine="709"/>
        <w:jc w:val="both"/>
      </w:pPr>
      <w:r>
        <w:t xml:space="preserve">Pe de altă parte, prin Ordonanța de Guvern nr. 14/2010 se reglementează măsurile financiare pentru reglementarea ajutoarelor de stat acordate producătorilor agricoli, </w:t>
      </w:r>
      <w:r>
        <w:rPr>
          <w:u w:color="000000"/>
        </w:rPr>
        <w:t>începând cu anul 2010.</w:t>
      </w:r>
      <w:r>
        <w:t xml:space="preserve"> La articolul 5 din OG nr. 14/2010 se menționează expres: Normele metodologice privind modul de acordare a ajutoarelor de stat prevăzute la art. 4 se aprobă prin hotărâri ale Guvernului, cu respectarea prevederilor comunitare şi naţionale în domeniul ajutorului de stat, și reglementează scopul, obiectivul, durata, cuantumul ajutorului exprimat ca procent din cheltuiala eligibilă şi valoare în lei, fluxurile financiare pentru acordarea ajutoarelor de stat, criteriile de eligibilitate, procedurile de implementare, supraveghere și control”.</w:t>
      </w:r>
    </w:p>
    <w:p w14:paraId="5EE919D2" w14:textId="77777777" w:rsidR="00F45014" w:rsidRDefault="0057192D">
      <w:pPr>
        <w:ind w:firstLine="709"/>
        <w:jc w:val="both"/>
      </w:pPr>
      <w:r>
        <w:t>Contrar obligației legale exprese, pârâtul Guvernul României a tergiversat excesiv momentul adoptării normelor metodologice pentru anii 2010-2013, sens în care o parte dintre proprietarii de păduri au luat măsuri prin introducerea de cereri de chemare în judecată prin care să obțină obligarea Guvernului la adoptarea hotărârii pentru perioada antereferită.</w:t>
      </w:r>
    </w:p>
    <w:p w14:paraId="2F9087E0" w14:textId="77777777" w:rsidR="00F45014" w:rsidRPr="00990453" w:rsidRDefault="0057192D">
      <w:pPr>
        <w:ind w:firstLine="709"/>
        <w:jc w:val="both"/>
      </w:pPr>
      <w:r>
        <w:t xml:space="preserve">Demersurile s-au soluționat favorabil pentru proprietari, în sensul că Guvernul a fost obligat de instanțele de judecată la adoptarea unei hotărâri de Guvern pentru aprobarea normelor metodologice de acordare, utilizare și control a compensațiilor reprezentând contravaloarea masei lemnoase ce nu poate fi recoltată din cauza funcțiilor de protecție stabilite prin </w:t>
      </w:r>
      <w:r w:rsidRPr="00990453">
        <w:t>amenajamente silvice pentru perioada 2010-2013.</w:t>
      </w:r>
    </w:p>
    <w:p w14:paraId="56B95625" w14:textId="1FA9A955" w:rsidR="00F45014" w:rsidRDefault="0057192D">
      <w:pPr>
        <w:ind w:firstLine="709"/>
        <w:jc w:val="both"/>
      </w:pPr>
      <w:r w:rsidRPr="00990453">
        <w:t xml:space="preserve">Așadar, urmare a pronunțării de către Înalta Curte de Casație și Justiție a Deciziei nr. </w:t>
      </w:r>
      <w:r w:rsidR="00217CA5">
        <w:t>...</w:t>
      </w:r>
      <w:r w:rsidRPr="00990453">
        <w:t xml:space="preserve">/2020 (prin care a menținut Sentința nr. </w:t>
      </w:r>
      <w:r w:rsidR="00217CA5">
        <w:t>.../2018</w:t>
      </w:r>
      <w:r w:rsidRPr="00990453">
        <w:t xml:space="preserve"> a Curții de Apel </w:t>
      </w:r>
      <w:r w:rsidR="00217CA5">
        <w:t>....</w:t>
      </w:r>
      <w:r w:rsidRPr="00990453">
        <w:t xml:space="preserve">), în dosarul nr. </w:t>
      </w:r>
      <w:r w:rsidR="00217CA5">
        <w:t>.../.../2017</w:t>
      </w:r>
      <w:r w:rsidRPr="00990453">
        <w:t xml:space="preserve"> și a Deciziei nr. </w:t>
      </w:r>
      <w:r w:rsidR="00217CA5">
        <w:t>.../2021</w:t>
      </w:r>
      <w:r w:rsidRPr="00990453">
        <w:t>, în dosarul nr.</w:t>
      </w:r>
      <w:r w:rsidR="00217CA5">
        <w:t>.../.../2017</w:t>
      </w:r>
      <w:r w:rsidRPr="00990453">
        <w:t xml:space="preserve">, </w:t>
      </w:r>
      <w:r w:rsidRPr="00990453">
        <w:rPr>
          <w:u w:color="000000"/>
        </w:rPr>
        <w:t>precum și a procedurii de executare silită</w:t>
      </w:r>
      <w:r w:rsidRPr="00990453">
        <w:t xml:space="preserve">, derulată în dosarul nr. </w:t>
      </w:r>
      <w:r w:rsidR="00217CA5">
        <w:t>.../.../2022</w:t>
      </w:r>
      <w:r w:rsidRPr="00990453">
        <w:t xml:space="preserve">, finalizat prin Sentința civilă nr. </w:t>
      </w:r>
      <w:r w:rsidR="00217CA5">
        <w:t>.../....2022</w:t>
      </w:r>
      <w:r w:rsidRPr="00990453">
        <w:t xml:space="preserve">, Guvernul României a procedat în cele din urmă la adoptarea Hotărârii de Guvern nr. 1370/2022 din 09.11.2022 privind aprobarea normelor metodologice de </w:t>
      </w:r>
      <w:r>
        <w:t>acordare a contravalorii compensațiilor cuvenite în perioada 2010-2013 pentru masa lemnoasă nerecoltată din cauza funcțiilor de protecție stabilite prin amenajamente silvice, aferente acoperirii costurilor reclamate de gestionarea durabilă a pădurilor situate în siturile de importanță comunitară Natura 2000, pentru punerea în executare a hotărârilor judecătorești definitive pentru anii 2010-2013. Această hotărâre a fost publicată în Monitorul Oficial sub nr. 1087/10.11.2022.</w:t>
      </w:r>
    </w:p>
    <w:p w14:paraId="1F2AA502" w14:textId="77777777" w:rsidR="00F45014" w:rsidRDefault="0057192D">
      <w:pPr>
        <w:ind w:firstLine="709"/>
        <w:jc w:val="both"/>
      </w:pPr>
      <w:r>
        <w:t>Prin cele două hotărâri judecătorești definitive, instanța supremă a obligat/menținut hotărârea de obligare a pârâtului Guvernul Românei la respectarea obligațiilor impuse prin legislația națională și comunitară în sensul că dispozitivul hotărârilor judecătorești definitive viza obligarea Guvernului României la adoptarea Hotărârii de Guvern pentru aprobarea Normelor metodologice de acordare, utilizare și control a compensațiilor reprezentând contravaloarea produselor pe care nu le recoltează, datorită funcțiilor de protecție stabilite prin amenajamente silvice care determină restricții în recoltarea de masă lemnoasă aferente perioadei 2010-2013.</w:t>
      </w:r>
    </w:p>
    <w:p w14:paraId="4208EFDB" w14:textId="77777777" w:rsidR="00F45014" w:rsidRDefault="0057192D">
      <w:pPr>
        <w:ind w:firstLine="709"/>
        <w:jc w:val="both"/>
      </w:pPr>
      <w:r>
        <w:t xml:space="preserve">În urma examinării conținutului acestor două decizii judecătorești definitive, rezultă fără tăgadă că obligarea pârâtului Guvernul României la adoptarea hotărârii nu s-a dispus doar pentru a satisface interesele private ale celor două entităţi reclamante, ci finalitatea acestora </w:t>
      </w:r>
      <w:r>
        <w:lastRenderedPageBreak/>
        <w:t>consta în adoptarea unui act administrativ cu caracter normativ pentru aprobarea acestor norme metodologice, act administrativ general aplicabil tuturor proprietarilor de păduri.</w:t>
      </w:r>
    </w:p>
    <w:p w14:paraId="6BE66BE3" w14:textId="77777777" w:rsidR="00F45014" w:rsidRDefault="0057192D">
      <w:pPr>
        <w:ind w:firstLine="709"/>
        <w:jc w:val="both"/>
      </w:pPr>
      <w:r>
        <w:t>Așadar, dispozitivul celor două hotărâri antemenționate a vizat obligația de adoptare a unei HG privind aprobarea de norme metodologice universal valabile pentru toți proprietarii de terenuri din România, nu doar pentru cei doi proprietari ale căror acțiuni au fost admise. Acest aspect poate fi verificat prin simpla lecturare a dispozitivului hotărârilor judecătorești.</w:t>
      </w:r>
    </w:p>
    <w:p w14:paraId="01C5E0AD" w14:textId="77777777" w:rsidR="00F45014" w:rsidRDefault="0057192D">
      <w:pPr>
        <w:ind w:firstLine="709"/>
        <w:jc w:val="both"/>
      </w:pPr>
      <w:r>
        <w:t>Cu toate acestea, în conținutul articolului 1din Normele metodologice aprobate prin HG nr. 1370/2022 poate fi identificată o diferență radicală între obligația concretă impusă de instanțele de judecată și modalitatea în care Guvernul României a înțeles să reflecte obligația impusă prin cele două hotărâri judecătorești. În această modalitate, Guvernul României a deturnat de la scopul și finalitatea obligațiilor impuse de cele două instanțe.</w:t>
      </w:r>
    </w:p>
    <w:p w14:paraId="1F48EE0B" w14:textId="77777777" w:rsidR="00F45014" w:rsidRDefault="0057192D">
      <w:pPr>
        <w:ind w:firstLine="709"/>
        <w:jc w:val="both"/>
      </w:pPr>
      <w:r>
        <w:t>În acest sens, reclamanţii au redat articolul 1 din Normele metodologice: „Prezentele norme se aplică beneficiarilor cărora le-a fost stabilit prin hotărâri judecătorești definitive dreptul de a beneficia de despăgubiri reprezentând contravaloarea compensaţiilor pentru masa lemnoasă nerecoltată din cauza funcțiilor de protecţie stabilite prin amenajamente silvice pentru suprafeţele de păduri încadrate în tipurile funcţionale T1 și T2, stabilite conform normelor tehnice pentru amenajarea pădurilor, incluse în reţeaua ecologică europeană Natura 2000, care determină restricţii în recoltarea masei lemnoase".</w:t>
      </w:r>
    </w:p>
    <w:p w14:paraId="4BE0E162" w14:textId="50534B33" w:rsidR="00F45014" w:rsidRDefault="0057192D">
      <w:pPr>
        <w:ind w:firstLine="709"/>
        <w:jc w:val="both"/>
      </w:pPr>
      <w:r>
        <w:t xml:space="preserve">O remarcă ce se impune a fi făcută constă în faptul că Înalta Curte de Casație şi Justiție - Secţia Contencios Administrativ și Fiscal, prin Decizia nr. </w:t>
      </w:r>
      <w:r w:rsidR="00217CA5">
        <w:t>.../2021</w:t>
      </w:r>
      <w:r>
        <w:t xml:space="preserve">, pronunțată în dosarul nr. </w:t>
      </w:r>
      <w:r w:rsidR="00217CA5">
        <w:t>.../.../2017</w:t>
      </w:r>
      <w:r>
        <w:t>, a obligat Guvernul României la adoptarea HG privind aprobarea normelor metodologice de acordare, utilizare și control a compensațiilor reprezentând contravaloarea produselor pe care nu le recoltează, datorită funcțiilor de protecție stabilite prin amenajamente silvice care determină restricții în recoltarea de masă lemnoasă, în vederea soluționării cererii privind compensațiile aferente perioadei 2010-2013.</w:t>
      </w:r>
    </w:p>
    <w:p w14:paraId="0D333EBA" w14:textId="2FE8F407" w:rsidR="00F45014" w:rsidRDefault="0057192D">
      <w:pPr>
        <w:ind w:firstLine="709"/>
        <w:jc w:val="both"/>
      </w:pPr>
      <w:r>
        <w:t xml:space="preserve">La fel a decis și Curtea de Apel </w:t>
      </w:r>
      <w:r w:rsidR="00217CA5">
        <w:t>....</w:t>
      </w:r>
      <w:r>
        <w:t xml:space="preserve">, prin Sentința nr. </w:t>
      </w:r>
      <w:r w:rsidR="00217CA5">
        <w:t>.../2018</w:t>
      </w:r>
      <w:r>
        <w:t xml:space="preserve">, menținută de Înalta Curte în recurs, prin Decizia nr. </w:t>
      </w:r>
      <w:r w:rsidR="00217CA5">
        <w:t>...</w:t>
      </w:r>
      <w:r>
        <w:t>/2020. În concret, instanța de fond a decis obligarea pârâtului la adoptarea unei hotărâri de guvern pentru aprobarea normelor metodologice, respectiv obligarea acestuia la adoptarea și publicarea proiectului de hotărâre de guvern avizat de guvern în Comisia Europeană care a stat la baza emiterii Deciziei nr. C(2012) 5166 final/19.07.2012. Respectarea întocmai a acestei dispoziții a instanței însemna preluarea în concret și complet în HG nr. 1370/2022 a întregului conținut al schemei așa cum aceasta a fost înaintată și ulterior aprobată de către Comisia Europeană în decizia anterior menționată.</w:t>
      </w:r>
    </w:p>
    <w:p w14:paraId="01FA1C0C" w14:textId="77777777" w:rsidR="00F45014" w:rsidRDefault="0057192D">
      <w:pPr>
        <w:ind w:firstLine="709"/>
        <w:jc w:val="both"/>
      </w:pPr>
      <w:r>
        <w:t>Relevant este că în Anexa nr. l, la art. l din proiectul de hotărâre pentru aprobarea normelor metodologice, înaintat și aprobat de Comisia Europeană, preluat la pct. 8 din această schemă, în ceea ce privește beneficiarii ajutorului, s-au prevăzut expres următoarele: „Beneficiarii, al căror număr este estimat la peste 1000, sunt proprietari de păduri (persoane fizice și juridice), asociațiile ale acestora înscrise în registrul specific, precum și unități administrative/teritoriale care dețin în proprietate publică sau privată suprafețe forestiere cu funcție de protecție de tip T1 sau T2 și care nu pot recolta masa lemnoasă de pe aceste suprafețe din acest motiv".</w:t>
      </w:r>
    </w:p>
    <w:p w14:paraId="7312ADDB" w14:textId="77777777" w:rsidR="00F45014" w:rsidRDefault="0057192D">
      <w:pPr>
        <w:ind w:firstLine="709"/>
        <w:jc w:val="both"/>
      </w:pPr>
      <w:r>
        <w:t>În pofida acestei dispoziții clare și exprese a instanței, Guvernul a înțeles să adopte o poziție oscilantă cu privire la executare obligației impuse.</w:t>
      </w:r>
    </w:p>
    <w:p w14:paraId="2EA49EED" w14:textId="30974B60" w:rsidR="00F45014" w:rsidRDefault="0057192D">
      <w:pPr>
        <w:ind w:firstLine="709"/>
        <w:jc w:val="both"/>
      </w:pPr>
      <w:r>
        <w:t xml:space="preserve">Într-o primă abordare, Guvernul a înțeles să pună în aplicare, mai întâi, Decizia civilă nr. </w:t>
      </w:r>
      <w:r w:rsidR="00217CA5">
        <w:t>.../2021</w:t>
      </w:r>
      <w:r>
        <w:t xml:space="preserve"> din </w:t>
      </w:r>
      <w:r w:rsidR="00217CA5">
        <w:t>...</w:t>
      </w:r>
      <w:r>
        <w:t xml:space="preserve">.2021, pronunțată de ÎCCJ - SCAF, în dosarul nr. </w:t>
      </w:r>
      <w:r w:rsidR="00217CA5">
        <w:t>.../.../2017</w:t>
      </w:r>
      <w:r>
        <w:t>, adoptând în acest sens Proiectul de hotărâre ce a fost publicat în transparență decizională, ce a fost publicat pe site-ul Ministerului Mediului, Apelor și Pădurilor la data de 05.10.2021 și pe site-ul Guvernului României la data de 06.10.2021. Din diverse motive, Guvernul nu a parcurs procedura completă de adoptare și publicare în Monitorul Oficial a acestui proiect.</w:t>
      </w:r>
    </w:p>
    <w:p w14:paraId="7C71B7F2" w14:textId="77777777" w:rsidR="00F45014" w:rsidRDefault="0057192D">
      <w:pPr>
        <w:ind w:firstLine="709"/>
        <w:jc w:val="both"/>
      </w:pPr>
      <w:r>
        <w:t xml:space="preserve">Într-o a doua abordare, </w:t>
      </w:r>
      <w:r>
        <w:rPr>
          <w:u w:color="000000"/>
        </w:rPr>
        <w:t>la care reclamanţii se referă expres în prezenta pricină</w:t>
      </w:r>
      <w:r>
        <w:t>, Guvernul a înțeles să ignore cu desăvârșire obligația impusă, limitând beneficiarii ajutorului la o categorie de persoane stipulată în mod subiectiv și aleatoriu, diferită ca soluție față de proiect.</w:t>
      </w:r>
    </w:p>
    <w:p w14:paraId="31AAB48D" w14:textId="77777777" w:rsidR="00F45014" w:rsidRDefault="0057192D">
      <w:pPr>
        <w:ind w:firstLine="709"/>
        <w:jc w:val="both"/>
      </w:pPr>
      <w:r>
        <w:lastRenderedPageBreak/>
        <w:t xml:space="preserve">Mai mult, prin utilizarea acestei sintagme „proprietarii” de către instanțele de judecată, dar și prin această obligație impusă, de a adopta norme metodologice, s-a născut în sarcina pârâtului Guvernul României obligația de a adopta un act </w:t>
      </w:r>
      <w:r>
        <w:rPr>
          <w:u w:color="000000"/>
        </w:rPr>
        <w:t>administrativ cu caracter normativ</w:t>
      </w:r>
      <w:r>
        <w:t xml:space="preserve"> general aplicabil tuturor proprietarilor de păduri care se regăsesc în situația premisă a beneficiarilor ajutorului și care urma să prevadă în concret condițiile în baza cărora proprietarii de păduri, care suferă restricții în recoltarea de masă lemnoasă din cauza funcțiilor de protecție stabilite prin amenajamente silvice, pot obține compensații pentru această ingerință în dreptul de proprietate aferente anilor 2010-2013.</w:t>
      </w:r>
    </w:p>
    <w:p w14:paraId="7CDD65F4" w14:textId="77777777" w:rsidR="00F45014" w:rsidRDefault="0057192D">
      <w:pPr>
        <w:ind w:firstLine="709"/>
        <w:jc w:val="both"/>
      </w:pPr>
      <w:r>
        <w:t>Așadar, obligația ce a fost impusă în sarcina Guvernului a fost aceea de a crea cadrul legal secundar (secundum legem) pentru ca toți proprietarii de terenuri cu vegetație forestieră (păduri), care se află sub imperiul restricțiilor de recoltare, să poată beneficia de compensații, astfel cum prevede Regulamentul UE nr. 1305/2013, Decizia nr. C(2012) 5166 final din 19.07.2012, precum și legislația națională - art. 26 alin. 1 din OUG nr. 57/2007, art. 97 alin. 1 lit. b) din Legea nr. 46/2008, respectiv art. 5 și 6 din OG nr. 14/2010.</w:t>
      </w:r>
    </w:p>
    <w:p w14:paraId="549D2E96" w14:textId="77777777" w:rsidR="00F45014" w:rsidRDefault="0057192D">
      <w:pPr>
        <w:ind w:firstLine="709"/>
        <w:jc w:val="both"/>
      </w:pPr>
      <w:r>
        <w:t>Cu referire la vătămarea produsă, reclamanţii au menţionat că suntem în prezenţa încălcării grave a prevederilor art. 108 din Constituţie şi ale art. 30 alin. (l) lit. b) din Legea nr. 24/2000, în lumina următoarelor argumente juridice:</w:t>
      </w:r>
    </w:p>
    <w:p w14:paraId="2D110E87" w14:textId="77777777" w:rsidR="00F45014" w:rsidRDefault="0057192D">
      <w:pPr>
        <w:ind w:firstLine="709"/>
        <w:jc w:val="both"/>
      </w:pPr>
      <w:r>
        <w:t xml:space="preserve">Aşa cum au prezentat pe larg, o hotărâre a Guvernului nu este dată în completarea legii. Ea nu poate adăuga în sarcina subiectului de drept condiţii suplimentare faţă de cele cuprinse în textul legii. Organizarea executării legii nu se poate confunda cu elaborarea acesteia. </w:t>
      </w:r>
    </w:p>
    <w:p w14:paraId="02672950" w14:textId="77777777" w:rsidR="00F45014" w:rsidRDefault="0057192D">
      <w:pPr>
        <w:ind w:firstLine="709"/>
        <w:jc w:val="both"/>
      </w:pPr>
      <w:r>
        <w:t>Întrucât hotărârea Guvernului se adoptă în baza legii şi urmăreşte organizarea şi executarea în concret a legii, aceasta nu poate institui norme derogatorii de la lege, posibilitate rezervată doar actelor normative de nivel cel puţin egal cu cel al reglementării de bază. De aceea, atunci când o hotărâre a Guvernului încalcă legea sau adaugă la lege, ea poate fi anulată, total sau parţial.</w:t>
      </w:r>
    </w:p>
    <w:p w14:paraId="4AA8947D" w14:textId="77777777" w:rsidR="00F45014" w:rsidRDefault="0057192D">
      <w:pPr>
        <w:ind w:firstLine="709"/>
        <w:jc w:val="both"/>
      </w:pPr>
      <w:r>
        <w:t xml:space="preserve"> În dezacord cu obligația impusă de instanțele de judecată, executivul a procedat la adoptarea defectuoasă a hotărârii de guvern, în sensul că a restricționat drastic, prin utilizarea unei formulări neconforme, categoria persoanelor vizate, contrar celor două hotărâri judecătorești (titluri executorii).</w:t>
      </w:r>
    </w:p>
    <w:p w14:paraId="4055629E" w14:textId="77777777" w:rsidR="00F45014" w:rsidRDefault="0057192D">
      <w:pPr>
        <w:ind w:firstLine="709"/>
        <w:jc w:val="both"/>
      </w:pPr>
      <w:r>
        <w:t>Așadar, deși trebuia utilizată sintagma „proprietarilor de păduri care suferi restricţii în recoltarea de masă lemnoasă pentru masa lemnoasă nerecoltată din cauza funcţiilor de protecţie stabilite prin amenajamente silvice", la art. 1 din Normele metodologice regăsim sintagma „ beneficiarilor cărora le-a fost stabilit prin hotărâri judecătorești definitive dreptul de a beneficia de despăgubiri reprezentând contravaloarea compensațiilor pentru masa lemnoasă nerecoltată din cauza funcţiilor de protecţie stabilite prin amenajamente silvice".</w:t>
      </w:r>
    </w:p>
    <w:p w14:paraId="26B524C3" w14:textId="77777777" w:rsidR="00F45014" w:rsidRDefault="0057192D">
      <w:pPr>
        <w:ind w:firstLine="709"/>
        <w:jc w:val="both"/>
      </w:pPr>
      <w:r>
        <w:t>De asemenea, în conținutul Anexei nr. 1 - Metodologie și a Anexei nr. 2 - Cerere, ambele anexe ale Normelor metodologice și parte integrantă din HG nr. 1370/2022, regăsim sintagma „pentru beneficiarii cărora le-a fost stabilit acest drept prin hotărâri judecătorești definitive".</w:t>
      </w:r>
    </w:p>
    <w:p w14:paraId="0E500CC2" w14:textId="5BD4EFBB" w:rsidR="00F45014" w:rsidRDefault="0057192D">
      <w:pPr>
        <w:ind w:firstLine="709"/>
        <w:jc w:val="both"/>
      </w:pPr>
      <w:r>
        <w:t xml:space="preserve">În acest sens, reclamanţii au învederat că hotărârea de guvern la a cărei adoptare a fost obligat pârâtul Guvernul României are, în mod indubitabil, natura unui act administrativ normativ, (aspect care rezultă chiar și din poziția procesuală a Guvernului exprimată în cele două dosare - </w:t>
      </w:r>
      <w:r w:rsidR="00217CA5">
        <w:t>.../.../2017</w:t>
      </w:r>
      <w:r>
        <w:t xml:space="preserve"> și </w:t>
      </w:r>
      <w:r w:rsidR="00217CA5">
        <w:t>.../.../2017</w:t>
      </w:r>
      <w:r>
        <w:t>), întrucât aceasta urma să conțină prevederi cu caracter general, impersonale, care să producă efecte juridice erga omnes, în concret, care să prevadă condițiile ce trebuie îndeplinite de către orice proprietar de pădure care suferă restricţii de natura celor reglementate prin art. 97 alin. 1 lit. b ) din Legea nr. 46/2008.</w:t>
      </w:r>
    </w:p>
    <w:p w14:paraId="30061FA1" w14:textId="77777777" w:rsidR="00F45014" w:rsidRDefault="0057192D">
      <w:pPr>
        <w:ind w:firstLine="709"/>
        <w:jc w:val="both"/>
      </w:pPr>
      <w:r>
        <w:t>Contrar dispozițiilor instanței supreme, articolul 1 din Normele metodologice limitează drastic categoria persoanelor care pot formula cereri și accesa compensații aferente perioadei 2010-2013 exclusiv la categoria „beneficiarilor cărora le-a fost stabilit prin hotărâri judecătorești definitive dreptul de a beneficia de despăgubiri reprezentând contravaloarea compensațiilor”.</w:t>
      </w:r>
    </w:p>
    <w:p w14:paraId="75F84352" w14:textId="77777777" w:rsidR="00F45014" w:rsidRDefault="0057192D">
      <w:pPr>
        <w:ind w:firstLine="709"/>
        <w:jc w:val="both"/>
      </w:pPr>
      <w:r>
        <w:t xml:space="preserve">Or, prin această formulare nu se încalcă numai dispoziția instanțelor de judecată, cât și spiritul și litera legii aplicate de acestea (art. 97 alin. 1 lit. b) din Legea nr. 46/2008). Astfel, se </w:t>
      </w:r>
      <w:r>
        <w:lastRenderedPageBreak/>
        <w:t>poate observa cu ușurință că nu acesta este sensul dat de cele două hotărâri judecătorești care au fost puse în executare de către pârât.</w:t>
      </w:r>
    </w:p>
    <w:p w14:paraId="503B86D7" w14:textId="77777777" w:rsidR="00F45014" w:rsidRDefault="0057192D">
      <w:pPr>
        <w:ind w:firstLine="709"/>
        <w:jc w:val="both"/>
      </w:pPr>
      <w:r>
        <w:t>Dacă prin absurd s-ar admite contrariul, respectiv că HG nr. 1370/2022 are caracterul unui act administrativ individual, așa cum pretinde pârâtul, trebuiau să fie expres nominalizați ca beneficiari cei doi reclamanți care au avut drept de câștig în cele două litigii.</w:t>
      </w:r>
    </w:p>
    <w:p w14:paraId="16B0CF3C" w14:textId="77777777" w:rsidR="00F45014" w:rsidRDefault="0057192D">
      <w:pPr>
        <w:ind w:firstLine="709"/>
        <w:jc w:val="both"/>
      </w:pPr>
      <w:r>
        <w:t xml:space="preserve">Astfel, în situația dată, pârâtul Guvernul României, sfidând dispozițiile instanțelor de judecată, a normat cu de la sine putere, dincolo de orice temei legal și factual, stabilind că normele aprobate prin HG nr. 1370/2022 sunt aplicabile </w:t>
      </w:r>
      <w:r>
        <w:rPr>
          <w:u w:color="000000"/>
        </w:rPr>
        <w:t>doar beneficiarilor cărora le-a fost stabilit prin hotărâri judecătorești definitive dreptul de a beneficia de despăgubiri</w:t>
      </w:r>
      <w:r>
        <w:t>. Acest aspect presupune că avem de a face tot cu un act administrativ cu caracter normativ, dar criteriile de eligibilitate ale beneficiarilor sunt altele decât cele prevăzute de lege și consacrate în cele două hotărâri judecătorești.</w:t>
      </w:r>
    </w:p>
    <w:p w14:paraId="180ADE35" w14:textId="77777777" w:rsidR="00F45014" w:rsidRDefault="0057192D">
      <w:pPr>
        <w:ind w:firstLine="709"/>
        <w:jc w:val="both"/>
      </w:pPr>
      <w:r>
        <w:t>De asemenea, reclamanţii au precizat că prevederile legale ale căror anulare o solicită aduc atingere dreptului de proprietate, astfel cum acesta este garantat de Constituție, de Codul civil și de protecția conferită de însăși Primul Protocol Adițional din Convenția Europeană a Drepturilor Omului.</w:t>
      </w:r>
    </w:p>
    <w:p w14:paraId="73FB4D93" w14:textId="77777777" w:rsidR="00F45014" w:rsidRDefault="0057192D">
      <w:pPr>
        <w:ind w:firstLine="709"/>
        <w:jc w:val="both"/>
      </w:pPr>
      <w:r>
        <w:t>Mai mult, apreciază că este incidentă o discriminare vădită prin raportare la toți ceilalți proprietari de păduri care nu dețin hotărâri judecătorești definitive prin care li s-a statuat dreptul la compensații pentru anii 2010-2013, dar care au aceleași interdicții de recoltare precum cei doi justițiabili care au obținut obligarea Guvernului României la adoptarea hotărârii de guvern privind aprobarea normelor metodologice. De asemenea, proprietarii de păduri au dreptul la compensații în temeiul legii, motiv pentru care nici măcar nu trebuiau să dețină hotărâri judecătorești care să le statueze acest drept.</w:t>
      </w:r>
    </w:p>
    <w:p w14:paraId="0ADBF4B2" w14:textId="77777777" w:rsidR="00F45014" w:rsidRDefault="0057192D">
      <w:pPr>
        <w:ind w:firstLine="709"/>
        <w:jc w:val="both"/>
      </w:pPr>
      <w:r>
        <w:t xml:space="preserve">Reclamanţii au solicitat a se observa că în practica administrativă consacrată de adoptare a hotărârilor ce aprobă astfel de norme metodologice nici anterior perioadei vizate de HG nr. 1370/2022 și nici ulterior acesteia, </w:t>
      </w:r>
      <w:r>
        <w:rPr>
          <w:u w:color="000000"/>
        </w:rPr>
        <w:t>nicio altă hotărâre de guvern nu a limitat posibilitatea ca toți cei care suferă restricții de natura celor amintite mai sus să poată accesa compensațiile</w:t>
      </w:r>
      <w:r>
        <w:t>, așa cum s-a făcut în mod nelegal prin HG nr. 1370/2022.</w:t>
      </w:r>
    </w:p>
    <w:p w14:paraId="3347008B" w14:textId="4731C23E" w:rsidR="00F45014" w:rsidRDefault="0057192D">
      <w:pPr>
        <w:ind w:firstLine="709"/>
        <w:jc w:val="both"/>
      </w:pPr>
      <w:r>
        <w:t xml:space="preserve">De altfel, la finalul acestei argumentații, s-a reiterat că, prealabil adoptării HG nr. 1370/2022, pârâtul Guvernul României a publicat pe site-ul acestei instituții proiectul de hotărâre pentru aprobarea Normelor metodologice de acordare, utilizare şi control a ajutorului de stat pentru compensaţii reprezentând contravaloarea masei lemnoase pe care proprietarii nu o recoltează datorită funcţiilor de protecţie stabilite prin amenajamente silvice, necesare acoperirii costurilor reclamate de gestionarea durabilă a pădurilor situate în siturile de importanţă comunitară Natura 2000, pentru perioada 2010-2013, care avea ca obiect punerea în executare a Deciziei civile nr. </w:t>
      </w:r>
      <w:r w:rsidR="00217CA5">
        <w:t>.../....2021</w:t>
      </w:r>
      <w:r>
        <w:t>, pronunțată de ÎCCJ.</w:t>
      </w:r>
    </w:p>
    <w:p w14:paraId="45ECB0F5" w14:textId="77777777" w:rsidR="00F45014" w:rsidRDefault="0057192D">
      <w:pPr>
        <w:ind w:firstLine="709"/>
        <w:jc w:val="both"/>
      </w:pPr>
      <w:r>
        <w:t>În anexă la acest proiect, s-a prevăzut la art. 1 alin. 1 și art. 2 că „(l) Prezentele norme se aplică proprietarilor de suprafeţe de păduri încadrate în tipurile funcţionale T1 și T2, stabilite conform Normelor tehnice pentru amenajarea pădurilor, incluse în reţeaua ecologică europeană Natura 2000, care determină restricţii în recoltarea masei lemnoase.</w:t>
      </w:r>
    </w:p>
    <w:p w14:paraId="244D8664" w14:textId="77777777" w:rsidR="00F45014" w:rsidRDefault="0057192D">
      <w:pPr>
        <w:ind w:firstLine="709"/>
        <w:jc w:val="both"/>
      </w:pPr>
      <w:r>
        <w:t>(2) Prezentele norme se aplică și asociaţiilor proprietarilor prevăzuţi la alin. (1), dacă aceste asociații sunt înscrise în Registrul naţional al asociaţiilor de proprietari de pădure, ţinut la nivelul autorităţii publice centrale care răspunde de silvicultură, conform prevederilor art. 94 alin. (1) din Legea nr. 46/2008 Codul silvic, cu modificările și completările ulterioare.</w:t>
      </w:r>
    </w:p>
    <w:p w14:paraId="4D296692" w14:textId="77777777" w:rsidR="00F45014" w:rsidRDefault="0057192D">
      <w:pPr>
        <w:ind w:firstLine="709"/>
        <w:jc w:val="both"/>
      </w:pPr>
      <w:r>
        <w:t>Și în acest context, reclamanţii au menţionat că, din diverse rațiuni care le scapă, acest proiect care satisfăcea pe deplin cerințele impuse de hotărârile judecătorești nu s-a mai materializat în concret, ci Guvernul a înțeles să adopte HG nr. 1370/2022.</w:t>
      </w:r>
    </w:p>
    <w:p w14:paraId="4850CA60" w14:textId="77777777" w:rsidR="00F45014" w:rsidRDefault="0057192D">
      <w:pPr>
        <w:ind w:firstLine="709"/>
        <w:jc w:val="both"/>
      </w:pPr>
      <w:r>
        <w:t xml:space="preserve">Față de cele ce preced, forma adoptată prin HG nr. 1370/2022 reprezintă o nerespectare gravă a hotărârilor judecătorești pronunțate în contradictoriu cu Guvernul României, prin aceea că pârâtul a schimbat și denaturat categoria persoanelor ce pot obține compensații. Astfel, de la un număr nedeterminat de proprietari de păduri care aveau dreptul să formuleze cerere de acordare a compensaţiilor, în mod nelegal și complet discriminatoriu, prin articolul 1 din Norme, această categorie este limitată doar beneficiarilor cărora le-a fost stabilit prin hotărâri </w:t>
      </w:r>
      <w:r>
        <w:lastRenderedPageBreak/>
        <w:t>judecătorești definitive dreptul de a beneficia de despăgubiri reprezentând contravaloarea compensațiilor pentru masa lemnoasă nerecoltată.</w:t>
      </w:r>
    </w:p>
    <w:p w14:paraId="5E70AED2" w14:textId="77777777" w:rsidR="00F45014" w:rsidRDefault="0057192D">
      <w:pPr>
        <w:ind w:firstLine="709"/>
        <w:jc w:val="both"/>
      </w:pPr>
      <w:r>
        <w:t>În acest sens, în temeiul prevederilor art. 1 alin. 1 și ale art. 2 din Legea nr. 554/2004, reclamanţii se consideră vătămaţi într-un drept, respectiv cel vizând acordarea compensațiilor, precum și în exercitarea dreptului de proprietate.</w:t>
      </w:r>
    </w:p>
    <w:p w14:paraId="23EFA859" w14:textId="77777777" w:rsidR="00F45014" w:rsidRDefault="0057192D">
      <w:pPr>
        <w:ind w:firstLine="709"/>
        <w:jc w:val="both"/>
      </w:pPr>
      <w:r>
        <w:t>Revenind la natura juridică a actului constând în Hotărârea de Guvern nr. 1370/2022, reclamanţii au învederat următoarele:</w:t>
      </w:r>
    </w:p>
    <w:p w14:paraId="3C1A340D" w14:textId="378ADD07" w:rsidR="00F45014" w:rsidRDefault="0057192D">
      <w:pPr>
        <w:ind w:firstLine="709"/>
        <w:jc w:val="both"/>
      </w:pPr>
      <w:r>
        <w:t xml:space="preserve">Calificarea unui act infralegislativ într-una dintre cele două categorii (normativ și individual) se face, așa cum s-a decis în practica judiciară (ÎCCJ-Secția de contencios administrativ și fiscal Decizia nr. </w:t>
      </w:r>
      <w:r w:rsidR="00217CA5">
        <w:t>.../2013</w:t>
      </w:r>
      <w:r>
        <w:t>), prin examinarea integrală a conținutului său, prin prisma trăsăturilor fiecăreia din categoriile în discuție. Așa fiind, un act administrativ este fie normativ, fie individual, în funcție de întinderea pe care le produce, independent de conținutul unei anexe ale acelui act.</w:t>
      </w:r>
    </w:p>
    <w:p w14:paraId="544BA8C5" w14:textId="648B2DFD" w:rsidR="00F45014" w:rsidRDefault="0057192D">
      <w:pPr>
        <w:ind w:firstLine="709"/>
        <w:jc w:val="both"/>
      </w:pPr>
      <w:r>
        <w:t xml:space="preserve">Și în acest caz, jurisprudența ÎCCJ- Secția contencios administrativ și fiscal (Decizia nr. </w:t>
      </w:r>
      <w:r w:rsidR="00217CA5">
        <w:t>...</w:t>
      </w:r>
      <w:r>
        <w:t>/2022) a statuat că un act normativ își păstrează caracterul normativ, chiar dacă la data publicării sale ar fi determinabile subiectele de drept cărora urmează să le fie aplicabil, însă rămân nedeterminate toate subiectele de drept care vor resimți efectele pe parcursul activității sale. Aceasta deoarece, în actele administrative individuale, subiectele de drept sunt determinate, individualizate ca atare în cuprinsul actului.</w:t>
      </w:r>
    </w:p>
    <w:p w14:paraId="7596636E" w14:textId="77777777" w:rsidR="00F45014" w:rsidRDefault="0057192D">
      <w:pPr>
        <w:ind w:firstLine="709"/>
        <w:jc w:val="both"/>
      </w:pPr>
      <w:r>
        <w:t>Or, tocmai această nuanță de natură juridică a fost nesocotită de către pârâtul Guvernul României la momentul adoptării HG nr. 1370/2022.</w:t>
      </w:r>
    </w:p>
    <w:p w14:paraId="2571794F" w14:textId="77777777" w:rsidR="00F45014" w:rsidRDefault="0057192D">
      <w:pPr>
        <w:ind w:firstLine="709"/>
        <w:jc w:val="both"/>
      </w:pPr>
      <w:r>
        <w:t>Așadar, reclamanţii apreciază că HG nr. 1370/2022 are caracterul unui act administrativ normativ. În privința acesteia nu se poate reține că ar fi aplicabilă unor situații strict determinate, pentru că aceasta conține reguli generale, care sunt de aplicabilitate repetată tuturor persoanelor care la fiecare aplicare îndeplinesc exigențele sale.</w:t>
      </w:r>
    </w:p>
    <w:p w14:paraId="0D479967" w14:textId="77777777" w:rsidR="00F45014" w:rsidRDefault="0057192D">
      <w:pPr>
        <w:ind w:firstLine="709"/>
        <w:jc w:val="both"/>
      </w:pPr>
      <w:r>
        <w:t>În situația dată, HG nr. 1370/2022 a fost adoptată pentru punerea în aplicare a celor două decizii judecătorești mai sus vizate prin mecanismul procedural al art. 24 și 25 din Legea nr. 554/2004 (procedura executării silite), întrucât pârâtul nu a înțeles să execute de bunăvoie această obligație legală pe care o avea încă din anul 2010.</w:t>
      </w:r>
    </w:p>
    <w:p w14:paraId="0ED4C5C2" w14:textId="77777777" w:rsidR="00F45014" w:rsidRDefault="0057192D">
      <w:pPr>
        <w:ind w:firstLine="709"/>
        <w:jc w:val="both"/>
      </w:pPr>
      <w:r>
        <w:t>În acest context, așa cum s-a relevat în doctrina de specialitate, când o autoritate judecătorească ordonă (imperium) obligarea la adoptarea sau emiterea unui act administrativ, autoritatea publică competentă nu mai exercită o competență discreționară ce implică o anumită marjă de apreciere ci, dimpotrivă, instanța judecătorească impune o conduită precisă pentru autoritatea publică, materializată în ceea ce doctrina desemnează ca fiind competența legată.</w:t>
      </w:r>
    </w:p>
    <w:p w14:paraId="13B365F1" w14:textId="77777777" w:rsidR="00F45014" w:rsidRDefault="0057192D">
      <w:pPr>
        <w:ind w:firstLine="709"/>
        <w:jc w:val="both"/>
      </w:pPr>
      <w:r>
        <w:t>Trebuie remarcat faptul că în ambele hotărâri judecătorești antereferite regăsim imperativul obligării la adoptarea de către Guvern a normelor metodologice, fără vreo mențiune cu privire la adoptarea de HG doar pentru reclamantul din acel dosar anume. Mai mult, în considerentele celor două hotărâri judecătorești de obligare se menționează expres că este vorba despre adoptarea unui act administrativ cu caracter normativ.</w:t>
      </w:r>
    </w:p>
    <w:p w14:paraId="645A8672" w14:textId="77777777" w:rsidR="00F45014" w:rsidRDefault="0057192D">
      <w:pPr>
        <w:ind w:firstLine="709"/>
        <w:jc w:val="both"/>
      </w:pPr>
      <w:r>
        <w:t>Totodată, competența legată poate fi recunoscută atunci când conținutul actului administrativ este complet predeterminat de norma legală, în cuprinsul căreia se menționează expres elementele de fapt și de drept necesare pentru emiterea actului, fiind o simplă îndatorire legală de îndeplinit în privința căreia organul administrativ - în speță, pârâtul Guvernul României nu are nicio altă opțiune. Cadrul legal în baza căruia trebuia adoptată HG de aprobarea normelor metodologice de către Guvern a fost conturat și detaliat în cele două hotărâri judecătorești, de unde rezultă foarte clar natura și conținutul actului.</w:t>
      </w:r>
    </w:p>
    <w:p w14:paraId="7FE4B095" w14:textId="77777777" w:rsidR="00F45014" w:rsidRDefault="0057192D">
      <w:pPr>
        <w:ind w:firstLine="709"/>
        <w:jc w:val="both"/>
      </w:pPr>
      <w:r>
        <w:t>De altfel, până la adoptarea HG nr. 1370/2022, toate actele normative de aprobare a normelor metodologice de acordare a contravalorii compensațiilor adoptate anterior au fost materializate prin acte administrative cu caracter normativ (de exemplu: HG nr. 1071/2006, HG nr. 861/2009 și HG nr. 447/2017).</w:t>
      </w:r>
    </w:p>
    <w:p w14:paraId="035736EC" w14:textId="77777777" w:rsidR="00F45014" w:rsidRDefault="0057192D">
      <w:pPr>
        <w:ind w:firstLine="709"/>
        <w:jc w:val="both"/>
      </w:pPr>
      <w:r>
        <w:t xml:space="preserve">Având în vedere conținutul normelor metodologice adoptate prin HG nr. 1370/2022, în aprecierea reclamanţilor acest act normativ încalcă și principiul ierarhiei actelor juridice, consacrat în art. 4 alin. 3 din Legea nr. 24/2000 privind normele de tehnică legislativă pentru </w:t>
      </w:r>
      <w:r>
        <w:lastRenderedPageBreak/>
        <w:t>elaborarea actelor normative, potrivit căruia „actele normative date în executarea legilor, ordonanţelor sau a hotărârilor Guvernului se emit în limitele şi potrivit normelor care le ordonă”.</w:t>
      </w:r>
    </w:p>
    <w:p w14:paraId="43E2B9B3" w14:textId="77777777" w:rsidR="00F45014" w:rsidRDefault="0057192D">
      <w:pPr>
        <w:ind w:firstLine="709"/>
        <w:jc w:val="both"/>
      </w:pPr>
      <w:r>
        <w:t>Așadar, având în vedere faptul că pârâtul Guvernul României a adoptat un act administrativ prin nerespectarea prevederilor legale din acte normative cu forță juridică superioară, dar și cu încălcarea dispozițiilor celor două hotărâri judecătorești, reclamanţii au menţionat că ne aflăm în prezența unei vătămări, având, deci, calitatea de persoană vătămată, astfel cum aceasta este definită de art. 2 alin. 1 lit. a) din Legea nr. 554/2004.</w:t>
      </w:r>
    </w:p>
    <w:p w14:paraId="6BFAEA2E" w14:textId="77777777" w:rsidR="00F45014" w:rsidRDefault="0057192D">
      <w:pPr>
        <w:ind w:firstLine="709"/>
        <w:jc w:val="both"/>
      </w:pPr>
      <w:r>
        <w:t>Reclamanţii au precizat că această obligație de adoptare a normelor metodologice a fost impusă încă din anul 2008, prin art. 97 alin. 1 lit. b) și art. 99 din Legea nr. 46/2008, iar mai apoi reiterat prin art. 5-6 din OG nr. 14/2010, acte legislative cu forță juridică superioară Hotărârii de Guvern. La momentul adoptării HG, adică la data de 09.11.2022, pârâtul nu a respectat dispozitivul celor două hotărâri judecătorești pronunțate în anii 2020 și 2021, creând, astfel, o inechitate pentru proprietarii de păduri al căror drept la compensații este prevăzut expres, clar, printr-o lege organică.</w:t>
      </w:r>
    </w:p>
    <w:p w14:paraId="13F6E4F8" w14:textId="77777777" w:rsidR="00F45014" w:rsidRDefault="0057192D">
      <w:pPr>
        <w:ind w:firstLine="709"/>
        <w:jc w:val="both"/>
      </w:pPr>
      <w:r>
        <w:rPr>
          <w:noProof/>
        </w:rPr>
        <w:drawing>
          <wp:anchor distT="0" distB="0" distL="114300" distR="114300" simplePos="0" relativeHeight="251658240" behindDoc="0" locked="0" layoutInCell="1" allowOverlap="0" wp14:anchorId="572DF0DF" wp14:editId="187E6C76">
            <wp:simplePos x="0" y="0"/>
            <wp:positionH relativeFrom="page">
              <wp:posOffset>3654425</wp:posOffset>
            </wp:positionH>
            <wp:positionV relativeFrom="page">
              <wp:posOffset>10109835</wp:posOffset>
            </wp:positionV>
            <wp:extent cx="8890" cy="12065"/>
            <wp:effectExtent l="0" t="0" r="0" b="0"/>
            <wp:wrapTopAndBottom/>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8890" cy="12065"/>
                    </a:xfrm>
                    <a:prstGeom prst="rect">
                      <a:avLst/>
                    </a:prstGeom>
                  </pic:spPr>
                </pic:pic>
              </a:graphicData>
            </a:graphic>
          </wp:anchor>
        </w:drawing>
      </w:r>
      <w:r>
        <w:t>Adoptând această hotărâre abia după pronunțarea a două hotărâri judecătorești definitive prin care pârâtul a fost obligat expres să adopte actul, hotărâri din ale căror considerente se desprinde inclusiv caracterul normativ al actului administrativ, pârâtul a sfidat extrem de grav atât dispozițiile instanței de judecată, cât și legea. Astfel, la acest moment al adoptării, pârâtul nu mai avea posibilitatea schimbării categoriei beneficiarilor actului administrativ, adică nu mai avea marja de apreciere de care beneficia anterior obligării sale la adoptare, întrucât a proceda în această manieră presupune nerespectarea hotărârilor judecătorești prin care a fost obligat la adoptarea hotărârii de Guvern privind aprobarea normelor metodologice de acordare a compensațiilor, adică la adoptarea unui act administrativ cu caracter normativ.</w:t>
      </w:r>
    </w:p>
    <w:p w14:paraId="01BAB41F" w14:textId="77777777" w:rsidR="00F45014" w:rsidRDefault="0057192D">
      <w:pPr>
        <w:ind w:firstLine="709"/>
        <w:jc w:val="both"/>
      </w:pPr>
      <w:r>
        <w:t>Cu privire la petitele din prezenta cerere de chemare în judecată, reclamanţii au învederat următoarele:</w:t>
      </w:r>
    </w:p>
    <w:p w14:paraId="729CBB50" w14:textId="77777777" w:rsidR="00F45014" w:rsidRDefault="0057192D">
      <w:pPr>
        <w:ind w:firstLine="709"/>
        <w:jc w:val="both"/>
      </w:pPr>
      <w:r>
        <w:t>1. În primul rând, au solicitat anularea parțială a HG nr. 1370/2022, în sensul anulării parţiale a articolului 1 din Normele metodologice de acordare a contravalorii compensațiilor cuvenite în perioada 2010-2013 pentru masa lemnoasă nerecoltată din cauza funcțiilor de protecție stabilite prin amenajamente silvice, aferente acoperirii costurilor reclamate de gestionarea durabilă a pădurilor situate în siturile de importanță comunitară Natura 2000, pentru punerea în executare a hotărârilor judecătorești definitive, aprobate prin Hotărârea de Guvern nr. 1370/2022.</w:t>
      </w:r>
    </w:p>
    <w:p w14:paraId="01CAD2CC" w14:textId="77777777" w:rsidR="00F45014" w:rsidRDefault="0057192D">
      <w:pPr>
        <w:ind w:firstLine="709"/>
        <w:jc w:val="both"/>
      </w:pPr>
      <w:r>
        <w:t>Astfel, apreciază că este nelegală, contrară prevederilor Legii nr. 46/2008, a OG nr. 14/2010 și dispoziției celor două hotărâri judecătorești, formularea de la articolul 1 din Normele metodologice (precum și din Anexele nr. I și nr. 2 la normele metodologice) conform căreia: „ Prezentele norme se aplică beneficiarilor cărora le-a fost stabilit prin hotărâri judecătorești definitive dreptul de a beneficia de despăgubiri reprezentând contravaloarea compensaţiilor pentru masa lemnoasă nerecoltată din cauza funcţiilor de protecţie stabilite prin amenajamente silvice pentru suprafeţele de păduri încadrate în tipurile funcţionale T1și T2, stabilite conform normelor tehnice pentru amenajarea pădurilor, incluse în reţeaua ecologică europeană Natura 2000, care determină restricţii în recoltarea masei lemnoase.</w:t>
      </w:r>
    </w:p>
    <w:p w14:paraId="5D058159" w14:textId="168C69D5" w:rsidR="00F45014" w:rsidRDefault="0057192D">
      <w:pPr>
        <w:ind w:firstLine="709"/>
        <w:jc w:val="both"/>
      </w:pPr>
      <w:r>
        <w:t xml:space="preserve">Dispozitivul Deciziei nr. </w:t>
      </w:r>
      <w:r w:rsidR="00217CA5">
        <w:t>.../2021</w:t>
      </w:r>
      <w:r>
        <w:t xml:space="preserve"> a ÎCCJ este următorul: „Obligă pârâtul Guvernul României la adoptarea Hotărârii de Guvern pentru aprobarea Normelor metodologice de acordare, utilizare și control a compensaţiilor reprezentând contravaloarea produselor pe care proprietarii nu le recoltează, datorită funcţiilor de protecţie stabilite prin amenajamente silvice care determină restricţii în recoltarea de masă lemnoasă, în vederea soluţionării cererii privind compensaţiile aferente perioadei 2010-2013, formulată de reclamantă.”</w:t>
      </w:r>
    </w:p>
    <w:p w14:paraId="374017BD" w14:textId="231E7CE2" w:rsidR="00F45014" w:rsidRDefault="0057192D">
      <w:pPr>
        <w:ind w:firstLine="709"/>
        <w:jc w:val="both"/>
      </w:pPr>
      <w:r>
        <w:t xml:space="preserve">De asemenea, prin Sentința civilă nr. </w:t>
      </w:r>
      <w:r w:rsidR="00217CA5">
        <w:t>.../2018</w:t>
      </w:r>
      <w:r>
        <w:t xml:space="preserve"> a Curții de Apel </w:t>
      </w:r>
      <w:r w:rsidR="00217CA5">
        <w:t>....</w:t>
      </w:r>
      <w:r>
        <w:t xml:space="preserve">, menținută prin Decizia nr. </w:t>
      </w:r>
      <w:r w:rsidR="00217CA5">
        <w:t>...</w:t>
      </w:r>
      <w:r>
        <w:t xml:space="preserve">/2020 a ÎCCJ s-a dispus: „Obligă pe pârâtul Guvernul României să adopte o hotărâre de Guvern pentru aprobarea normelor metodologice de acordare, utilizare și control a compensaţiilor reprezentând contravaloarea produselor pe care proprietarii nu le recoltează datorită funcţiilor de protecție stabilite prin amenajamente silvice, care determină restricţii în </w:t>
      </w:r>
      <w:r>
        <w:lastRenderedPageBreak/>
        <w:t>recoltarea de masă lemnoasă, respectiv a proiectului de Hotărâre de Guvern avizată de Guvern în Comisia Europeană care a stat la baza emiterii Deciziei nr. C(2012) 5166final/19.07.2012.”</w:t>
      </w:r>
    </w:p>
    <w:p w14:paraId="30DB876D" w14:textId="77777777" w:rsidR="00F45014" w:rsidRDefault="0057192D">
      <w:pPr>
        <w:ind w:firstLine="709"/>
        <w:jc w:val="both"/>
      </w:pPr>
      <w:r>
        <w:t>Drept urmare, este evidentă alterarea pe care pârâtul Guvernul României a produs-o cu privire la conținutul actului administrativ pe care avea obligația să îl adopte, în sensul că, în cuprinsul art. 4 din Normele metodologice adoptate, nu se menționează „pe care proprietarii nu le recoltează", ci că H.G. „se aplică beneficiarilor cărora le-a fost stabilit prin hotărâri judecătorești definitive dreptul de a beneficia de despăgubiri”, putând fi observată aici o cu totul altă formulare, care, în mod evident, este restrictivă față de cea din dispoziția instanțelor.</w:t>
      </w:r>
    </w:p>
    <w:p w14:paraId="70E72B4C" w14:textId="58ECF922" w:rsidR="00F45014" w:rsidRDefault="0057192D">
      <w:pPr>
        <w:ind w:firstLine="709"/>
        <w:jc w:val="both"/>
      </w:pPr>
      <w:r>
        <w:t xml:space="preserve">În aceeași ordine de idei, reclamanţii au solicitat a se observa că pârâtul Guvernul României a invocat în apărarea sa (în dosar nr. </w:t>
      </w:r>
      <w:r w:rsidR="00217CA5">
        <w:t>.../.../2017</w:t>
      </w:r>
      <w:r>
        <w:t xml:space="preserve">) excepţia inadmisibilităţii cererii de obligare la adoptarea unui act administrativ cu caracter normativ, excepție care a fost respinsă de către instanță - Curtea de Apel </w:t>
      </w:r>
      <w:r w:rsidR="00217CA5">
        <w:t>....</w:t>
      </w:r>
      <w:r>
        <w:t xml:space="preserve">, prin Sentința civilă nr. </w:t>
      </w:r>
      <w:r w:rsidR="00217CA5">
        <w:t>.../2018</w:t>
      </w:r>
      <w:r>
        <w:t xml:space="preserve">, soluție care a fost menținută prin Decizia civilă nr. </w:t>
      </w:r>
      <w:r w:rsidR="00217CA5">
        <w:t>...</w:t>
      </w:r>
      <w:r>
        <w:t>/2020 a Înaltei Curți de Casație și Justiție.</w:t>
      </w:r>
    </w:p>
    <w:p w14:paraId="6F75067B" w14:textId="77777777" w:rsidR="00F45014" w:rsidRDefault="0057192D">
      <w:pPr>
        <w:ind w:firstLine="709"/>
        <w:jc w:val="both"/>
      </w:pPr>
      <w:r>
        <w:t>În conținutul acestei decizii, instanța supremă a statuat că: „În mod corect a reţinut prima instanţă că nu poate fi vorba în speţă de o depășire a atribuţiilor puterii judecătorești și o încălcare a principiului separaţiei puterilor în stat consacrat de art. 1 alin. 4 din Constituţie atâta vreme cât intimata-reclamantă a invocat încălcarea de către Guvernul României a unei obligaţii deja prevăzute expres de lege (art. 97 alin. l din Legea nr. 46/2008 și cele două decizii ale Comisiei Europene invocate în acţiunea introductivă), astfel că, deși această obligație de a organiza executarea legii are ca obiect un act administrativ cu caracter normativ, dreptul de apreciere asupra oportunității emiterii sale nu mai este atributul exclusiv al autorităţii publice competente.</w:t>
      </w:r>
    </w:p>
    <w:p w14:paraId="778690E5" w14:textId="77777777" w:rsidR="00F45014" w:rsidRDefault="0057192D">
      <w:pPr>
        <w:ind w:firstLine="709"/>
        <w:jc w:val="both"/>
      </w:pPr>
      <w:r>
        <w:t>În acest context, în mod corect a fost respinsă excepţia inadmisibilității având în vedere că, hotărârea judecătorească prin care Guvernul României a fost obligat la emiterea actului administrativ, privind organizarea și executarea în concret a procedurii de adoptare a unui act normativ cu aplicabilitate generală, nu este dată cu depășirea atribuţiilor puterii judecătorești și a principiului separaţiei puterilor, consacrat de art. 1 alin. (4) din Constituţie.</w:t>
      </w:r>
    </w:p>
    <w:p w14:paraId="007196E8" w14:textId="77777777" w:rsidR="00F45014" w:rsidRDefault="0057192D">
      <w:pPr>
        <w:ind w:firstLine="709"/>
        <w:jc w:val="both"/>
      </w:pPr>
      <w:r>
        <w:t>Drept urmare, reclamanţii au concluzionat că pârâtul Guvernul a normat cu exces de putere, în sensul prevăzut de art. 2 alin. (l) lit. (n) din Legea contenciosului administrativ nr. 554/2004, vătămându-le extrem de grav dreptul lor legitim la compensații prevăzut de normele legale în vigoare, disprețuind, între altele, efectele lucrului judecat.</w:t>
      </w:r>
    </w:p>
    <w:p w14:paraId="20B7038C" w14:textId="77777777" w:rsidR="00F45014" w:rsidRDefault="0057192D">
      <w:pPr>
        <w:ind w:firstLine="709"/>
        <w:jc w:val="both"/>
      </w:pPr>
      <w:r>
        <w:t>2. În al doilea rând, reclamanţii au solicitat anularea art. 4 alin. 3 din Normele metodologice aprobate prin HG nr. 1370/2022 privind termenul limită pentru depunerea cererilor și a documentațiilor și a momentului de la care se calculează acest termen, întrucât și acesta este vătămător.</w:t>
      </w:r>
    </w:p>
    <w:p w14:paraId="280FCD5B" w14:textId="77777777" w:rsidR="00F45014" w:rsidRDefault="0057192D">
      <w:pPr>
        <w:ind w:firstLine="709"/>
        <w:jc w:val="both"/>
      </w:pPr>
      <w:r>
        <w:t>În forma actuală, acest text prevede: „Cererea de acordare a compensaţiilor, însoţită de documentele prevăzute la alin. (2), se depune în termen de maximum 30 de zile de la intrarea în vigoare a prezentelor norme metodologice la structura teritorială de specialitate din subordinea autorităţii publice centrale care răspunde de silvicultură.”</w:t>
      </w:r>
    </w:p>
    <w:p w14:paraId="0145E395" w14:textId="77777777" w:rsidR="00F45014" w:rsidRDefault="0057192D">
      <w:pPr>
        <w:ind w:firstLine="709"/>
        <w:jc w:val="both"/>
      </w:pPr>
      <w:r>
        <w:t>Astfel, urmare a anulării articolului 1 din Normele metodologice, se impune anularea și a articolului 4 alin. 3 din acestea, întrucât, în caz contrar, situația proprietarilor de terenuri afectate de restricții ar rămâne neschimbată, aceștia nemaiputând să depună cerere de acordare a compensațiilor.</w:t>
      </w:r>
    </w:p>
    <w:p w14:paraId="713879D8" w14:textId="77777777" w:rsidR="00F45014" w:rsidRDefault="0057192D">
      <w:pPr>
        <w:ind w:firstLine="709"/>
        <w:jc w:val="both"/>
      </w:pPr>
      <w:r>
        <w:t>În mod cert, sintagma „în termen de 30 de zile de la intrarea în vigoare a prezentelor norme” reprezintă un interval de timp care s-a epuizat deja, deoarece HG nr. 1370/2022 a fost publicată în Monitorul Oficial la data de 10.11.2022, sub nr. 1087/10.11.2022.</w:t>
      </w:r>
    </w:p>
    <w:p w14:paraId="1EA74A32" w14:textId="77777777" w:rsidR="00F45014" w:rsidRDefault="0057192D">
      <w:pPr>
        <w:ind w:firstLine="709"/>
        <w:jc w:val="both"/>
      </w:pPr>
      <w:r>
        <w:t>Drept urmare, pentru a exista posibilitatea legală și reală ca alți proprietari de păduri afectați în sensul art. 97 alin. 1 lit. b) din Codul silvic să poată formula cereri pentru acordarea compensațiilor pentru perioada 2010-2013, se impune anularea și a acestui text legal, care pune în imposibilitate un potențial solicitant de a se adresa gărzii forestiere cu o astfel de cerere, întrucât aceasta s-ar respinge în mod cert ca tardiv formulată.</w:t>
      </w:r>
    </w:p>
    <w:p w14:paraId="12D62B05" w14:textId="77777777" w:rsidR="00F45014" w:rsidRDefault="0057192D">
      <w:pPr>
        <w:ind w:firstLine="709"/>
        <w:jc w:val="both"/>
      </w:pPr>
      <w:r>
        <w:t xml:space="preserve">Totodată, reclamanţii au învederat  că pentru a se putea formula o astfel de cerere de acordare a compensațiilor, art. 4 alin. 2 din Normele aprobate prin HG nr. 1370/2022, </w:t>
      </w:r>
      <w:r>
        <w:lastRenderedPageBreak/>
        <w:t>solicitantul trebuie să anexeze o vastă documentație, iar pentru obținerea tuturor înscrisurilor imperios necesare termenul de 30 de zile este mult prea scurt.</w:t>
      </w:r>
    </w:p>
    <w:p w14:paraId="3D3D23E7" w14:textId="77777777" w:rsidR="00F45014" w:rsidRDefault="0057192D">
      <w:pPr>
        <w:ind w:firstLine="709"/>
        <w:jc w:val="both"/>
      </w:pPr>
      <w:r>
        <w:t>Astfel, art. 4 alin. 2 lit. e) stipulează că trebuie anexată confirmarea din partea administratorului sitului Natura 2000 sau a serviciului teritorial al Agenției Naționale pentru Arii Naturale Protejate, după caz, cu privire la încadrarea suprafeței de pădure aflate în proprietate în siturile Natura 2000 în perioada 2010-2013. Or, A.N.A.N.P. sau administrația unui parc natural sau național beneficiază de un termen legal de 30 de zile să răspundă solicitării adresate.</w:t>
      </w:r>
    </w:p>
    <w:p w14:paraId="6D971A86" w14:textId="77777777" w:rsidR="00F45014" w:rsidRDefault="0057192D">
      <w:pPr>
        <w:ind w:firstLine="709"/>
        <w:jc w:val="both"/>
      </w:pPr>
      <w:r>
        <w:t>Așadar, posibilitatea ca un proprietar să efectueze toate demersurile și să depună documentația completă prevăzută de art. 4 alin. 2 din Norme în termenul de 30 de zile apare ca fiind nerealistă.</w:t>
      </w:r>
    </w:p>
    <w:p w14:paraId="58E17D11" w14:textId="77777777" w:rsidR="00F45014" w:rsidRDefault="0057192D">
      <w:pPr>
        <w:ind w:firstLine="709"/>
        <w:jc w:val="both"/>
      </w:pPr>
      <w:r>
        <w:t>Reclamanţii au precizat, spre exemplu, că termenele prevăzute în HG nr. 447/2017 aveau o durată mai cuprinzătoare. Poate fi observat, așadar, că pentru anul 2017 s-au acordat 90 de zile de la intrarea în vigoare a HG nr. 447/2017 (calculat din 06.07.2017), iar pentru anii 2018-2022 inclusiv, termenul de depunere era de 6 luni, adică mult mai lung.</w:t>
      </w:r>
    </w:p>
    <w:p w14:paraId="5D87CEB7" w14:textId="77777777" w:rsidR="00F45014" w:rsidRDefault="0057192D">
      <w:pPr>
        <w:ind w:firstLine="709"/>
        <w:jc w:val="both"/>
      </w:pPr>
      <w:r>
        <w:t>Ceea ce pârâtul Guvernul României a urmărit prin maniera de reglementare a HG nr. 1370/2022, in concreto, a normelor metodologice aprobate prin aceasta, a fost limitarea drastică a categoriei solicitanților în mod nelegal și, mai mult decât atât, pierderea termenului de depunere a cererilor și documentațiilor, aspecte de neacceptat din partea unei autorități publice, care vine în serviciul cetăţenilor.</w:t>
      </w:r>
    </w:p>
    <w:p w14:paraId="3E121EA5" w14:textId="77777777" w:rsidR="00F45014" w:rsidRDefault="0057192D">
      <w:pPr>
        <w:ind w:firstLine="709"/>
        <w:jc w:val="both"/>
      </w:pPr>
      <w:r>
        <w:t>3. În privința anulării parţiale a titlului din Anexa nr. 1 la Normele metodologice, reclamanţii au învederat următoarele:</w:t>
      </w:r>
    </w:p>
    <w:p w14:paraId="582E6373" w14:textId="77777777" w:rsidR="00F45014" w:rsidRDefault="0057192D">
      <w:pPr>
        <w:ind w:firstLine="709"/>
        <w:jc w:val="both"/>
      </w:pPr>
      <w:r>
        <w:t>În titlul Anexei nr. 1 la norme se utilizează din nou, în mod defectuos, la fel ca în cazul art. 1 la Norme, sintagma „ beneficiarii cărora le-a fost stabilit acest drept prin hotărâri judecătorești definitive", care conduce la vătămarea potențialilor solicitanți, întrucât se limitează nelegal și excesiv categoria persoanelor care pot formula cerere de accesare a compensațiilor pentru anii 2010-2013.</w:t>
      </w:r>
    </w:p>
    <w:p w14:paraId="06AA25DF" w14:textId="77777777" w:rsidR="00F45014" w:rsidRDefault="0057192D">
      <w:pPr>
        <w:ind w:firstLine="709"/>
        <w:jc w:val="both"/>
      </w:pPr>
      <w:r>
        <w:t>Și în acest cazul acestui capăt de cerere reclamanţii au solicitat anularea/eliminarea sintagmei indicate mai sus din cuprinsul titlului anexei nr. 1 la norme, întrucât se impune utilizarea unei sintagme care să reglementeze acordarea compensațiilor întocmai în sensul impus de instanțele de judecată.</w:t>
      </w:r>
    </w:p>
    <w:p w14:paraId="487B8F7D" w14:textId="77777777" w:rsidR="00F45014" w:rsidRDefault="0057192D">
      <w:pPr>
        <w:ind w:firstLine="709"/>
        <w:jc w:val="both"/>
      </w:pPr>
      <w:r>
        <w:t>Așadar, în locul sintagmei criticate mai sus, reclamanţii au arătat că trebuia utilizată următoarea sintagmă: „pentru proprietarii de păduri care suferă restricţii în recoltarea de masă lemnoasă ”. Doar în acest fel obligația de adoptare a hotărârii de guvern privind aprobarea normelor metodologice pentru anii 2010-2013 este dusă la îndeplinire în mod corespunzător și legal.</w:t>
      </w:r>
    </w:p>
    <w:p w14:paraId="473C8015" w14:textId="77777777" w:rsidR="00F45014" w:rsidRDefault="0057192D">
      <w:pPr>
        <w:ind w:firstLine="709"/>
        <w:jc w:val="both"/>
      </w:pPr>
      <w:r>
        <w:t>În acest sens, reclamanţii au precizat că argumentele invocate la Capitolul III pct. I din prezenta sunt aplicabile mutatis mutandis și cu privire la solicitarea de anulare parțială a titlului Anexei nr. 1 la Normele metodologice, sens în care îşi mențin argumentele invocate cu privire la acel capăt de cerere.</w:t>
      </w:r>
    </w:p>
    <w:p w14:paraId="770A7F04" w14:textId="77777777" w:rsidR="00F45014" w:rsidRDefault="0057192D">
      <w:pPr>
        <w:ind w:firstLine="709"/>
        <w:jc w:val="both"/>
      </w:pPr>
      <w:r>
        <w:t>4. Referitor la solicitarea privind anularea parțială a titlului din Anexa nr. 2 la Normele metodologice, s-a solicitat, de asemenea, admiterea acestuia, arătându-se că pârâtul Guvernul României a utilizat în mod defectuos sintagma „pentru beneficiarii cărora le-a fost stabilit acest drept prin hotărâri judecătorești definitive".</w:t>
      </w:r>
    </w:p>
    <w:p w14:paraId="68B7B10A" w14:textId="77777777" w:rsidR="00F45014" w:rsidRDefault="0057192D">
      <w:pPr>
        <w:ind w:firstLine="709"/>
        <w:jc w:val="both"/>
      </w:pPr>
      <w:r>
        <w:t>Instanțele de judecată au obligat pârâtul, în ceea ce privește perioada anilor 2010-2013, la adoptarea unei hotărâri de guvern privind aprobarea normelor metodologice de acordare, utilizare și control a compensațiilor reprezentând contravaloarea produselor pe care proprietarii nu le recoltează datorită funcțiilor de protecție stabilite prin amenajamente silvice care determină restricții în recoltarea de masă lemnoasă.</w:t>
      </w:r>
    </w:p>
    <w:p w14:paraId="6A0FBEBF" w14:textId="77777777" w:rsidR="00F45014" w:rsidRDefault="0057192D">
      <w:pPr>
        <w:ind w:firstLine="709"/>
        <w:jc w:val="both"/>
      </w:pPr>
      <w:r>
        <w:t>Astfel, în niciun moment pârâtului Guvernul României nu îi era permis să denatureze scopul vizat de instanțele de judecată prin cele două hotărâri judecătorești definitive și nici să schimbe categoria beneficiarilor cărora acest act administrativ normativ li se adresează.</w:t>
      </w:r>
    </w:p>
    <w:p w14:paraId="791597B9" w14:textId="77777777" w:rsidR="00F45014" w:rsidRDefault="0057192D">
      <w:pPr>
        <w:ind w:firstLine="709"/>
        <w:jc w:val="both"/>
      </w:pPr>
      <w:r>
        <w:lastRenderedPageBreak/>
        <w:t xml:space="preserve">Drept urmare, și în acest caz, sintagma „pentru beneficiarii cărora le-a fost stabilit acest drept prin hotărâri judecătorești definitive” a fost inserată în mod nelegal, cu nerespectarea dispozițiilor instanței. </w:t>
      </w:r>
    </w:p>
    <w:p w14:paraId="4C6A9B74" w14:textId="77777777" w:rsidR="00F45014" w:rsidRDefault="0057192D">
      <w:pPr>
        <w:ind w:firstLine="709"/>
        <w:jc w:val="both"/>
      </w:pPr>
      <w:r>
        <w:t>B. Cu privire la capătul de cerere referitor la obligarea pârâtului la adoptarea unei hotărâri de Guvern în care să se reflecte efectele juridice ale cererilor de mai sus, reclamanţii au arătat următoarele:</w:t>
      </w:r>
    </w:p>
    <w:p w14:paraId="30DA85BC" w14:textId="77777777" w:rsidR="00F45014" w:rsidRDefault="0057192D">
      <w:pPr>
        <w:ind w:firstLine="709"/>
        <w:jc w:val="both"/>
      </w:pPr>
      <w:r>
        <w:t>În virtutea argumentelor expuse deja la Capitolul A pct. 1-4, au dovedit nerespectarea de către Guvernul României a obligației concrete de adoptare a Hotărârii de Guvern nr. 1370/09.11.2022 impuse de instanțele de judecată, argumente prin care au dovedit, totodată și nelegalitatea parțială a prevederilor criticate cuprinse în HG nr. 1370/2022.</w:t>
      </w:r>
    </w:p>
    <w:p w14:paraId="4A4959E8" w14:textId="77777777" w:rsidR="00F45014" w:rsidRDefault="0057192D">
      <w:pPr>
        <w:ind w:firstLine="709"/>
        <w:jc w:val="both"/>
      </w:pPr>
      <w:r>
        <w:t>Mecanismul judiciar firesc la care au recurs urmărește tocmai anularea sintagmelor nelegale din cuprinsul acestui act administrativ normativ și obligarea pârâtului la adoptarea unei noi hotărâri prin care acesta să utilizeze întocmai termenii impuși de instanțele de judecată, fără să schimbe/denatureze/restrângă în mod nelegal categoria persoanelor cărora hotărârea de guvern privind aprobarea normelor metodologice de acordare, utilizare și control a compensațiilor pentru anii 2010-2013 li se adresează.</w:t>
      </w:r>
    </w:p>
    <w:p w14:paraId="7B0B0699" w14:textId="77777777" w:rsidR="00F45014" w:rsidRDefault="0057192D">
      <w:pPr>
        <w:ind w:firstLine="709"/>
        <w:jc w:val="both"/>
      </w:pPr>
      <w:r>
        <w:t>Așadar, maniera în care se reglementează acordarea compensațiilor pentru anii 2010-2013 prin intermediul HG nr. 1370/2022 este parțial nelegală, vătămătoare și discriminatoare în raport de 99,9% dintre proprietarii de păduri din România.</w:t>
      </w:r>
    </w:p>
    <w:p w14:paraId="71091C4E" w14:textId="77777777" w:rsidR="00F45014" w:rsidRDefault="0057192D">
      <w:pPr>
        <w:ind w:firstLine="709"/>
        <w:jc w:val="both"/>
      </w:pPr>
      <w:r>
        <w:t>C. Referitor la admiterea petitului vizând obligarea pârâtului Guvernul României să completeze art. 4 din Normele metodologice adoptate prin HG nr. 1370/2022 prin inserarea unui nou alineat, respectiv alin. 4, care să prevadă „Prin derogare de la dispoziţiile alin. 3, proprietarii de păduri care au depus în termen cererea, însoţită de documentaţia completă prevăzută la alin. 2, nu sunt obligaţi să mai depună încă o dată cererea și documentaţia în termenul stipulat la alin. 3, urmând ca acestea să fie verificate de structura teritorială competentă ” sau un conținut echivalent care să reflecte/permită valorificarea cererilor și a documentațiilor deja depuse la structura teritorială competentă, reclamanţii au arătat că, în primul rând, rațiunea inserării unui nou alineat având conținutul de mai sus o consideră ca fiind oportună, utilă și necesară, deoarece au cunoștință că există numeroși proprietari care au depus în termenul legal prevăzut la art. 4 alin. 3 din Normele metodologice cererile și documentația aferentă pentru obținerea compensațiilor aferente anilor 2010-2013, dar cărora le-au fost respinge cererile pe motiv că HG nr. 1370/2022 nu li se aplică.</w:t>
      </w:r>
    </w:p>
    <w:p w14:paraId="058FDEF1" w14:textId="77777777" w:rsidR="00F45014" w:rsidRDefault="0057192D">
      <w:pPr>
        <w:ind w:firstLine="709"/>
        <w:jc w:val="both"/>
      </w:pPr>
      <w:r>
        <w:t>În al doilea rând, au arătat că documentația prevăzută de art. 4 alin. 2 din Normele metodologice este extrem de vastă și cuprinde documente ale căror procedură de obținere este greoaie și întinsă ca durată. Astfel, pentru toți proprietarii de păduri care au făcut eforturi să depună documentele în forma prevăzută de lege apare ca fiind cel puțin nejustificat ca aceștia să depună aceeași documentație a doua oară, în condițiile în care aceasta există deja la structura teritorială de specialitate - garda forestieră, fiind depusă în cursul lunilor noiembrie-decembrie 2022, adică relativ recent.</w:t>
      </w:r>
    </w:p>
    <w:p w14:paraId="7B6867BD" w14:textId="77777777" w:rsidR="00F45014" w:rsidRDefault="0057192D">
      <w:pPr>
        <w:ind w:firstLine="709"/>
        <w:jc w:val="both"/>
      </w:pPr>
      <w:r>
        <w:t>În al treilea rând, din rațiuni ce țin de protecția mediului, nu se impune întocmirea din nou a aceleiași documentații care cuprinde, de exemplu 200-600 de pagini, în situația în care aceasta se află în original și în integralitate depusă deja la structura teritorială competentă cu primirea și verificarea acesteia.</w:t>
      </w:r>
    </w:p>
    <w:p w14:paraId="6F60B398" w14:textId="77777777" w:rsidR="00F45014" w:rsidRDefault="0057192D">
      <w:pPr>
        <w:ind w:firstLine="709"/>
        <w:jc w:val="both"/>
      </w:pPr>
      <w:r>
        <w:t>Date fiind aceste rațiuni expuse mai sus, reclamanţii consideră necesară inserarea acestui nou alineat, prin care să se reglementeze că proprietarii care au depus deja cererea și documentația pentru acordarea compensațiilor aferente anilor 2010-2013 să fie scutiți de parcurgerea pentru a doua oară a acestui demers birocratic anevoios.</w:t>
      </w:r>
    </w:p>
    <w:p w14:paraId="6BD6CAD2" w14:textId="77777777" w:rsidR="00F45014" w:rsidRDefault="0057192D">
      <w:pPr>
        <w:ind w:firstLine="709"/>
        <w:jc w:val="both"/>
      </w:pPr>
      <w:r>
        <w:t xml:space="preserve">D. Pentru operativitatea și efectivitatea, respectiv celeritatea punerii în executare a hotărârii ce urmează să fie pronunțată în cauză, pentru protejarea cât mai completă a drepturilor lor, reclamanţii au solicitat instanței să dispună stabilirea unui termen de executare de maximum 30 de zile, însoțit de obligarea pârâtului la plata unei penalități de întârziere cuprinsă între 500-1000 lei pentru fiecare zi de întârziere până la executarea integrală a obligației, prevăzută de </w:t>
      </w:r>
      <w:r>
        <w:lastRenderedPageBreak/>
        <w:t>art. 18 alin. 5 din Legea nr. 554/2004, precum și la plata unei amenzi, prevăzută de art. 18 alin. 6 raportat la art. 24 alina 2 din aceeași lege.</w:t>
      </w:r>
    </w:p>
    <w:p w14:paraId="2A2FDD31" w14:textId="77777777" w:rsidR="00F45014" w:rsidRDefault="0057192D">
      <w:pPr>
        <w:ind w:firstLine="709"/>
        <w:jc w:val="both"/>
      </w:pPr>
      <w:r>
        <w:t>Cu cheltuieli de judecată, potrivit art. 453 din Codul de procedură civilă.</w:t>
      </w:r>
    </w:p>
    <w:p w14:paraId="094560DE" w14:textId="77777777" w:rsidR="00F45014" w:rsidRDefault="0057192D">
      <w:pPr>
        <w:ind w:firstLine="709"/>
        <w:jc w:val="both"/>
      </w:pPr>
      <w:r>
        <w:t xml:space="preserve">În drept au fost invocate prevederile art. l, art. 8, art. 18 din Legea nr. 554/2004, art. 194, art. 223 alin. 3, art. 453 din Codul de procedură civilă, precum și celelalte prevederi legale indicate. </w:t>
      </w:r>
    </w:p>
    <w:p w14:paraId="45A1E3BD" w14:textId="4A45A1CE" w:rsidR="00F45014" w:rsidRDefault="0057192D">
      <w:pPr>
        <w:ind w:firstLine="709"/>
        <w:jc w:val="both"/>
      </w:pPr>
      <w:r>
        <w:t xml:space="preserve">La data de </w:t>
      </w:r>
      <w:r w:rsidR="00B9612A">
        <w:t>.............</w:t>
      </w:r>
      <w:r>
        <w:t xml:space="preserve">, pârâtul Guvernul României a depus la dosar </w:t>
      </w:r>
      <w:r>
        <w:rPr>
          <w:b/>
          <w:i/>
        </w:rPr>
        <w:t>întâmpinare</w:t>
      </w:r>
      <w:r>
        <w:t>, prin care a solicitat:</w:t>
      </w:r>
    </w:p>
    <w:p w14:paraId="6EAAA140" w14:textId="77777777" w:rsidR="00F45014" w:rsidRDefault="0057192D">
      <w:pPr>
        <w:numPr>
          <w:ilvl w:val="0"/>
          <w:numId w:val="9"/>
        </w:numPr>
        <w:contextualSpacing/>
        <w:jc w:val="both"/>
      </w:pPr>
      <w:r>
        <w:t>anularea cererii de chemare în judecată pentru lipsa taxei judiciare de timbru, pe cale de excepţie;</w:t>
      </w:r>
    </w:p>
    <w:p w14:paraId="22F8FB0E" w14:textId="77777777" w:rsidR="00F45014" w:rsidRDefault="0057192D">
      <w:pPr>
        <w:numPr>
          <w:ilvl w:val="0"/>
          <w:numId w:val="9"/>
        </w:numPr>
        <w:contextualSpacing/>
        <w:jc w:val="both"/>
      </w:pPr>
      <w:r>
        <w:t>respingerea cererii de chemare în judecată, ca fiind prescrisă, pe cale de excepție;</w:t>
      </w:r>
    </w:p>
    <w:p w14:paraId="44C403A7" w14:textId="77777777" w:rsidR="00F45014" w:rsidRDefault="0057192D">
      <w:pPr>
        <w:numPr>
          <w:ilvl w:val="0"/>
          <w:numId w:val="9"/>
        </w:numPr>
        <w:contextualSpacing/>
        <w:jc w:val="both"/>
      </w:pPr>
      <w:r>
        <w:t>respingerea cererii de chemare în judecată, ca fiind lipsită de interes și pentru lipsa calității procesuale active, pe cale de excepție;</w:t>
      </w:r>
    </w:p>
    <w:p w14:paraId="2ECD0705" w14:textId="77777777" w:rsidR="00F45014" w:rsidRDefault="0057192D">
      <w:pPr>
        <w:numPr>
          <w:ilvl w:val="0"/>
          <w:numId w:val="9"/>
        </w:numPr>
        <w:contextualSpacing/>
        <w:jc w:val="both"/>
      </w:pPr>
      <w:r>
        <w:t>pe fondul cauzei, respingerea cererii de chemare în judecată, ca neîntemeiată.</w:t>
      </w:r>
    </w:p>
    <w:p w14:paraId="0A930D22" w14:textId="77777777" w:rsidR="00F45014" w:rsidRDefault="0057192D">
      <w:pPr>
        <w:ind w:firstLine="709"/>
        <w:jc w:val="both"/>
      </w:pPr>
      <w:r>
        <w:t>Cu referire la solicitarea privind anularea cererii de chemare în judecată pentru lipsa taxei judiciare de timbru pârâtul a arătat că raportat la primul petit al cererii, constând în solicitare anulare acte administrative, se impune taxarea conform dispozițiilor O.U.G. nr. 80/2013 privind taxele judiciare de timbru, corelate cu cele ale Codului de Procedură Civilă.</w:t>
      </w:r>
    </w:p>
    <w:p w14:paraId="466B7B50" w14:textId="77777777" w:rsidR="00F45014" w:rsidRDefault="0057192D">
      <w:pPr>
        <w:ind w:firstLine="709"/>
        <w:jc w:val="both"/>
      </w:pPr>
      <w:r>
        <w:t>Având în vedere că cererea de chemare în judecată este întemeiată pe dispozițiile Legii contenciosului administrativ nr. 554/2004, potrivit art. 17 alin. (2) din acest act normativ, "Pentru cererile formulate în baza prezentei legi se percep taxele de timbru prevăzute de Ordonanţa de urgenţă a Guvernului nr. 80/2013 privind taxele judiciare de timbru, cu modificările și completările ulterioare"</w:t>
      </w:r>
      <w:r>
        <w:rPr>
          <w:noProof/>
        </w:rPr>
        <w:drawing>
          <wp:inline distT="0" distB="0" distL="0" distR="0" wp14:anchorId="4513AF5A" wp14:editId="1F3AEA49">
            <wp:extent cx="18415" cy="2794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a:fillRect/>
                    </a:stretch>
                  </pic:blipFill>
                  <pic:spPr>
                    <a:xfrm>
                      <a:off x="0" y="0"/>
                      <a:ext cx="18415" cy="27940"/>
                    </a:xfrm>
                    <a:prstGeom prst="rect">
                      <a:avLst/>
                    </a:prstGeom>
                    <a:noFill/>
                  </pic:spPr>
                </pic:pic>
              </a:graphicData>
            </a:graphic>
          </wp:inline>
        </w:drawing>
      </w:r>
    </w:p>
    <w:p w14:paraId="24667B1D" w14:textId="77777777" w:rsidR="00F45014" w:rsidRDefault="0057192D">
      <w:pPr>
        <w:ind w:firstLine="709"/>
        <w:jc w:val="both"/>
      </w:pPr>
      <w:r>
        <w:t>Prin urmare, în speță sunt aplicabile dispozițiile art. 16 și art. 33 din O.U.G. nr. 80/2013 privind taxele judiciare de timbru, la care fac trimitere prevederile art. 17 alin. (2) din Legea nr. 554/2004, astfel încât, dacă taxa judiciară de timbru nu a fost plătită în cuantumul legal, în momentul înregistrării acțiunii sau cererii, instanța urmează a pune în vedere părților reclamante să achite suma datorată până la primul termen de judecată, urmând ca neîndeplinirea obligației de plată până la termenul stabilit să se sancționeze cu anularea acțiunii sau a cererii.</w:t>
      </w:r>
    </w:p>
    <w:p w14:paraId="0A8DD337" w14:textId="77777777" w:rsidR="00F45014" w:rsidRDefault="0057192D">
      <w:pPr>
        <w:ind w:firstLine="709"/>
        <w:jc w:val="both"/>
      </w:pPr>
      <w:r>
        <w:t>Reclamanţii au solicitat respingerea cererii de chemare în judecată ca fiind prescrisă,  având în vedere următoarele considerente:</w:t>
      </w:r>
    </w:p>
    <w:p w14:paraId="7DECA9FC" w14:textId="77777777" w:rsidR="00F45014" w:rsidRDefault="0057192D">
      <w:pPr>
        <w:ind w:firstLine="709"/>
        <w:jc w:val="both"/>
      </w:pPr>
      <w:r>
        <w:t>Conform prevederilor art. 2500 din Codul civil "dreptul material la acţiune, denumit în continuare drept la acţiune, se stinge prin prescripţie, dacă nu a fost exercitat în termenul stabilit de lege", iar art. 2517 din Codul civil prevede că „termenul prescripţiei este de 3 ani”</w:t>
      </w:r>
      <w:r>
        <w:rPr>
          <w:noProof/>
        </w:rPr>
        <w:drawing>
          <wp:inline distT="0" distB="0" distL="0" distR="0" wp14:anchorId="323ABD26" wp14:editId="1277315A">
            <wp:extent cx="19050" cy="1905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stretch>
                      <a:fillRect/>
                    </a:stretch>
                  </pic:blipFill>
                  <pic:spPr>
                    <a:xfrm>
                      <a:off x="0" y="0"/>
                      <a:ext cx="19050" cy="19050"/>
                    </a:xfrm>
                    <a:prstGeom prst="rect">
                      <a:avLst/>
                    </a:prstGeom>
                    <a:noFill/>
                  </pic:spPr>
                </pic:pic>
              </a:graphicData>
            </a:graphic>
          </wp:inline>
        </w:drawing>
      </w:r>
    </w:p>
    <w:p w14:paraId="7B4233E9" w14:textId="77777777" w:rsidR="00F45014" w:rsidRDefault="0057192D">
      <w:pPr>
        <w:ind w:firstLine="709"/>
        <w:jc w:val="both"/>
      </w:pPr>
      <w:r>
        <w:t>Prin urmare, pretinsul ”drept” de a cere plata compensațiilor, constituie drepturi de creanță, fiind supuse termenului general de prescripţie de 3 ani, care începe să curgă de la data naşterii dreptului, adică cel mai târziu din decembrie 2013.</w:t>
      </w:r>
    </w:p>
    <w:p w14:paraId="35CE6C27" w14:textId="77777777" w:rsidR="00F45014" w:rsidRDefault="0057192D">
      <w:pPr>
        <w:ind w:firstLine="709"/>
        <w:jc w:val="both"/>
      </w:pPr>
      <w:r>
        <w:t>Or, cererile administrative adresate de reclamanţi sunt formulate după împlinirea termenului de 3 ani calculat din decembrie 2013.</w:t>
      </w:r>
    </w:p>
    <w:p w14:paraId="4B17ED68" w14:textId="77777777" w:rsidR="00F45014" w:rsidRDefault="0057192D">
      <w:pPr>
        <w:ind w:firstLine="709"/>
        <w:jc w:val="both"/>
      </w:pPr>
      <w:r>
        <w:t>Pe de altă parte, reclamanţii au invocat excepţia lipsei de interes a părților reclamante în promovarea acțiunii și excepţia lipsei calităţii procesuale active a acestora, arătând că părțile reclamante nu fac dovada interesului de a promova prezenta cerere de anulare a actului administrativ contestat, condiție de exercițiu a oricărei acțiuni în justiţie. Pentru a fi parte într-un proces este necesar să fie întrunite nu numai condițiile privind capacitatea și calitatea procesuală, ci și aceea a existenței unui interes legitim, născut și actual, personal și direct.</w:t>
      </w:r>
    </w:p>
    <w:p w14:paraId="6FFB956E" w14:textId="77777777" w:rsidR="00F45014" w:rsidRDefault="0057192D">
      <w:pPr>
        <w:ind w:firstLine="709"/>
        <w:jc w:val="both"/>
      </w:pPr>
      <w:r>
        <w:t>Potrivit dispozițiilor art. 32 alin. (1) din Codul de procedură civilă, calitatea procesuală și interesul sunt două condiții distincte ale acțiunii civile, iar analiza lor se impune independent și consecutiv.</w:t>
      </w:r>
    </w:p>
    <w:p w14:paraId="21A09752" w14:textId="77777777" w:rsidR="00F45014" w:rsidRDefault="0057192D">
      <w:pPr>
        <w:ind w:firstLine="709"/>
        <w:jc w:val="both"/>
      </w:pPr>
      <w:r>
        <w:t>„Interesul" este calificat unanim în doctrină și în jurisprudență ca fiind o condiție de exercițiu a acțiunii civile și de promovare a oricărei forme procedurale ce intră în conținutul acesteia, nefiind suficientă afirmarea existenței unui drept actual, ci și justificarea folosului practic urmărit prin punerea în mișcare a procedurii judiciare.</w:t>
      </w:r>
    </w:p>
    <w:p w14:paraId="28D9F018" w14:textId="77777777" w:rsidR="00F45014" w:rsidRDefault="0057192D">
      <w:pPr>
        <w:ind w:firstLine="709"/>
        <w:jc w:val="both"/>
      </w:pPr>
      <w:r>
        <w:lastRenderedPageBreak/>
        <w:t>Prin urmare, interesul trebuie să fie în legătură cu pretenția formulată, să existe în momentul în care se exercită dreptul la acțiune, să îl vizeze pe cel care recurge la forma procedurală, iar nu pe altcineva.</w:t>
      </w:r>
    </w:p>
    <w:p w14:paraId="4BDC9140" w14:textId="77777777" w:rsidR="00F45014" w:rsidRDefault="0057192D">
      <w:pPr>
        <w:ind w:firstLine="709"/>
        <w:jc w:val="both"/>
      </w:pPr>
      <w:r>
        <w:t>În cauza dedusă judecății, exercițiul dreptului la acțiune și recunoașterea interesului legitim nu pot interveni decât în condițiile prevăzute de art. 21 și art. 52 din Constituția României, republicată, și de legea aplicabilă căii procedurale alese, respectiv de Legea contenciosului administrativ nr. 554/2004.</w:t>
      </w:r>
    </w:p>
    <w:p w14:paraId="67BD177E" w14:textId="77777777" w:rsidR="00F45014" w:rsidRDefault="0057192D">
      <w:pPr>
        <w:ind w:firstLine="709"/>
        <w:jc w:val="both"/>
      </w:pPr>
      <w:r>
        <w:t>Potrivit prevederilor constituționale ale art. 21, din Titlul II - Drepturile, libertăţile și îndatoririle fundamentale, Capitolul l, „orice persoană se poate adresa justiției pentru apărarea drepturilor, a libertăților şi a intereselor sale legitime”.</w:t>
      </w:r>
    </w:p>
    <w:p w14:paraId="5C3B3568" w14:textId="77777777" w:rsidR="00F45014" w:rsidRDefault="0057192D">
      <w:pPr>
        <w:ind w:firstLine="709"/>
        <w:jc w:val="both"/>
      </w:pPr>
      <w:r>
        <w:t>Prin urmare, dispozițiile Legii nr. 554/2004 își găsesc suportul în prevederile legii fundamentale, iar din analiza acestora reiese că instanțele de contencios administrativ au obligația de a analiza și de a se pronunța și prin prisma existenței interesului legitim, nu doar a dreptului subiectiv.</w:t>
      </w:r>
    </w:p>
    <w:p w14:paraId="667CC18D" w14:textId="77777777" w:rsidR="00F45014" w:rsidRDefault="0057192D">
      <w:pPr>
        <w:ind w:firstLine="709"/>
        <w:jc w:val="both"/>
      </w:pPr>
      <w:r>
        <w:t xml:space="preserve">Pârâtul a menţionat că art. 8 alin. (1¹) din Legea contenciosului administrativ nr. 554/2004 prevede că „persoanele fizice și persoanele juridice de drept privat pot formula capete de cerere prin care invocă apărarea unui interes legitim public numai în subsidiar, </w:t>
      </w:r>
      <w:r>
        <w:rPr>
          <w:u w:color="000000"/>
        </w:rPr>
        <w:t>în măsura în care vătămare</w:t>
      </w:r>
      <w:r>
        <w:t xml:space="preserve">a </w:t>
      </w:r>
      <w:r>
        <w:rPr>
          <w:u w:color="000000"/>
        </w:rPr>
        <w:t xml:space="preserve">interesului legitim public decurge logic din încălcarea dreptului subiectiv sau a interesului legitim </w:t>
      </w:r>
      <w:r>
        <w:t>privat."</w:t>
      </w:r>
    </w:p>
    <w:p w14:paraId="5B1A3834" w14:textId="62C17F90" w:rsidR="00F45014" w:rsidRDefault="0057192D">
      <w:pPr>
        <w:ind w:firstLine="709"/>
        <w:jc w:val="both"/>
      </w:pPr>
      <w:r>
        <w:t xml:space="preserve">Referindu-se la acest text de lege, Curtea Constituțională a reținut, în considerentele Deciziei nr. </w:t>
      </w:r>
      <w:r w:rsidR="00713AD4">
        <w:t>...</w:t>
      </w:r>
      <w:r>
        <w:t>/2009, publicată în M. Of. nr. 135/04.03.2009, faptul că prin acțiunea introdusă în temeiul Legii contenciosului administrativ nr. 554/2004, p</w:t>
      </w:r>
      <w:r>
        <w:rPr>
          <w:u w:color="000000"/>
        </w:rPr>
        <w:t xml:space="preserve">ersoanele fizice şi persoanele juridice de </w:t>
      </w:r>
      <w:r>
        <w:t>drep</w:t>
      </w:r>
      <w:r>
        <w:rPr>
          <w:u w:color="000000"/>
        </w:rPr>
        <w:t>t privat</w:t>
      </w:r>
      <w:r>
        <w:t xml:space="preserve"> </w:t>
      </w:r>
      <w:r>
        <w:rPr>
          <w:u w:color="000000"/>
        </w:rPr>
        <w:t xml:space="preserve">trebuie să dovedească mai întâi că a avut loc o încălcare a dreptului sau interesului lor </w:t>
      </w:r>
      <w:r>
        <w:t>după care să susțină în sprijinul cererii și vătămarea interesului public, ce decurge din actul administrativ atacat.</w:t>
      </w:r>
    </w:p>
    <w:p w14:paraId="17EB1802" w14:textId="77777777" w:rsidR="00F45014" w:rsidRDefault="0057192D">
      <w:pPr>
        <w:ind w:firstLine="709"/>
        <w:jc w:val="both"/>
      </w:pPr>
      <w:r>
        <w:t>Contrar celor susținute de părțile reclamante, acestea nu fac dovada interesului de a promova prezenta cerere de anulare, condiție de exercițiu a oricărei acțiuni în justiție.</w:t>
      </w:r>
    </w:p>
    <w:p w14:paraId="3104B488" w14:textId="48C510D9" w:rsidR="00F45014" w:rsidRDefault="0057192D">
      <w:pPr>
        <w:ind w:firstLine="709"/>
        <w:jc w:val="both"/>
      </w:pPr>
      <w:r>
        <w:t>Într-un prim aspect, plecând de la consideraţiile de ordin teoretic şi exigenţe ale cerinței interesului, în opinia pârâtului, la acest moment, demersul judiciar al părților</w:t>
      </w:r>
      <w:r>
        <w:rPr>
          <w:u w:color="000000"/>
        </w:rPr>
        <w:t xml:space="preserve"> reclamante este lipsit de interes prin prisma faptului că </w:t>
      </w:r>
      <w:r>
        <w:t xml:space="preserve">Hotărârea Guvernului nr. 1370/2022 privind aprobarea </w:t>
      </w:r>
      <w:r>
        <w:rPr>
          <w:u w:color="000000"/>
        </w:rPr>
        <w:t xml:space="preserve">Normelor </w:t>
      </w:r>
      <w:r>
        <w:t xml:space="preserve">metodologice de acordare a contravalorii compensaţiilor cuvenite în perioada 2010-2013 pentru masa lemnoasă nerecoltată din cauza funcţiilor de protecţie stabilite prin amenajamente silvice, aferente acoperirii costurilor reclamare de gestionarea durabilă a pădurilor situate în siturile de importanţă comunitară Natura 2000, pentru punerea în executare a hotărârilor judecătorești definitive (H.G. nr. 1370/2022) </w:t>
      </w:r>
      <w:r>
        <w:rPr>
          <w:u w:color="000000"/>
        </w:rPr>
        <w:t xml:space="preserve">a fost elaborată pentru punerea în executare a Deciziei civile nr. </w:t>
      </w:r>
      <w:r w:rsidR="00217CA5">
        <w:rPr>
          <w:u w:color="000000"/>
        </w:rPr>
        <w:t>...</w:t>
      </w:r>
      <w:r>
        <w:rPr>
          <w:u w:color="000000"/>
        </w:rPr>
        <w:t>/</w:t>
      </w:r>
      <w:r w:rsidR="00217CA5">
        <w:rPr>
          <w:u w:color="000000"/>
        </w:rPr>
        <w:t>...</w:t>
      </w:r>
      <w:r>
        <w:rPr>
          <w:u w:color="000000"/>
        </w:rPr>
        <w:t xml:space="preserve">.202, precum și ą Deciziei civile nr. </w:t>
      </w:r>
      <w:r w:rsidR="00217CA5">
        <w:rPr>
          <w:u w:color="000000"/>
        </w:rPr>
        <w:t>...</w:t>
      </w:r>
      <w:r>
        <w:rPr>
          <w:u w:color="000000"/>
        </w:rPr>
        <w:t>/</w:t>
      </w:r>
      <w:r w:rsidR="00217CA5">
        <w:rPr>
          <w:u w:color="000000"/>
        </w:rPr>
        <w:t>...</w:t>
      </w:r>
      <w:r>
        <w:rPr>
          <w:u w:color="000000"/>
        </w:rPr>
        <w:t xml:space="preserve">.2020 pronunțată de către Înalta Curte </w:t>
      </w:r>
      <w:r>
        <w:t xml:space="preserve">de Casaţie şi Justiţie – Secţia de contencios administrativ şi fiscal în Dosarul nr. </w:t>
      </w:r>
      <w:r w:rsidR="00217CA5">
        <w:t>.../.../2017</w:t>
      </w:r>
      <w:r>
        <w:t xml:space="preserve">, respectiv în Dosarul nr. </w:t>
      </w:r>
      <w:r w:rsidR="00217CA5">
        <w:t>...</w:t>
      </w:r>
      <w:r>
        <w:t>/</w:t>
      </w:r>
      <w:r w:rsidR="00217CA5">
        <w:t>...</w:t>
      </w:r>
      <w:r>
        <w:t xml:space="preserve">/20217. Instanțele de judecată au pronunțat hotărâri judecătorești definitive prin cele două decizii mai sus menţionate pentru reclamanta </w:t>
      </w:r>
      <w:r w:rsidR="00B9612A">
        <w:t>D1</w:t>
      </w:r>
      <w:r>
        <w:t xml:space="preserve"> și pentru reclamanta </w:t>
      </w:r>
      <w:r w:rsidR="00B9612A">
        <w:t>D2</w:t>
      </w:r>
      <w:r>
        <w:t>.</w:t>
      </w:r>
    </w:p>
    <w:p w14:paraId="1C8E9AE7" w14:textId="77777777" w:rsidR="00F45014" w:rsidRDefault="0057192D">
      <w:pPr>
        <w:ind w:firstLine="709"/>
        <w:jc w:val="both"/>
      </w:pPr>
      <w:r>
        <w:t>Totodată, în ceea ce privește cererea pendinte, intimatul apreciază că aceasta este formulată de persoane fără calitate procesuală activă.</w:t>
      </w:r>
    </w:p>
    <w:p w14:paraId="25D94D10" w14:textId="77777777" w:rsidR="00F45014" w:rsidRDefault="0057192D">
      <w:pPr>
        <w:ind w:firstLine="709"/>
        <w:jc w:val="both"/>
      </w:pPr>
      <w:r>
        <w:t>Pentru a fi parte într-un proces este necesar să fie întrunite condițiile privind capacitatea și calitatea procesuală, precum și aceea a existenței unui interes legitim, născut și actual, personal și direct.</w:t>
      </w:r>
    </w:p>
    <w:p w14:paraId="1C6E1AAF" w14:textId="77777777" w:rsidR="00F45014" w:rsidRDefault="0057192D">
      <w:pPr>
        <w:ind w:firstLine="709"/>
        <w:jc w:val="both"/>
      </w:pPr>
      <w:r>
        <w:rPr>
          <w:noProof/>
        </w:rPr>
        <w:drawing>
          <wp:anchor distT="0" distB="0" distL="114300" distR="114300" simplePos="0" relativeHeight="2" behindDoc="0" locked="0" layoutInCell="1" allowOverlap="0" wp14:anchorId="01ACF54F" wp14:editId="634B803C">
            <wp:simplePos x="0" y="0"/>
            <wp:positionH relativeFrom="page">
              <wp:posOffset>3700145</wp:posOffset>
            </wp:positionH>
            <wp:positionV relativeFrom="page">
              <wp:posOffset>9756140</wp:posOffset>
            </wp:positionV>
            <wp:extent cx="3175" cy="3175"/>
            <wp:effectExtent l="0" t="0" r="0" b="0"/>
            <wp:wrapTopAndBottom/>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stretch>
                      <a:fillRect/>
                    </a:stretch>
                  </pic:blipFill>
                  <pic:spPr>
                    <a:xfrm>
                      <a:off x="0" y="0"/>
                      <a:ext cx="3175" cy="3175"/>
                    </a:xfrm>
                    <a:prstGeom prst="rect">
                      <a:avLst/>
                    </a:prstGeom>
                  </pic:spPr>
                </pic:pic>
              </a:graphicData>
            </a:graphic>
          </wp:anchor>
        </w:drawing>
      </w:r>
      <w:r>
        <w:t>Potrivit dispozițiilor art. 32 alin. (1) din Codul de procedură civilă, calitatea procesuală și interesul sunt două condiții distincte ale acțiunii civile, analiza lor impunându-se independent și consecutiv. În conformitate cu dispoziţiile art. 36 Cod procedură civilă, calitatea procesuală constă în identitatea între calitatea pârâtului și cel despre care se pretinde că este obligat în raportul juridic dedus judecății. Prin cererea de chemare în judecată, părțile reclamante trebuie să justifice atât calitatea procesuală activă, cât și calitatea procesuală pasivă a pârâtului. Astfel, dreptul pretins de către părțile reclamante trebuie să-și poată obține recunoașterea sau realizarea prin obligarea pârâtului la o anumită conduită: a da, a face sau a nu face.</w:t>
      </w:r>
    </w:p>
    <w:p w14:paraId="47026412" w14:textId="77777777" w:rsidR="00F45014" w:rsidRDefault="0057192D">
      <w:pPr>
        <w:ind w:firstLine="709"/>
        <w:jc w:val="both"/>
      </w:pPr>
      <w:r>
        <w:lastRenderedPageBreak/>
        <w:t>Părțile reclamante, în calitatea lor de persoane fizice/juridice, nu pot acționa ca atare în contencios administrativ subiectiv decât dacă și sub condiția în care dovedește că sunt titularele unor drepturi subiective sau interese legitime private, astfel cum rezultă din dispozițiile art. 2 alin. 1 lit. a din Legea nr. 554/2004, cu modificările și completările ulterioare.</w:t>
      </w:r>
    </w:p>
    <w:p w14:paraId="41C5DEBB" w14:textId="77777777" w:rsidR="00F45014" w:rsidRDefault="0057192D">
      <w:pPr>
        <w:ind w:firstLine="709"/>
        <w:jc w:val="both"/>
      </w:pPr>
      <w:r>
        <w:t>Pe de altă parte, unei persoane fizice/juridice nu i se recunoaște dreptul de a formula o acțiune în contenciosul obiectiv, respectiv de a cere anularea unui act administrativ pornind de la premisa lezării unui interes legitim public decât dacă și sub condiția în care probează că vătămarea interesului public legitim decurge logic din încălcarea dreptului subiectiv sau interesului legitim privat.</w:t>
      </w:r>
    </w:p>
    <w:p w14:paraId="5EFE7DC1" w14:textId="77777777" w:rsidR="00F45014" w:rsidRDefault="0057192D">
      <w:pPr>
        <w:ind w:firstLine="709"/>
        <w:jc w:val="both"/>
      </w:pPr>
      <w:r>
        <w:t>În aprecierea pârâtului, părțile reclamante au inițiat demersul pentru anularea actului administrativ, fără însă să dovedească vreo vătămare care să le fi fost produsă prin actul administrativ dedus analizei instanței, invocarea unor argumente generale nefiind suficientă pentru realizarea acestui demers, din perspectiva normelor de referință ale Legii nr. 554/2004, cu modificările și completările ulterioare.</w:t>
      </w:r>
    </w:p>
    <w:p w14:paraId="642B3C70" w14:textId="4F6DDE07" w:rsidR="00F45014" w:rsidRDefault="0057192D">
      <w:pPr>
        <w:ind w:firstLine="709"/>
        <w:jc w:val="both"/>
      </w:pPr>
      <w:r>
        <w:t xml:space="preserve">Pe fondul cauzei, în ceea ce privește solicitarea de modificare a art. 1 din Normele metodologice de acordare a contravalorii compensațiilor cuvenite în perioada 2010-2013 pentru masa lemnoasă nerecoltată din cauza funcțiilor de protecție stabilite prin amenajamente silvice, aferente acoperirii costurilor reclamate de gestionarea durabilă a pădurilor situate în siturile de importanţă comunitară Natura 2000, pentru punerea în executare a hotărârilor judecătorești definitive, aprobate prin H.G. nr. 1370/2022, precum și a art. 1 din Anexa nr. 1 la H.G. nr. 1370/2022, s-a arătat că acest act administrativ a fost adoptat în temeiul art. 108 din Constituția României, republicată, al art. 99 din Legea nr. 46/2008 Codul silvic, republicată, cu modificările și completările ulterioare, precum și al art. 18 din Legea contenciosului administrativ nr. 554/2004, cu modificările și completările ulterioare, având în vedere Decizia civilă nr. </w:t>
      </w:r>
      <w:r w:rsidR="00217CA5">
        <w:t>...</w:t>
      </w:r>
      <w:r>
        <w:t xml:space="preserve"> din </w:t>
      </w:r>
      <w:r w:rsidR="00217CA5">
        <w:t>...</w:t>
      </w:r>
      <w:r>
        <w:t xml:space="preserve">.2021, pronunțată de către Înalta Curte de Casație și Justiție - Secția de contencios administrativ și fiscal în Dosarul nr. </w:t>
      </w:r>
      <w:r w:rsidR="00217CA5">
        <w:t>.../.../2017</w:t>
      </w:r>
      <w:r>
        <w:t xml:space="preserve">, precum și Decizia civilă nr. </w:t>
      </w:r>
      <w:r w:rsidR="00217CA5">
        <w:t>...</w:t>
      </w:r>
      <w:r>
        <w:t xml:space="preserve"> din </w:t>
      </w:r>
      <w:r w:rsidR="00217CA5">
        <w:t>...</w:t>
      </w:r>
      <w:r>
        <w:t xml:space="preserve">.2020, pronunțată de către Înalta Curte de Casație și Justiție - Secția de contencios administrativ și fiscal în Dosarul nr. </w:t>
      </w:r>
      <w:r w:rsidR="00217CA5">
        <w:t>.../.../2017</w:t>
      </w:r>
      <w:r>
        <w:t>, precum și art. 97 alin. (1) lit. b) din Legea nr. 46/2008 - Codul silvic, republicată, cu modificările și completările ulterioare.</w:t>
      </w:r>
    </w:p>
    <w:p w14:paraId="69BA8108" w14:textId="77777777" w:rsidR="00F45014" w:rsidRDefault="0057192D">
      <w:pPr>
        <w:ind w:firstLine="709"/>
        <w:jc w:val="both"/>
      </w:pPr>
      <w:r>
        <w:t>S-a arătat că, sub aspectul oportunității, adoptarea actului administrativ contestat a fost determinată de motivele menționate atât în preambulul actului normativ, cât și expuse pe larg în Nota de fundamentare a acestuia.</w:t>
      </w:r>
    </w:p>
    <w:p w14:paraId="32F502C6" w14:textId="77777777" w:rsidR="00F45014" w:rsidRDefault="0057192D">
      <w:pPr>
        <w:ind w:firstLine="709"/>
        <w:jc w:val="both"/>
      </w:pPr>
      <w:r>
        <w:t>Actul administrativ contestat a fost adoptat de către Executiv, astfel cum reiese și din Nota de fundamentare care a însoțit proiectul actului administrativ, prin însușirea proiectului inițiat de Ministerului Mediului, Apelor și Pădurilor.</w:t>
      </w:r>
    </w:p>
    <w:p w14:paraId="7C782ADC" w14:textId="77777777" w:rsidR="00F45014" w:rsidRDefault="0057192D">
      <w:pPr>
        <w:ind w:firstLine="709"/>
        <w:jc w:val="both"/>
      </w:pPr>
      <w:r>
        <w:t>La elaborarea actului normativ au fost respectate dispozițiile Legii nr. 24/2000 privind normele de tehnică legislativă pentru elaborarea actelor normative, precum și cele cuprinse în Regulamentul privind procedurile, la nivelul Guvernului, pentru elaborarea, avizarea și prezentarea proiectelor de documente de politici publice, a proiectelor de acte normative, precum și a altor documente, în vederea adoptării/aprobării aprobat prin Hotărârea Guvernului nr. 561/2009, proiectul actului administrativ fiind avizat de către autoritățile publice interesate în aplicarea acestuia și de către Ministerul Justiției, care, potrivit art. 20 alin. (7) din Regulament, „avizează proiectele de acte normative exclusiv din punct de vedere al legalității, încheind succesiunea operaţiilor din etapa de avizare"</w:t>
      </w:r>
      <w:r>
        <w:rPr>
          <w:noProof/>
        </w:rPr>
        <w:drawing>
          <wp:inline distT="0" distB="0" distL="0" distR="0" wp14:anchorId="628361E7" wp14:editId="654FBF2C">
            <wp:extent cx="18415" cy="2857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stretch>
                      <a:fillRect/>
                    </a:stretch>
                  </pic:blipFill>
                  <pic:spPr>
                    <a:xfrm>
                      <a:off x="0" y="0"/>
                      <a:ext cx="18415" cy="28575"/>
                    </a:xfrm>
                    <a:prstGeom prst="rect">
                      <a:avLst/>
                    </a:prstGeom>
                    <a:noFill/>
                  </pic:spPr>
                </pic:pic>
              </a:graphicData>
            </a:graphic>
          </wp:inline>
        </w:drawing>
      </w:r>
    </w:p>
    <w:p w14:paraId="29113E52" w14:textId="77777777" w:rsidR="00F45014" w:rsidRDefault="0057192D">
      <w:pPr>
        <w:ind w:firstLine="709"/>
        <w:jc w:val="both"/>
      </w:pPr>
      <w:r>
        <w:t>La elaborarea H.G. nr. 1370/2022, a cărei modificare și completare se solicită, legiuitorul a avut în vedere toți beneficiarii cărora le-a fost stabilit prin hotărâri judecătorești definitive dreptul de a beneficia de despăgubiri reprezentând contravaloarea compensațiilor pentru masa lemnoasă nerecoltată din cauza funcțiilor de protecție stabilite prin amenajamente silvice pentru suprafețele de păduri încadrate în tipurile funcționale T1 și T2, stabilite conform normelor tehnice pentru amenajarea pădurilor, incluse în rețeaua ecologică europeană Natura 2000, care determină restricții de recoltarea masei lemnoase.</w:t>
      </w:r>
    </w:p>
    <w:p w14:paraId="1590A822" w14:textId="77777777" w:rsidR="00F45014" w:rsidRDefault="0057192D">
      <w:pPr>
        <w:ind w:firstLine="709"/>
        <w:jc w:val="both"/>
      </w:pPr>
      <w:r>
        <w:t xml:space="preserve">Practic, prin cererea formulată de către părțile reclamante, se dorește schimbarea destinatarilor H.G. nr. 1370/2022, în sensul că aceasta să se refere la toți proprietarii de păduri </w:t>
      </w:r>
      <w:r>
        <w:lastRenderedPageBreak/>
        <w:t>care suferă restricții în recoltarea de masă lemnoasă nerecoltată din cauza funcțiilor de protecție stabilite prin amenajamente silvice și repunerea în termenul de depunere a cererilor de acordare a compensațiilor pentru toți proprietarii de păduri, chiar dacă aceștia nu și-au valorificat drepturile pe cale judecătorească sau în termenele prevăzute de lege.</w:t>
      </w:r>
    </w:p>
    <w:p w14:paraId="698ED9BF" w14:textId="77777777" w:rsidR="00F45014" w:rsidRDefault="0057192D">
      <w:pPr>
        <w:ind w:firstLine="709"/>
        <w:jc w:val="both"/>
      </w:pPr>
      <w:r>
        <w:t>În conformitate cu prevederile art. 97 - art. 99 din Legea nr. 46/2008 privind Codul Silvic, republicată, cu modificările și completările ulterioare, în scopul gestionării durabile a fondului forestier proprietate privată a persoanelor fizice și juridice, statul alocă anual de la buget, prin bugetul autorității publice centrale care răspunde de silvicultură, sume pentru acordarea unor compensații reprezentând contravaloarea produselor pe care proprietarii nu le recoltează, datorită funcțiilor de protecție stabilite prin amenajamente silvice care determină restricții în recoltarea de masă lemnoasă.</w:t>
      </w:r>
    </w:p>
    <w:p w14:paraId="28445379" w14:textId="77777777" w:rsidR="00F45014" w:rsidRDefault="0057192D">
      <w:pPr>
        <w:ind w:firstLine="709"/>
        <w:jc w:val="both"/>
      </w:pPr>
      <w:r>
        <w:t>Normele metodologice de acordare, utilizare și control al sumelor anuale pentru acordarea compensațiilor se aprobă prin hotărâre a Guvernului, la propunerea autorității publice centrale care răspunde de silvicultură.</w:t>
      </w:r>
    </w:p>
    <w:p w14:paraId="60430FB0" w14:textId="77777777" w:rsidR="00F45014" w:rsidRDefault="0057192D">
      <w:pPr>
        <w:ind w:firstLine="709"/>
        <w:jc w:val="both"/>
      </w:pPr>
      <w:r>
        <w:t>Acordarea tuturor formelor de sprijin prevăzute de legislația națională se putea face începând cu data de i ianuarie 2010, după parcurgerea procedurii de notificare a schemelor de ajutor de stat, conform Liniilor directoare privind ajutoarele de stat în sectorul agricol și forestier în perioada 2007-2013, nr. 2006/C 319/01.</w:t>
      </w:r>
    </w:p>
    <w:p w14:paraId="07BDBEC3" w14:textId="77777777" w:rsidR="00F45014" w:rsidRDefault="0057192D">
      <w:pPr>
        <w:ind w:firstLine="709"/>
        <w:jc w:val="both"/>
      </w:pPr>
      <w:r>
        <w:t>Pentru perioada 2010-2012 nu a existat o Decizie a Comisiei Europene, iar ulterior emiterii Deciziei Comisiei Europene nr. C (2012) 5166 final/19.07.2012 privind ajutorul de stat reprezentând contravaloarea produselor pe care proprietarii nu le recoltează, datorită funcțiilor de protecție stabilite prin amenajamente silvice și a costurilor gestionării durabile a pădurilor, până la data de 30.06.2014 nu a fost adoptat în legislația națională un act normativ care să permită acordarea acestor compensații.</w:t>
      </w:r>
    </w:p>
    <w:p w14:paraId="154C00EE" w14:textId="17AF8307" w:rsidR="00F45014" w:rsidRDefault="0057192D">
      <w:pPr>
        <w:ind w:firstLine="709"/>
        <w:jc w:val="both"/>
      </w:pPr>
      <w:r>
        <w:t xml:space="preserve">Pârâtul a făcut trimitere la Decizia civilă nr. </w:t>
      </w:r>
      <w:r w:rsidR="00217CA5">
        <w:t>...</w:t>
      </w:r>
      <w:r>
        <w:t xml:space="preserve">/2015 a ÎCCJ.  </w:t>
      </w:r>
    </w:p>
    <w:p w14:paraId="1FCC65E2" w14:textId="77777777" w:rsidR="00F45014" w:rsidRDefault="0057192D">
      <w:pPr>
        <w:ind w:firstLine="709"/>
        <w:jc w:val="both"/>
      </w:pPr>
      <w:r>
        <w:t>Decizia CE nr. C(2012)5166 final/19.07.2012 a avut prevăzută la pct.6 durata, stabilindu-se că schema va expira la 31 decembrie 2013, iar prin Decizia CE nr. C(2013)9369 final/18.12.2013 a fost prelungit acest acord până la data de 30.06.2014. La acest moment, efectele Deciziei au încetat. În lipsa unei prevederi legale exprese în acest sens, prevederile Deciziei nu pot ultraactiva, spre a se aplica și la o dată ulterioară încetării prin împlinirea termenului expres prevăzut.</w:t>
      </w:r>
    </w:p>
    <w:p w14:paraId="7F6D4426" w14:textId="77777777" w:rsidR="00F45014" w:rsidRDefault="0057192D">
      <w:pPr>
        <w:ind w:firstLine="709"/>
        <w:jc w:val="both"/>
      </w:pPr>
      <w:r>
        <w:t>Or, acordarea altor compensații decât cele stabilite pentru beneficiarii care au obținut hotărâri judecătorești definitive, echivalează cu ultraactivarea prevederilor Deciziei CE nr. C(2012)5166 final/19.07.2012, peste termenul stabilit prin Decizia CE nr. C(2023)9369final/18.12.2013.</w:t>
      </w:r>
    </w:p>
    <w:p w14:paraId="1DDC56B9" w14:textId="77777777" w:rsidR="00F45014" w:rsidRDefault="0057192D">
      <w:pPr>
        <w:ind w:firstLine="709"/>
        <w:jc w:val="both"/>
      </w:pPr>
      <w:r>
        <w:t>Pentru acordarea de compensații, altele decât cele reglementate prin H.G. nr. 1370/2022 în favoarea proprietarilor care au obținut hotărâri judecătorești definitive, nu există, la acest moment, aprobarea schemei de ajutor de stat de către Comisia Europeană. Comisiei Europene nu i-a fost notificată o schemă de ajutor și, implicit, nu există o decizie favorabilă din partea acesteia, pentru perioada 2010-2013, alta decât cea aprobată prin CE nr. C(2012)5166 final/19.07.2012, a cărei valabilitate a încetat.</w:t>
      </w:r>
    </w:p>
    <w:p w14:paraId="28F7C6DC" w14:textId="77777777" w:rsidR="00F45014" w:rsidRDefault="0057192D">
      <w:pPr>
        <w:ind w:firstLine="709"/>
        <w:jc w:val="both"/>
      </w:pPr>
      <w:r>
        <w:t>Pârâtul a precizat că durata de valabilitate a schemei de ajutor nu înseamnă că statul român poate acorda oricând ajutoarele în discuţie cu singura condiţie ca aceasta să se refere la perioada referită prin Decizie (31.12.2013 şi ulterior 30.06.2014), ci că beneficiarii pot accesa ajutoarele de stat (în speță compensațiile) doar pe durata perioadei de valabilitate, respectiv până la 30.06.2014.</w:t>
      </w:r>
    </w:p>
    <w:p w14:paraId="44949C9F" w14:textId="77777777" w:rsidR="00F45014" w:rsidRDefault="0057192D">
      <w:pPr>
        <w:ind w:firstLine="709"/>
        <w:jc w:val="both"/>
      </w:pPr>
      <w:r>
        <w:t>De altfel, dacă s-ar referi la perioada pentru care beneficiarii pretind compensații, nu ar fi explicabil de ce durata schemei este până la 30.06.2014 în condițiile în care compensațiile sunt solicitate pentru perioada de până la 31.12.2013.</w:t>
      </w:r>
    </w:p>
    <w:p w14:paraId="14494A2B" w14:textId="33C94ADE" w:rsidR="00F45014" w:rsidRDefault="0057192D">
      <w:pPr>
        <w:ind w:firstLine="709"/>
        <w:jc w:val="both"/>
      </w:pPr>
      <w:r>
        <w:t>Așadar, la acest moment, nu mai există o decizie a Comisiei Europene privind ajutorul de sfat pentru perioada 2010</w:t>
      </w:r>
      <w:r>
        <w:rPr>
          <w:vertAlign w:val="superscript"/>
        </w:rPr>
        <w:t>-</w:t>
      </w:r>
      <w:r>
        <w:t xml:space="preserve">2013.  HG nr. 1370/2022, a fost elaborată pentru punerea în executare a Deciziei civile nr. </w:t>
      </w:r>
      <w:r w:rsidR="00217CA5">
        <w:t>...</w:t>
      </w:r>
      <w:r>
        <w:t>/</w:t>
      </w:r>
      <w:r w:rsidR="00217CA5">
        <w:t>...</w:t>
      </w:r>
      <w:r>
        <w:t xml:space="preserve">2021, pronunțată de către Înalta Curte de Casație și Justiție - Secția de Contencios Administrativ și Fiscal în Dosarul nr. </w:t>
      </w:r>
      <w:r w:rsidR="00217CA5">
        <w:t>.../.../2017</w:t>
      </w:r>
      <w:r>
        <w:t xml:space="preserve">, şi a Deciziei civile nr. </w:t>
      </w:r>
      <w:r w:rsidR="00217CA5">
        <w:lastRenderedPageBreak/>
        <w:t>...</w:t>
      </w:r>
      <w:r>
        <w:t>/</w:t>
      </w:r>
      <w:r w:rsidR="00217CA5">
        <w:t>...2020</w:t>
      </w:r>
      <w:r>
        <w:t xml:space="preserve"> pronunţate de către Înalta Curte de Casație și Justiție Secția de Contencios Administrativ și Fiscal în Dosarul nr. </w:t>
      </w:r>
      <w:r w:rsidR="00217CA5">
        <w:t>.../.../2017</w:t>
      </w:r>
      <w:r>
        <w:t xml:space="preserve">. </w:t>
      </w:r>
    </w:p>
    <w:p w14:paraId="5AAF1542" w14:textId="47D6DE5E" w:rsidR="00F45014" w:rsidRDefault="0057192D">
      <w:pPr>
        <w:ind w:firstLine="709"/>
        <w:jc w:val="both"/>
      </w:pPr>
      <w:r>
        <w:t xml:space="preserve">Instanțele de judecată, în limita cererilor care le-au fost adresate, au pronunţat, așadar, hotărâri judecătorești definitive pentru reclamanta </w:t>
      </w:r>
      <w:r w:rsidR="00B9612A">
        <w:t>D1</w:t>
      </w:r>
      <w:r>
        <w:t xml:space="preserve"> și reclamanta </w:t>
      </w:r>
      <w:r w:rsidR="00B9612A">
        <w:t>D2</w:t>
      </w:r>
      <w:r>
        <w:t>.</w:t>
      </w:r>
    </w:p>
    <w:p w14:paraId="09CF6351" w14:textId="75CFDE85" w:rsidR="00F45014" w:rsidRDefault="0057192D">
      <w:pPr>
        <w:ind w:firstLine="709"/>
        <w:jc w:val="both"/>
      </w:pPr>
      <w:r>
        <w:t xml:space="preserve">Cele două hotărâri vizate de HG nr. 1370/2022 nu sunt general obligatorii, nefiind hotărâri prealabile pentru dezlegarea unor chestiuni de drept și nici hotărâri pronunțate în recursuri în interesul legii, prin urmare se aplică doar celor 2 reclamante care au fost părți în dosarele nr. </w:t>
      </w:r>
      <w:r w:rsidR="00217CA5">
        <w:t>.../.../2017</w:t>
      </w:r>
      <w:r>
        <w:t xml:space="preserve"> și nr. </w:t>
      </w:r>
      <w:r w:rsidR="00217CA5">
        <w:t>.../.../2017</w:t>
      </w:r>
      <w:r>
        <w:t>.</w:t>
      </w:r>
    </w:p>
    <w:p w14:paraId="7421C1D6" w14:textId="77777777" w:rsidR="00F45014" w:rsidRDefault="0057192D">
      <w:pPr>
        <w:ind w:firstLine="709"/>
        <w:jc w:val="both"/>
      </w:pPr>
      <w:r>
        <w:t>La elaborarea H.G. nr. 1370/2022, a cărei modificare și completare se solicită, legiuitorul a avut în vedere beneficiarii cărora le-a fost stabilit prin hotărâri judecătorești definitive dreptul de a beneficia de despăgubiri reprezentând contravaloarea compensațiilor pentru masa lemnoasă nerecoltată din cauza funcțiilor de protecție stabilite prin amenajamente silvice pentru suprafețele de păduri încadrate în tipurile funcționale T1 și T2, stabilite conform normelor tehnice pentru amenajarea pădurilor, incluse în rețeaua ecologică europeană Natura 2000, care determină restricții în recoltarea masei lemnoase.</w:t>
      </w:r>
    </w:p>
    <w:p w14:paraId="4E161D69" w14:textId="77777777" w:rsidR="00F45014" w:rsidRDefault="0057192D">
      <w:pPr>
        <w:ind w:firstLine="709"/>
        <w:jc w:val="both"/>
      </w:pPr>
      <w:r>
        <w:t>Practic, prin cererea formulată de reclamanţi în prezentul dosar, se dorește schimbarea destinatarilor  H.G. nr. 1370/2022, în sensul că aceasta se referă la toți proprietarii de păduri care suferă restricţii în recoltarea de masă lemnoasă pentru masa lemnoasă nerecoltată din cauza funcţiilor de protecție stabilite prin amenajamente silvice și repunerea în termenul de depunere a cererilor de acordare a compensațiilor pentru toți proprietarii de păduri, chiar dacă aceștia nu și-au valorificat drepturile pe cale judecătorească sau în termenele prevăzute de lege.</w:t>
      </w:r>
    </w:p>
    <w:p w14:paraId="417329EC" w14:textId="77777777" w:rsidR="00F45014" w:rsidRDefault="0057192D">
      <w:pPr>
        <w:ind w:firstLine="709"/>
        <w:jc w:val="both"/>
      </w:pPr>
      <w:r>
        <w:t>Hotărârea Guvernului nr. 1370/2022 nu este o reeditare a hotărârilor de Guvern anterioare (ex. H.G. nr. 447/2022 prin care au fost aprobate Norme metodologice în baza unei Decizii a Comisiei Europene), ci reprezintă un set de norme care se adresează acelor proprietari care au obţinut în instanță dreptul de a beneficia de despăgubiri (echivalentul compensațiilor) pentru restricțiile impuse potrivit legii în perioada 2010-2013.</w:t>
      </w:r>
    </w:p>
    <w:p w14:paraId="7A1C2855" w14:textId="77777777" w:rsidR="00F45014" w:rsidRDefault="0057192D">
      <w:pPr>
        <w:ind w:firstLine="709"/>
        <w:jc w:val="both"/>
      </w:pPr>
      <w:r>
        <w:t xml:space="preserve">Aceste Norme metodologice au fost elaborate în baza unor decizii ale instanțelor de judecată și nu în baza Deciziei Comisiei Europene nr. C(2012) 5166 final din data de 19.07.2012 privind ajutorul de stat reprezentând contravaloarea produselor pe care proprietarii nu le recoltează, datorită funcțiilor de protecție stabilite prin amenajamente silvice și a costurilor gestionării durabile a pădurilor, a cărei aplicabilitate s-a încheiat în data de 30 iunie 2014. Adoptarea unor Norme metodologice care să dispună pentru trecut ar constitui o încălcare flagrantă a principiului </w:t>
      </w:r>
      <w:r>
        <w:rPr>
          <w:noProof/>
        </w:rPr>
        <w:drawing>
          <wp:inline distT="0" distB="0" distL="0" distR="0" wp14:anchorId="3F65D62C" wp14:editId="40D631FF">
            <wp:extent cx="9525" cy="952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a:stretch>
                      <a:fillRect/>
                    </a:stretch>
                  </pic:blipFill>
                  <pic:spPr>
                    <a:xfrm>
                      <a:off x="0" y="0"/>
                      <a:ext cx="9525" cy="9525"/>
                    </a:xfrm>
                    <a:prstGeom prst="rect">
                      <a:avLst/>
                    </a:prstGeom>
                    <a:noFill/>
                  </pic:spPr>
                </pic:pic>
              </a:graphicData>
            </a:graphic>
          </wp:inline>
        </w:drawing>
      </w:r>
      <w:r>
        <w:t>neretroactivităţii legii, contrar prevederilor art.15 alin. (2) din Constituţia României, republicată.</w:t>
      </w:r>
    </w:p>
    <w:p w14:paraId="254450C6" w14:textId="77777777" w:rsidR="00F45014" w:rsidRDefault="0057192D">
      <w:pPr>
        <w:ind w:firstLine="709"/>
        <w:jc w:val="both"/>
      </w:pPr>
      <w:r>
        <w:t>Părțile reclamante nu fac dovada interesului în continuarea demersului de adoptare a unui nou act cu caracter normativ, această împrejurare fundamentând concluzia că interesul și obiectul acțiunii nu mai subzistă.</w:t>
      </w:r>
      <w:r>
        <w:tab/>
      </w:r>
    </w:p>
    <w:p w14:paraId="48DB7433" w14:textId="77777777" w:rsidR="00F45014" w:rsidRDefault="0057192D">
      <w:pPr>
        <w:ind w:firstLine="709"/>
        <w:jc w:val="both"/>
      </w:pPr>
      <w:r>
        <w:t>În ceea ce privește solicitările formulate la petitul B, de obligare a pârâtului de a modifica art. 4 alin. 3  din Normele metodologice adoptate prin H.G. nr. 1370/2022 în sensul indicării unui nou termen limită pentru depunerea cererilor și a documentațiilor și a momentului de la care se calculează acest termen și completarea art. 4 prin inserarea unui nou alineat care să prevadă ca proprietarii de păduri care au depus în termen cererea, însoțită de documentația completă prevăzută la alin. 2, nu sunt obligați să mai depună încă o dată cererea și documentația în termenul stipulat la alin. 3, urmând ca acestea să fie verificate de structura teritorială competentă, acestea sunt neîntemeiate.</w:t>
      </w:r>
    </w:p>
    <w:p w14:paraId="2605B22E" w14:textId="77777777" w:rsidR="00F45014" w:rsidRDefault="0057192D">
      <w:pPr>
        <w:ind w:firstLine="709"/>
        <w:jc w:val="both"/>
      </w:pPr>
      <w:r>
        <w:t xml:space="preserve">Cu privire la adoptarea unui act administrativ, în speță o hotărâre de Guvern, pârâtul a arătat că aceasta nu se poate realiza decât după inițierea și elaborarea proiectului de hotărâre în conformitate cu Constituția României, republicată, cu dispozițiile Legii nr. 24/2000 privind normele de tehnică legislativă pentru elaborarea actelor normative, republicată, cu modificările și completările ulterioare, ale nr. 57 din 3 iulie 2019 privind Codul administrativ, cu modificările și completările ulterioare, ale Hotărârii Guvernului nr. 443/2022 pentru aprobarea conținutului instrumentului de prezentare și motivare, a structurii raportului privind implementarea actelor normative, a instrucțiunilor metodologice pentru realizarea evaluării </w:t>
      </w:r>
      <w:r>
        <w:lastRenderedPageBreak/>
        <w:t>impactului, precum și pentru înființarea Consiliului consultativ pentru evaluarea impactului actelor normative, precum și cu prevederile Regulamentului aprobat prin Hotărârea Guvernului nr. 561/2009.</w:t>
      </w:r>
    </w:p>
    <w:p w14:paraId="43914688" w14:textId="731A00C0" w:rsidR="00F45014" w:rsidRDefault="0057192D">
      <w:pPr>
        <w:ind w:firstLine="709"/>
        <w:jc w:val="both"/>
      </w:pPr>
      <w:r>
        <w:t xml:space="preserve">Pârâtul a făcut trimitere la Decizia nr. </w:t>
      </w:r>
      <w:r w:rsidR="00217CA5">
        <w:t>...</w:t>
      </w:r>
      <w:r>
        <w:t>/</w:t>
      </w:r>
      <w:r w:rsidR="00217CA5">
        <w:t>...</w:t>
      </w:r>
      <w:r>
        <w:t>.2009 pronunțată de Înalta Curte de Casație și Justiție - Secția contencios administrativ și fiscal în Dosarul nr.</w:t>
      </w:r>
      <w:r w:rsidR="00217CA5">
        <w:t>...</w:t>
      </w:r>
      <w:r>
        <w:t>/</w:t>
      </w:r>
      <w:r w:rsidR="00217CA5">
        <w:t>...</w:t>
      </w:r>
      <w:r>
        <w:t xml:space="preserve">/2008 şi la Decizia nr. </w:t>
      </w:r>
      <w:r w:rsidR="00217CA5">
        <w:t>...</w:t>
      </w:r>
      <w:r>
        <w:t>/</w:t>
      </w:r>
      <w:r w:rsidR="00217CA5">
        <w:t>...</w:t>
      </w:r>
      <w:r>
        <w:t xml:space="preserve">2005 a Înaltei Curți de Casație și Justiție - Secția contencios administrativ și fiscal. </w:t>
      </w:r>
    </w:p>
    <w:p w14:paraId="374BB59C" w14:textId="77777777" w:rsidR="00F45014" w:rsidRDefault="0057192D">
      <w:pPr>
        <w:ind w:firstLine="709"/>
        <w:jc w:val="both"/>
      </w:pPr>
      <w:r>
        <w:t>Invocarea în speță, de către reclamanţi, a precedentului judiciar cât și a celui normativ (făcându-se referire la emiterea HG. nr. 1370/2022) nu pot fi reținute în a justifica pretențiile acestora la adoptarea unei hotărâri de Guvern.</w:t>
      </w:r>
    </w:p>
    <w:p w14:paraId="6E82F238" w14:textId="77777777" w:rsidR="00F45014" w:rsidRDefault="0057192D">
      <w:pPr>
        <w:ind w:firstLine="709"/>
        <w:jc w:val="both"/>
      </w:pPr>
      <w:r>
        <w:t xml:space="preserve">Astfel, după cum s-a reținut și în jurisprudență în cauze similare, instanțele de judecată nu se pot substitui Executivului în privința acordării unui drept sau să oblige autoritatea la emiterea unui act cu caracter special. </w:t>
      </w:r>
    </w:p>
    <w:p w14:paraId="3093324D" w14:textId="77777777" w:rsidR="00F45014" w:rsidRDefault="0057192D">
      <w:pPr>
        <w:ind w:firstLine="709"/>
        <w:jc w:val="both"/>
      </w:pPr>
      <w:r>
        <w:t>De asemenea, în eventualitatea admiterii acestei solicitări, în prezenta cauză trebuie ținut cont și de faptul că, pentru a fi supus spre aprobare Executivului, proiectul unui act administrativ trebuie iniţiat de organele de specialitate care potrivit legii au posibilitatea de a iniţia acte normative. Proiectul de hotărâre urmează a parcurge etapele prevăzute de Legea nr. 24/2000 privind normele de tehnică legislativă pentru elaborarea actelor normative, republicată, și de Regulamentul aprobat prin Hotărârea Guvernului nr. 561/2009.</w:t>
      </w:r>
    </w:p>
    <w:p w14:paraId="19FD7371" w14:textId="77777777" w:rsidR="00F45014" w:rsidRDefault="0057192D">
      <w:pPr>
        <w:ind w:firstLine="709"/>
        <w:jc w:val="both"/>
      </w:pPr>
      <w:r>
        <w:t>Capitolul V - „Procedura de avizare/adoptare a proiectelor de acte normative și a proiectelor de documente de politici publice” din Regulamentul aprobat prin Hotărârea Guvernului nr. 561/2009 conține prevederi obligatorii cu privire la procedura de avizare a proiectului actului administrativ înaintat spre aprobare Guvernului României, sens în care la art. 20, art. 22 și art. 24 sunt stabilite termene minime și obligatoriu de respectat pentru avizarea proiectelor hotărârilor de Guvern de către diferite organisme (ministere avizatoare, Curtea de Conturi a României, Consiliului Concurenţei, Consiliului Suprem de Apărare a Ţării, Consiliului Economic și Social și/sau Consiliului Superior al Magistraturii, după caz, precum și de Consiliul Legislativ). Astfel, se poate constata că emiterea unui act administrativ presupune parcurgerea unor proceduri, cu încadrarea în anumite termene legale.</w:t>
      </w:r>
    </w:p>
    <w:p w14:paraId="2B4263C2" w14:textId="4A575B32" w:rsidR="00F45014" w:rsidRDefault="0057192D">
      <w:pPr>
        <w:ind w:firstLine="709"/>
        <w:jc w:val="both"/>
      </w:pPr>
      <w:r>
        <w:t xml:space="preserve">La data de </w:t>
      </w:r>
      <w:r w:rsidR="008912B4">
        <w:t>.............</w:t>
      </w:r>
      <w:r>
        <w:t xml:space="preserve">, Ministerul Mediului Apelor şi Pădurilor a depus la dosar o </w:t>
      </w:r>
      <w:r>
        <w:rPr>
          <w:b/>
          <w:i/>
        </w:rPr>
        <w:t>cerere de intervenţie accesorie</w:t>
      </w:r>
      <w:r>
        <w:t xml:space="preserve"> în sprijinul apărării pârâtului Guvernul României. </w:t>
      </w:r>
    </w:p>
    <w:p w14:paraId="2CF9DBAD" w14:textId="77777777" w:rsidR="00F45014" w:rsidRDefault="0057192D">
      <w:pPr>
        <w:ind w:firstLine="709"/>
        <w:jc w:val="both"/>
      </w:pPr>
      <w:r>
        <w:t>Cu referire la considerentele privind admisibilitatea în principiu a cererii de intervenție accesorie, s-a arătat că, prin acțiunea formulată, reclamanţii au solicitat instanței anularea parțială a Normelor de acordare a contravalorii compensațiilor cuvenite în perioada 2010-2013 pentru masa lemnoasă nerecoltată din cauza funcțiilor de protecție stabilite prin amenajamente silvice, aferente acoperirii costurilor reclamate de gestionarea durabilă a pădurilor situate în siturile de importanță comunitară Natura 2000, pentru punerea în executare a hotărârilor judecătorești definitive, aprobate prin HG nr. 1370/2022, precum și obligarea Guvernului României la adoptarea și publicarea acesteia.</w:t>
      </w:r>
    </w:p>
    <w:p w14:paraId="086D394B" w14:textId="77777777" w:rsidR="00F45014" w:rsidRDefault="0057192D">
      <w:pPr>
        <w:ind w:firstLine="709"/>
        <w:jc w:val="both"/>
      </w:pPr>
      <w:r>
        <w:t>Conform art. 97 alin. (1) lit. b) din Legea nr. 46/2008 - Codul silvic, în scopul gestionării durabile a fondului forestier proprietate privată a persoanelor fizice și juridice și a celui proprietate publică și privată a unităților administrativ - teritoriale, statul alocă anual de la buget, prin bugetul autorităţii publice centrale care răspunde de silvicultură, sume pentru acordarea unor compensații reprezentând contravaloarea produselor pe care proprietarii nu le recoltează, datorită funcțiilor de protecție stabilite prin amenajamente silvice care determină restricții în recoltarea de masă lemnoasă.</w:t>
      </w:r>
    </w:p>
    <w:p w14:paraId="613BA39F" w14:textId="77777777" w:rsidR="00F45014" w:rsidRDefault="0057192D">
      <w:pPr>
        <w:ind w:firstLine="709"/>
        <w:jc w:val="both"/>
      </w:pPr>
      <w:r>
        <w:t>Totodată, conform prevederilor art. 99 alin. (1) din Codul silvic, „normele metodologice de acordare, utilizare și control al sumelor anuale prevăzute la art. 98 se aprobă prin hotărâre a Guvernului, la propunerea autorității publice centrale care răspunde de silvicultură".</w:t>
      </w:r>
    </w:p>
    <w:p w14:paraId="4800FF80" w14:textId="77777777" w:rsidR="00F45014" w:rsidRDefault="0057192D">
      <w:pPr>
        <w:ind w:firstLine="709"/>
        <w:jc w:val="both"/>
      </w:pPr>
      <w:r>
        <w:t>Ca atare, interesul propriu al Ministerului în formularea prezentei cereri de intervenție accesorie este dovedit.</w:t>
      </w:r>
    </w:p>
    <w:p w14:paraId="6956AB30" w14:textId="77777777" w:rsidR="00F45014" w:rsidRDefault="0057192D">
      <w:pPr>
        <w:ind w:firstLine="709"/>
        <w:jc w:val="both"/>
      </w:pPr>
      <w:r>
        <w:t xml:space="preserve">Cu referire la considerentele privind admiterea excepţiei prescripţiei dreptului material la acţiune s-a arătat că, conform prevederilor art. 2500 din Codul civil ”dreptul material la acțiune, denumit în continuare drept la acțiune, se stinge prin prescripție, dacă nu a fost exercitat </w:t>
      </w:r>
      <w:r>
        <w:lastRenderedPageBreak/>
        <w:t>în termenul stabilit de lege", iar art. 2517 din Codul civil prevede că „termenul prescripției este de 3 ani”.</w:t>
      </w:r>
    </w:p>
    <w:p w14:paraId="3CF23A89" w14:textId="77777777" w:rsidR="00F45014" w:rsidRDefault="0057192D">
      <w:pPr>
        <w:ind w:firstLine="709"/>
        <w:jc w:val="both"/>
      </w:pPr>
      <w:r>
        <w:t>Prin urmare, pretinsul ”drept” de a solicita emiterea unei Hotărâri de Guvern, cât și dreptul de a cere plata compensațiilor, constituie drepturi de creanță, fiind supuse termenului general de prescripție de 3 ani, care începe să curgă de la data nașterii dreptului (adică, cel mai târziu, de la data de 01.01.2016).</w:t>
      </w:r>
    </w:p>
    <w:p w14:paraId="33BC7B67" w14:textId="77777777" w:rsidR="00F45014" w:rsidRDefault="0057192D">
      <w:pPr>
        <w:ind w:firstLine="709"/>
        <w:jc w:val="both"/>
      </w:pPr>
      <w:r>
        <w:t>Cu referire la considerentele privind netemeinicia acțiunii deduse judecății s-a arătat că, în conformitate cu prevederile art. 97-99 din Legea nr. 46/2008 Codul Silvic, republicată, cu modificările și completările ulterioare, în scopul gestionării durabile a fondului forestier proprietate privată a persoanelor fizice și juridice, statul alocă anual de la buget, din fondurile autorității publice centrale care răspunde de silvicultură, sume pentru acordarea unor compensații reprezentând contravaloarea produselor pe care proprietarii nu le recoltează, datorită funcțiilor de protecție stabilite prin amenajamente silvice care determină restricții în recoltarea de masă lemnoasă.</w:t>
      </w:r>
    </w:p>
    <w:p w14:paraId="60D6EBE4" w14:textId="77777777" w:rsidR="00F45014" w:rsidRDefault="0057192D">
      <w:pPr>
        <w:ind w:firstLine="709"/>
        <w:jc w:val="both"/>
      </w:pPr>
      <w:r>
        <w:t>Normele metodologice de acordare, utilizare și control a sumelor anuale pentru acordarea compensațiilor se aprobă prin hotărâre a Guvernului, la propunerea autorității publice centrale care răspunde de silvicultură.</w:t>
      </w:r>
    </w:p>
    <w:p w14:paraId="302482FD" w14:textId="77777777" w:rsidR="00F45014" w:rsidRDefault="0057192D">
      <w:pPr>
        <w:ind w:firstLine="709"/>
        <w:jc w:val="both"/>
      </w:pPr>
      <w:r>
        <w:t>Acordarea tuturor formelor de sprijin prevăzute de legislația națională se putea face începând cu data de 1 ianuarie 2010, după parcurgerea procedurii de notificare a schemelor de ajutor de stat, conform Liniilor directoare privind ajutoarele de stat în sectorul agricol și forestier în perioada 2007-2013, nr. 2006/C 319/01.</w:t>
      </w:r>
    </w:p>
    <w:p w14:paraId="03C1F2BD" w14:textId="77777777" w:rsidR="00F45014" w:rsidRDefault="0057192D">
      <w:pPr>
        <w:ind w:firstLine="709"/>
        <w:jc w:val="both"/>
      </w:pPr>
      <w:r>
        <w:t>Pentru perioada 2010 - 2012 nu a existat o Decizie a Comisiei Europene, iar ulterior emiterii Deciziei Comisiei Europene nr. C (2012) 5166 final/19.07.2012 privind ajutorul de stat reprezentând contravaloarea produselor pe care proprietarii nu le recoltează, datorită funcțiilor de protecție stabilite prin amenajamente silvice și a costurilor gestionării durabile a pădurilor, până la data de 30.06.2014, nu a fost adoptat în legislația națională un act normativ care să permită acordarea acestor compensații.</w:t>
      </w:r>
    </w:p>
    <w:p w14:paraId="4289F36F" w14:textId="77777777" w:rsidR="00F45014" w:rsidRDefault="0057192D">
      <w:pPr>
        <w:ind w:firstLine="709"/>
        <w:jc w:val="both"/>
      </w:pPr>
      <w:r>
        <w:t>Înalta Curte de Casație și Justiție - Completul pentru dezlegarea unor chestiuni de drept, prin Decizia civilă nr. 36/2015, pronunțată în dosarul nr. 1794/1/ 2015, a stabilit că: ”Pentru acordarea compensațiilor prevăzute de art. 97 alin. (1) lit. b) din Legea nr</w:t>
      </w:r>
      <w:r>
        <w:rPr>
          <w:noProof/>
        </w:rPr>
        <w:drawing>
          <wp:inline distT="0" distB="0" distL="0" distR="0" wp14:anchorId="7448DF92" wp14:editId="2AB5DF5F">
            <wp:extent cx="18415" cy="1905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3"/>
                    <a:stretch>
                      <a:fillRect/>
                    </a:stretch>
                  </pic:blipFill>
                  <pic:spPr>
                    <a:xfrm>
                      <a:off x="0" y="0"/>
                      <a:ext cx="18415" cy="19050"/>
                    </a:xfrm>
                    <a:prstGeom prst="rect">
                      <a:avLst/>
                    </a:prstGeom>
                    <a:noFill/>
                  </pic:spPr>
                </pic:pic>
              </a:graphicData>
            </a:graphic>
          </wp:inline>
        </w:drawing>
      </w:r>
      <w:r>
        <w:t xml:space="preserve"> 46/2008 privind Codul silvic, republicată, și de art. 4 lit. s) pct. 4 din Ordonanța Guvernului nr. 14/2010 privind măsuri financiare pentru reglementarea ajutoarelor de stat acordate producătorilor agricoli, începând cu anul 2010, aprobată cu modificări și completări prin Legea nr. 74/2010, cu modificările și completările ulterioare, după data de 1 ianuarie 2010, trebuie să existe decizia favorabilă a Comisiei Europene privind ajutorul de stat și să fie adoptate normele metodologice ulterioare, în condițiile art. 5 din Ordonanța Guvernului nr. 14/2010.”</w:t>
      </w:r>
    </w:p>
    <w:p w14:paraId="414CBAB2" w14:textId="77777777" w:rsidR="00F45014" w:rsidRDefault="0057192D">
      <w:pPr>
        <w:ind w:firstLine="709"/>
        <w:jc w:val="both"/>
      </w:pPr>
      <w:r>
        <w:t>Decizia CE nr. C(2012)5166 final/19.07.2012 a avut prevăzută la pct. 6 durata, stabilindu-se că schema va expira la 31 decembrie 2013, iar prin Decizia CE nr. C(2013)9369 final/18.12.2013 a fost prelungit acest acord până la data de 30.06.2014. La acest moment, efectele Deciziei au încetat. În lipsa unei prevederi legale exprese în acest sens, prevederile Deciziei nu pot ultraactiva, spre a se aplica și la o dată ulterioară încetării prin împlinirea termenului expres prevăzut.</w:t>
      </w:r>
    </w:p>
    <w:p w14:paraId="37A3228B" w14:textId="77777777" w:rsidR="00F45014" w:rsidRDefault="0057192D">
      <w:pPr>
        <w:ind w:firstLine="709"/>
        <w:jc w:val="both"/>
      </w:pPr>
      <w:r>
        <w:t>Or, acordarea altor compensații decât cele stabilite pentru beneficiarii care au obținut hotărâri judecătorești definitive, echivalează cu ultraactivarea prevederilor Deciziei CE nr. C(2012)5166 final/19.07.2012, peste termenul stabilit prin Decizia CE nr. C(2013)9369 final/18.12.2013.</w:t>
      </w:r>
    </w:p>
    <w:p w14:paraId="08710D36" w14:textId="77777777" w:rsidR="00F45014" w:rsidRDefault="0057192D">
      <w:pPr>
        <w:ind w:firstLine="709"/>
        <w:jc w:val="both"/>
      </w:pPr>
      <w:r>
        <w:t>Pentru acordarea de compensații, altele decât cele reglementate prin HG nr. 1370/2022 în favoarea proprietarilor care au obținut hotărâri judecătorești definitive, nu există, la acest moment, aprobarea schemei de ajutor de stat de către Comisia Europeană. Comisiei Europene nu i-a fost notificată o schemă de ajutor și, implicit, nu există o decizie favorabilă din partea acesteia, pentru perioada 2010-2013, alta decât cea aprobată prin CE nr. C(2012)5166 final/ 19.07.2012, a cărei valabilitate a încetat.</w:t>
      </w:r>
    </w:p>
    <w:p w14:paraId="74147481" w14:textId="77777777" w:rsidR="00F45014" w:rsidRDefault="0057192D">
      <w:pPr>
        <w:ind w:firstLine="709"/>
        <w:jc w:val="both"/>
      </w:pPr>
      <w:r>
        <w:lastRenderedPageBreak/>
        <w:t>S-a precizat faptul că durata de valabilitate a schemei de ajutor nu înseamnă că statul român poate acorda oricând ajutoarele în discuție, cu singura condiție ca aceasta să se refere la perioada stabilită prin Decizie (31.12.2013 și ulterior 30.06.2014), ci că beneficiarii pot accesa ajutoarele de stat (în speță compensațiile) doar pe durata perioadei de valabilitate, respectiv până la 30.06.2014.</w:t>
      </w:r>
    </w:p>
    <w:p w14:paraId="4FC6794A" w14:textId="77777777" w:rsidR="00F45014" w:rsidRDefault="0057192D">
      <w:pPr>
        <w:ind w:firstLine="709"/>
        <w:jc w:val="both"/>
      </w:pPr>
      <w:r>
        <w:t>De altfel, dacă s-ar referi la perioada pentru care beneficiarii pretind compensaţii, nu ar fi explicabil de ce durata schemei este până la 30.06.2014, în condițiile în care compensațiile sunt solicitate pentru perioada de până la 31.12.2013.</w:t>
      </w:r>
    </w:p>
    <w:p w14:paraId="0C27F29D" w14:textId="77777777" w:rsidR="00F45014" w:rsidRDefault="0057192D">
      <w:pPr>
        <w:ind w:firstLine="709"/>
        <w:jc w:val="both"/>
      </w:pPr>
      <w:r>
        <w:t xml:space="preserve">Așadar, la acest moment, nu mai există o decizie a Comisiei Europene privind ajutorul de stat pentru perioada 2010-2013. </w:t>
      </w:r>
    </w:p>
    <w:p w14:paraId="739325A2" w14:textId="4DD0AF48" w:rsidR="00F45014" w:rsidRDefault="0057192D">
      <w:pPr>
        <w:ind w:firstLine="709"/>
        <w:jc w:val="both"/>
      </w:pPr>
      <w:r>
        <w:t xml:space="preserve">Hotărârea Guvernului nr. 1370/2022 a fost elaborată pentru punerea în executare a Deciziei civile nr. </w:t>
      </w:r>
      <w:r w:rsidR="00217CA5">
        <w:t>.../....2021</w:t>
      </w:r>
      <w:r>
        <w:t xml:space="preserve">, pronunțată de către Înalta Curte de Casație și Justiție - Secția de Contencios Administrativ și Fiscal în dosarul nr. </w:t>
      </w:r>
      <w:r w:rsidR="00217CA5">
        <w:t>.../.../2017</w:t>
      </w:r>
      <w:r>
        <w:t xml:space="preserve">, prin care instanța a admis în parte acțiunea formulată de </w:t>
      </w:r>
      <w:r w:rsidR="00B9612A">
        <w:t>D1</w:t>
      </w:r>
      <w:r>
        <w:t xml:space="preserve"> și a obligat pârâtul Guvernul României la adoptarea hotărârii pentru aprobarea Normelor metodologice de acordare, utilizare și control a compensațiilor reprezentând contravaloarea produselor pe care proprietarii nu le recoltează, datorită funcțiilor de protecție stabilite prin amenajamente silvice care determină restricții în recoltarea de masă lemnoasă, în vederea soluționării cererii privind compensațiile aferente perioadei 2010 2013, formulată de către </w:t>
      </w:r>
      <w:r w:rsidR="00B9612A">
        <w:t>D1</w:t>
      </w:r>
      <w:r>
        <w:t xml:space="preserve">, precum și a Deciziei civile nr. </w:t>
      </w:r>
      <w:r w:rsidR="00217CA5">
        <w:t>...</w:t>
      </w:r>
      <w:r>
        <w:t>/</w:t>
      </w:r>
      <w:r w:rsidR="00217CA5">
        <w:t>...2020</w:t>
      </w:r>
      <w:r>
        <w:t xml:space="preserve"> pronunțată de către Înalta Curte de Casație și Justiție - Secția de Contencios Administrativ și Fiscal în Dosarul nr. </w:t>
      </w:r>
      <w:r w:rsidR="00217CA5">
        <w:t>.../.../2017</w:t>
      </w:r>
      <w:r>
        <w:t xml:space="preserve">, prin care s-a admis în parte acțiunea formulată de </w:t>
      </w:r>
      <w:r w:rsidR="00B9612A">
        <w:t>D2</w:t>
      </w:r>
      <w:r>
        <w:t xml:space="preserve"> și a fost obligat pârâtul Guvernul României la adoptarea unei hotărâri de Guvern pentru aprobarea normelor metodologice de acordare, utilizare și control a compensațiilor reprezentând contravaloarea produselor pe care proprietarii nu le recoltează datorită funcțiilor de protecție stabilite prin amenajamentele silvice, care determină restricții în recoltarea de masă lemnoasă, respectiv a proiectului de Hotărâre de Guvern avizat în Comisia Europeană care a stat la baza emiterii Deciziei nr. C(2012)5166 final/19.07.2012.</w:t>
      </w:r>
    </w:p>
    <w:p w14:paraId="6F17A552" w14:textId="0E3C6425" w:rsidR="00F45014" w:rsidRDefault="0057192D">
      <w:pPr>
        <w:ind w:firstLine="709"/>
        <w:jc w:val="both"/>
      </w:pPr>
      <w:r>
        <w:t xml:space="preserve">Instanțele de judecată, în limita cererilor care le-au fost adresate, au pronunțat, așadar, hotărâri judecătorești definitive pentru reclamanta </w:t>
      </w:r>
      <w:r w:rsidR="00B9612A">
        <w:t>D1</w:t>
      </w:r>
      <w:r>
        <w:t xml:space="preserve"> și reclamanta </w:t>
      </w:r>
      <w:r w:rsidR="00B9612A">
        <w:t>D2</w:t>
      </w:r>
      <w:r>
        <w:t>.</w:t>
      </w:r>
    </w:p>
    <w:p w14:paraId="792E2329" w14:textId="4F7282A6" w:rsidR="00F45014" w:rsidRDefault="0057192D">
      <w:pPr>
        <w:ind w:firstLine="709"/>
        <w:jc w:val="both"/>
      </w:pPr>
      <w:r>
        <w:t xml:space="preserve">Cele două hotărâri vizate de HG nr. 1370/2022 nu sunt general obligatorii, nefiind hotărâri prealabile pentru dezlegarea unor chestiuni de drept și nici hotărâri pronunțate în recursuri în interesul legii, prin urmare se aplică doar celor 2 reclamante care au fost părți în dosarele nr. </w:t>
      </w:r>
      <w:r w:rsidR="00217CA5">
        <w:t>.../.../2017</w:t>
      </w:r>
      <w:r>
        <w:t xml:space="preserve"> și nr. </w:t>
      </w:r>
      <w:r w:rsidR="00217CA5">
        <w:t>.../.../2017</w:t>
      </w:r>
      <w:r>
        <w:t>.</w:t>
      </w:r>
    </w:p>
    <w:p w14:paraId="7A07DD25" w14:textId="77777777" w:rsidR="00F45014" w:rsidRDefault="0057192D">
      <w:pPr>
        <w:ind w:firstLine="709"/>
        <w:jc w:val="both"/>
      </w:pPr>
      <w:r>
        <w:t>La elaborarea H.G. nr. 1370/2022, a cărei modificare și completare se solicită, legiuitorul a avut în vedere beneficiarii cărora le-a fost stabilit, prin hotărâri judecătorești definitive, dreptul de a beneficia de despăgubiri reprezentând contravaloarea compensațiilor pentru masa lemnoasă nerecoltată din cauza funcțiilor de protecție stabilite prin amenajamente silvice pentru suprafețele de păduri încadrate în tipurile funcționale T1 și T2, stabilite conform normelor tehnice pentru amenajarea pădurilor, incluse în rețeaua ecologică europeană Natura 2000, care determină restricții în recoltarea masei lemnoase.</w:t>
      </w:r>
    </w:p>
    <w:p w14:paraId="1ABBBB05" w14:textId="77777777" w:rsidR="00F45014" w:rsidRDefault="0057192D">
      <w:pPr>
        <w:ind w:firstLine="709"/>
        <w:jc w:val="both"/>
      </w:pPr>
      <w:r>
        <w:t>Practic, prin cererea formulată de reclamanţii în prezentul dosar, se dorește schimbarea destinatarilor H.G. nr. 1370/2022, în sensul că aceasta se referă la toţi proprietarii de păduri care suferă restricţii în recoltarea de masă lemnoasă pentru masa lemnoasă nerecoltată din cauza funcţiilor de protecție stabilite prin amenajamente silvice și repunerea în termenul de depunere a cererilor de acordare a compensațiilor pentru toți proprietarii de păduri, chiar dacă aceștia nu și-au valorificat drepturile pe cale judecătorească sau în termenele prevăzute de lege.</w:t>
      </w:r>
    </w:p>
    <w:p w14:paraId="2F027BEB" w14:textId="77777777" w:rsidR="00F45014" w:rsidRDefault="0057192D">
      <w:pPr>
        <w:ind w:firstLine="709"/>
        <w:jc w:val="both"/>
      </w:pPr>
      <w:r>
        <w:t>H.G. nr. 1370/2022 nu este o reeditare a hotărârilor de Guvern anterioare, ci reprezintă un set de norme care se adresează acelor proprietari care au obținut în instanță dreptul de a beneficia de despăgubiri (echivalentul compensațiilor) pentru restricțiile impuse potrivit legii în perioada 2010 - 2013.</w:t>
      </w:r>
    </w:p>
    <w:p w14:paraId="0D58BCB1" w14:textId="77777777" w:rsidR="00F45014" w:rsidRDefault="0057192D">
      <w:pPr>
        <w:ind w:firstLine="709"/>
        <w:jc w:val="both"/>
      </w:pPr>
      <w:r>
        <w:t xml:space="preserve">Aceste Norme metodologice au fost elaborate în baza unor decizii ale instanțelor de judecată și nu în baza Deciziei Comisiei Europene nr. C(2012)5166 final din data de 19.07.2012 privind ajutorul de stat reprezentând contravaloarea produselor pe care proprietarii nu le </w:t>
      </w:r>
      <w:r>
        <w:lastRenderedPageBreak/>
        <w:t>recoltează, datorită funcțiilor de protecție stabilite prin amenajamente silvice și a costurilor gestionării durabile a pădurilor, a cărei aplicabilitate s-a încheiat în data de 30 iunie 2014. Adoptarea unor Norme metodologice care să dispună pentru trecut ar constitui o încălcare flagrantă a principiului neretroactivităţii legii, contrar prevederilor art. 15 alin. (2) din Constituție României, republicată.</w:t>
      </w:r>
    </w:p>
    <w:p w14:paraId="204B8F5F" w14:textId="77777777" w:rsidR="00F45014" w:rsidRPr="00E7297E" w:rsidRDefault="0057192D">
      <w:pPr>
        <w:ind w:firstLine="709"/>
        <w:jc w:val="both"/>
      </w:pPr>
      <w:r w:rsidRPr="00E7297E">
        <w:t>Referitor la modificarea termenului prevăzut la art. 4 alin. 3 din Anexa la HG nr. 1370/2022, Ministerul a precizat că art. 68 din Legea nr. 24/2000 prevede că prin acte normative ulterioare se poate prelungi, extinde sau restrânge durata actelor normative temporare. Dispoziția de prelungire a termenului de aplicare a actului normativ temporar trebuie să intervină însă înainte de expirarea termenului și să indice, când este cazul, noul termen.</w:t>
      </w:r>
    </w:p>
    <w:p w14:paraId="0DC7E46A" w14:textId="77777777" w:rsidR="00F45014" w:rsidRDefault="0057192D">
      <w:pPr>
        <w:ind w:firstLine="709"/>
        <w:jc w:val="both"/>
      </w:pPr>
      <w:r>
        <w:t>De asemenea, potrivit art. 58 alin. (1) din Legea nr. 24/2000, după intrarea în vigoare a unui act normativ, pe durata existenței acestuia, pot interveni diferite evenimente legislative, cum ar fi: modificarea, completarea, abrogarea, republicarea, suspendarea sau altele asemenea. Or, având în vedere faptul că H.G. nr. 1370/2022 prevede că proprietarii de păduri care au obținut hotărâri judecătorești definitive au dreptul de a beneficia de despăgubiri reprezentând contravaloarea compensațiilor și sunt obligați să depună cererile de acordare a compensațiilor în termen de maximum 30 de zile de la intrarea în vigoare a normelor metodologice, este evident că nu mai suntem în situația ”existenței” actului a cărui modificare se cere, efectele acestuia încetând la data expirării termenului de 30 de zile antereferit.</w:t>
      </w:r>
    </w:p>
    <w:p w14:paraId="48927320" w14:textId="77777777" w:rsidR="00F45014" w:rsidRDefault="0057192D">
      <w:pPr>
        <w:ind w:firstLine="709"/>
        <w:jc w:val="both"/>
      </w:pPr>
      <w:r>
        <w:t>În plus, art. 61 alin. (l) din Legea nr. 24/2000 stabilește că „Modificarea sau completarea unui act normativ este admisă numai dacă nu se afectează concepția generală ori caracterul unitar al acelui act sau dacă nu privește întreaga ori cea mai mare parte a reglementării în cauză"„ Or, prin faptul că urmărește modificarea destinatarilor actului, termenele de depunere sau repunerea în termenele de depunere, petenta are ca scop, de fapt, modificarea reglementării în cea mai mare parte a ei, lucru nepermis de lege.</w:t>
      </w:r>
    </w:p>
    <w:p w14:paraId="35576A71" w14:textId="77777777" w:rsidR="00F45014" w:rsidRDefault="0057192D">
      <w:pPr>
        <w:ind w:firstLine="709"/>
        <w:jc w:val="both"/>
      </w:pPr>
      <w:r>
        <w:t>Astfel, proiectul de act normativ mai sus amintit, a fost elaborat cu respectarea prevederilor Legii nr. 52/2003 privind transparența decizională în administrația publică, republicată, potrivit căreia a fost stabilită o perioadă pentru a primi în scris propuneri, sugestii sau opinii cu privire la proiectul de act normativ supus dezbaterii publice, iar reclamantele nu au formulat nicio propunere, sugestie sau opinie.</w:t>
      </w:r>
    </w:p>
    <w:p w14:paraId="759B4664" w14:textId="77777777" w:rsidR="00F45014" w:rsidRDefault="0057192D">
      <w:pPr>
        <w:ind w:firstLine="709"/>
        <w:jc w:val="both"/>
      </w:pPr>
      <w:r>
        <w:t>Întrucât actul administrativ reprezentat de HG nr. 1370/2022 nu îi vizează, reclamanţii nefăcând parte din categoria destinatarilor acestuia, în aprecierea Ministerului este întemeiată și excepția lipsei calității procesual active a reclamanţilor.</w:t>
      </w:r>
    </w:p>
    <w:p w14:paraId="60E86642" w14:textId="5947D574" w:rsidR="00F45014" w:rsidRDefault="0057192D">
      <w:pPr>
        <w:ind w:firstLine="709"/>
        <w:jc w:val="both"/>
      </w:pPr>
      <w:r>
        <w:t xml:space="preserve">Un alt motiv de netemeinicie a cererii formulate este și faptul că, astfel cum reclamanţii au precizat, acțiunea </w:t>
      </w:r>
      <w:r w:rsidR="00E7297E">
        <w:t>D2</w:t>
      </w:r>
      <w:r>
        <w:t xml:space="preserve">, având ca obiect aplicarea unei amenzi pentru neexecutarea hotărârii judecătorești (art. 24 din Legea nr. 554/2004), în dosarul nr. </w:t>
      </w:r>
      <w:r w:rsidR="00217CA5">
        <w:t>.../.../2022</w:t>
      </w:r>
      <w:r>
        <w:t xml:space="preserve">, a fost respinsă ca rămasă fără obiect, ca urmare a adoptării HG nr. 1370/2022. Prin urmare, s-a considerat că obligația impusă prin Sentința nr. </w:t>
      </w:r>
      <w:r w:rsidR="00217CA5">
        <w:t>.../2018</w:t>
      </w:r>
      <w:r>
        <w:t xml:space="preserve"> a Curții de Apel </w:t>
      </w:r>
      <w:r w:rsidR="00217CA5">
        <w:t>....</w:t>
      </w:r>
      <w:r>
        <w:t xml:space="preserve">, pronunțată în dosarul nr. </w:t>
      </w:r>
      <w:r w:rsidR="00217CA5">
        <w:t>.../.../2017</w:t>
      </w:r>
      <w:r>
        <w:t xml:space="preserve">, menținută prin Decizia nr. </w:t>
      </w:r>
      <w:r w:rsidR="00217CA5">
        <w:t>...</w:t>
      </w:r>
      <w:r>
        <w:t xml:space="preserve">/2020 a Înaltei Curți de Casație și Justiție, a fost îndeplinită prin adoptarea H.G. nr. 1370/2022 în forma care este acum contestată de către reclamanţi. Se impune și precizarea că hotărârea nr. </w:t>
      </w:r>
      <w:r w:rsidR="000911FB">
        <w:t>.../2022</w:t>
      </w:r>
      <w:r>
        <w:t xml:space="preserve">, pronunțată în dosarul nr. </w:t>
      </w:r>
      <w:r w:rsidR="00217CA5">
        <w:t>.../.../2022</w:t>
      </w:r>
      <w:r>
        <w:t xml:space="preserve">, nu a fost atacată cu recurs de către </w:t>
      </w:r>
      <w:r w:rsidR="00B9612A">
        <w:t>D2</w:t>
      </w:r>
      <w:r>
        <w:t>.</w:t>
      </w:r>
    </w:p>
    <w:p w14:paraId="4EA7DC99" w14:textId="7D5B7D8C" w:rsidR="00F45014" w:rsidRDefault="0057192D">
      <w:pPr>
        <w:ind w:firstLine="709"/>
        <w:jc w:val="both"/>
      </w:pPr>
      <w:r>
        <w:t xml:space="preserve">Prin cererea formulată, reclamanţii au solicitat, de fapt, punerea în executare a celor două hotărâri judecătorești pronunțate în dosarele nr. </w:t>
      </w:r>
      <w:r w:rsidR="00217CA5">
        <w:t>.../.../2017</w:t>
      </w:r>
      <w:r>
        <w:t xml:space="preserve"> și nr. </w:t>
      </w:r>
      <w:r w:rsidR="00217CA5">
        <w:t>.../.../2017</w:t>
      </w:r>
      <w:r>
        <w:t xml:space="preserve">, în interpretarea pe care ei o dau acestor hotărâri, ceea ce este un demers inadmisibil din punct de vedere procesual, aceştia nefiind parte în cele două dosare și nefiind respectat termenul de prescripție statuat de art. 24 din Legea nr. 554/2004 a contenciosului administrativ. Singurele persoane îndreptățite la un astfel de demers erau reclamantele din cele două dosare, respectiv </w:t>
      </w:r>
      <w:r w:rsidR="00B9612A">
        <w:t>D2</w:t>
      </w:r>
      <w:r>
        <w:t xml:space="preserve"> și </w:t>
      </w:r>
      <w:r w:rsidR="00E7297E">
        <w:t>D1</w:t>
      </w:r>
      <w:r>
        <w:t xml:space="preserve">. </w:t>
      </w:r>
    </w:p>
    <w:p w14:paraId="18C6C5A2" w14:textId="37897459" w:rsidR="00F45014" w:rsidRDefault="0057192D">
      <w:pPr>
        <w:ind w:firstLine="709"/>
        <w:jc w:val="both"/>
      </w:pPr>
      <w:r>
        <w:t xml:space="preserve">Trebuie înlăturate și motivele reclamanţilor susținute pe ideea că cele două hotărâri judecătorești, în favoarea </w:t>
      </w:r>
      <w:r w:rsidR="00E7297E">
        <w:t>D2</w:t>
      </w:r>
      <w:r>
        <w:t xml:space="preserve"> și a </w:t>
      </w:r>
      <w:r w:rsidR="00E7297E">
        <w:t>D1</w:t>
      </w:r>
      <w:r>
        <w:t xml:space="preserve">, au obligat la emiterea unui act normativ aplicabil tuturor proprietarilor de păduri, aceste aspecte neputând fi cercetate în cadrul procesual stabilit în prezentul dosar și nici cu obiectul prezentului dosar. Reclamanţii nu au deschisă calea de a </w:t>
      </w:r>
      <w:r>
        <w:lastRenderedPageBreak/>
        <w:t>solicita instanţei să modifice un act administrativ pe baza unei interpretări pe care ei o dau unor hotărâri judecătorești, pentru motivul că nu au calitatea de a solicita lămurirea acestor hotărâri.</w:t>
      </w:r>
    </w:p>
    <w:p w14:paraId="1C98887C" w14:textId="77777777" w:rsidR="00F45014" w:rsidRDefault="0057192D">
      <w:pPr>
        <w:ind w:firstLine="709"/>
        <w:jc w:val="both"/>
      </w:pPr>
      <w:r>
        <w:t>În drept au fost invocate prevederile Codului de procedură civilă, precum și oricare alt act normativ cu incidență în dosarul cauzei.</w:t>
      </w:r>
    </w:p>
    <w:p w14:paraId="22B8AC1B" w14:textId="7944CD5C" w:rsidR="00F45014" w:rsidRDefault="0057192D">
      <w:pPr>
        <w:ind w:firstLine="709"/>
        <w:jc w:val="both"/>
      </w:pPr>
      <w:r>
        <w:t xml:space="preserve">La data de </w:t>
      </w:r>
      <w:r w:rsidR="00E7297E">
        <w:t>.................</w:t>
      </w:r>
      <w:r>
        <w:t xml:space="preserve">, reclamanţii au depus la dosar </w:t>
      </w:r>
      <w:r>
        <w:rPr>
          <w:b/>
          <w:i/>
        </w:rPr>
        <w:t>precizare de acţiune</w:t>
      </w:r>
      <w:r>
        <w:t xml:space="preserve">, prin care au înţeles să îşi modifice acţiunea şi să o restrângă la următoarele petite: </w:t>
      </w:r>
    </w:p>
    <w:p w14:paraId="21AF3DFC" w14:textId="77777777" w:rsidR="00F45014" w:rsidRDefault="0057192D">
      <w:pPr>
        <w:ind w:firstLine="709"/>
        <w:jc w:val="both"/>
      </w:pPr>
      <w:r>
        <w:t xml:space="preserve">1) Anularea </w:t>
      </w:r>
      <w:r>
        <w:rPr>
          <w:u w:color="000000"/>
        </w:rPr>
        <w:t>parţială</w:t>
      </w:r>
      <w:r>
        <w:t xml:space="preserve"> a Hotărârii de Guvern nr. 1370/2022 din 09.11.2022, publicată în Monitorul Oficial sub nr. 1087 din 10.11.2022, în concret:</w:t>
      </w:r>
    </w:p>
    <w:p w14:paraId="5AE9AC89" w14:textId="77777777" w:rsidR="00F45014" w:rsidRDefault="0057192D">
      <w:pPr>
        <w:ind w:firstLine="709"/>
        <w:jc w:val="both"/>
      </w:pPr>
      <w:r>
        <w:rPr>
          <w:u w:color="000000"/>
        </w:rPr>
        <w:t>a) Anularea parțială a articolului 1 din Normele metodologice</w:t>
      </w:r>
      <w:r>
        <w:t xml:space="preserve"> de acordare a contravalorii compensațiilor cuvenite în perioada 2010-2013 pentru masa lemnoasă nerecoltată din cauza funcțiilor de protecție stabilite prin amenajamente silvice, aferente acoperirii costurilor reclamate de gestionarea durabilă a pădurilor situate în siturile de importanță comunitară Natura 2000, pentru punerea în executare a hotărârilor judecătorești definitive, aprobate prin Hotărârea de Guvern nr. 1370/2022; în sensul de a se înlătura sintagma: "beneficiarii cărora le-a fost stabilit prin hotărâri judecătoreşti definitive dreptul de a beneficia de despăgubiri";</w:t>
      </w:r>
    </w:p>
    <w:p w14:paraId="518CE241" w14:textId="77777777" w:rsidR="00F45014" w:rsidRDefault="0057192D">
      <w:pPr>
        <w:ind w:firstLine="709"/>
        <w:jc w:val="both"/>
      </w:pPr>
      <w:r>
        <w:t>b) Anularea parţială a titlului din Anexa nr. 1 la Normele metodologice; în sensul de a se înlătura sintagma: "beneficiarii cărora le-a fost stabilit acest drept prin hotărâri judecătoreşti definitive";</w:t>
      </w:r>
    </w:p>
    <w:p w14:paraId="24D0B354" w14:textId="77777777" w:rsidR="00F45014" w:rsidRDefault="0057192D">
      <w:pPr>
        <w:ind w:firstLine="709"/>
        <w:jc w:val="both"/>
      </w:pPr>
      <w:r>
        <w:t xml:space="preserve">c) </w:t>
      </w:r>
      <w:r>
        <w:rPr>
          <w:u w:color="000000"/>
        </w:rPr>
        <w:t>Anularea parțială</w:t>
      </w:r>
      <w:r>
        <w:t xml:space="preserve"> a titlului din Anexa nr. 2 la Normele metodologice; în sensul de a se înlătura sintagma: "beneficiarii cărora le-a fost stabilit acest drept prin hotărâri judecătoreşti definitive".</w:t>
      </w:r>
    </w:p>
    <w:p w14:paraId="757C5D94" w14:textId="77777777" w:rsidR="00F45014" w:rsidRDefault="0057192D">
      <w:pPr>
        <w:ind w:firstLine="709"/>
        <w:jc w:val="both"/>
      </w:pPr>
      <w:r>
        <w:t>2. Obligarea pârâtului la plata integrală a tuturor cheltuielilor de judecată, conform art. 453 din Codul de procedură civilă.</w:t>
      </w:r>
    </w:p>
    <w:p w14:paraId="3F1EDC38" w14:textId="10A96F54" w:rsidR="00F45014" w:rsidRDefault="0057192D">
      <w:pPr>
        <w:ind w:firstLine="709"/>
        <w:jc w:val="both"/>
      </w:pPr>
      <w:r>
        <w:t xml:space="preserve">La data de </w:t>
      </w:r>
      <w:r w:rsidR="00E7297E">
        <w:t>..............</w:t>
      </w:r>
      <w:r>
        <w:t xml:space="preserve">, reclamanţii au depus la dosar </w:t>
      </w:r>
      <w:r>
        <w:rPr>
          <w:b/>
          <w:i/>
        </w:rPr>
        <w:t>întâmpinare la cererea de intervenţie accesorie</w:t>
      </w:r>
      <w:r>
        <w:t xml:space="preserve"> formulată de Ministerul Mediului Apelor şi Pădurilor, solicitând respingerea în principiu a cererii ca inadmisibilă şi, pe fond, respingerea acesteia ca neîntemeiată.</w:t>
      </w:r>
    </w:p>
    <w:p w14:paraId="1DF32816" w14:textId="77777777" w:rsidR="00F45014" w:rsidRDefault="0057192D">
      <w:pPr>
        <w:ind w:firstLine="709"/>
        <w:jc w:val="both"/>
      </w:pPr>
      <w:r>
        <w:t>În primul rând, reclamanţii au solicitat respingerea în principiu a cererii de intervenţie accesorie a M.M.A.P., în temeiul prevederilor art. 64 alin. 2 raportat la art. 61 alin. 1 din Codul de procedură civilă, având în vedere lipsa interesului titularului cererii de a formula cerere de intervenţie accesorie în prezenta cauză.</w:t>
      </w:r>
    </w:p>
    <w:p w14:paraId="1455A25F" w14:textId="77777777" w:rsidR="00F45014" w:rsidRDefault="0057192D">
      <w:pPr>
        <w:ind w:firstLine="709"/>
        <w:jc w:val="both"/>
      </w:pPr>
      <w:r>
        <w:t>Intervenţia voluntară accesorie are un scop limitat, deoarece prin aceasta terţul nu invocă o pretenţie proprie şi nu urmăreşte obţinerea unei hotărâri prin care părţile iniţiale să fie obligate indiferent de formă faţă de el, ci tinde, prin apărările pe care le face, ca instanţa să pronunţe o soluţie în favoarea părţii pentru care a intervenit, în speţă a pârâtului Guvernul României.</w:t>
      </w:r>
    </w:p>
    <w:p w14:paraId="3442C9D7" w14:textId="77777777" w:rsidR="00F45014" w:rsidRDefault="0057192D">
      <w:pPr>
        <w:ind w:firstLine="709"/>
        <w:jc w:val="both"/>
      </w:pPr>
      <w:r>
        <w:t>Ca natură juridică, intervenţia voluntară accesorie este o simplă apărare pentru că terţul nu invocă un drept propriu, ci doar îl sprijină pe pârât, adică nu formulează decât apărări în sprijinul părţii în interesul căreia a intervenit şi urmăreşte pronunţarea unei hotărâri în favoarea acesteia din urmă.</w:t>
      </w:r>
    </w:p>
    <w:p w14:paraId="014600D8" w14:textId="77777777" w:rsidR="00F45014" w:rsidRDefault="0057192D">
      <w:pPr>
        <w:ind w:firstLine="709"/>
        <w:jc w:val="both"/>
      </w:pPr>
      <w:r>
        <w:t>Cu toate acestea, pentru a dobândi calitatea de intervenient accesoriu, titularul cererii trebuie să justifice un interes propriu.</w:t>
      </w:r>
    </w:p>
    <w:p w14:paraId="759B19BC" w14:textId="77777777" w:rsidR="00F45014" w:rsidRDefault="0057192D">
      <w:pPr>
        <w:ind w:firstLine="709"/>
        <w:jc w:val="both"/>
      </w:pPr>
      <w:r>
        <w:t>După cum statuează explicit normele de procedură civilă, intervenientul accesoriu nu are o pretenţie proprie, ci participarea lui la proces este efectul dorinţei proprii de a susţine una dintre părţile care se judecată, situaţie în care intervenientul accesoriu trebuie totuşi să justifice un interes propriu, care trebuie raportat la efectele pe care le-ar putea avea asupra drepturilor sale statuarea de către instanţă cu privire la petitele cu care a fost investită în acţiunea dedusă judecăţii.</w:t>
      </w:r>
    </w:p>
    <w:p w14:paraId="5A373523" w14:textId="00E3C6D4" w:rsidR="00F45014" w:rsidRDefault="0057192D">
      <w:pPr>
        <w:ind w:firstLine="709"/>
        <w:jc w:val="both"/>
      </w:pPr>
      <w:r>
        <w:t xml:space="preserve">Înalta Curte de Casaţie şi Justiţie a statuat în jurisprudenţă în mod constant faptul că interesul intervenientului accesoriu este mai degrabă unul preventiv; prin formularea cererii de intervenţie acesta urmărind prevenirea unui prejudiciu pe care l-ar putea suferi, direct sau indirect, dacă partea în favoarea cărei intervine nu ar avea câştig de cauză (Secţia I civilă, Decizia nr. </w:t>
      </w:r>
      <w:r w:rsidR="000911FB">
        <w:t>...</w:t>
      </w:r>
      <w:r>
        <w:t xml:space="preserve">/2019 din </w:t>
      </w:r>
      <w:r w:rsidR="000911FB">
        <w:t>...</w:t>
      </w:r>
      <w:r>
        <w:t xml:space="preserve"> 2019).</w:t>
      </w:r>
    </w:p>
    <w:p w14:paraId="12FE5E0D" w14:textId="77777777" w:rsidR="00F45014" w:rsidRDefault="0057192D">
      <w:pPr>
        <w:ind w:firstLine="709"/>
        <w:jc w:val="both"/>
      </w:pPr>
      <w:r>
        <w:lastRenderedPageBreak/>
        <w:t>Reclamanţii au solicitat a se observa faptul că titularul cererii de intervenţie nu invocă, probează şi dovedeşte interesul său în formularea cererii, interes care reprezintă o condiţie de exercitare a oricărei cereri adresate unei instanţe de judecată, inclusiv a cererii de intervenţie, condiţie stipulată expres la art. 61 alin. 1 din Codul de procedură civilă.</w:t>
      </w:r>
    </w:p>
    <w:p w14:paraId="436AE680" w14:textId="77777777" w:rsidR="00F45014" w:rsidRDefault="0057192D">
      <w:pPr>
        <w:ind w:firstLine="709"/>
        <w:jc w:val="both"/>
      </w:pPr>
      <w:r>
        <w:t>Ministerul Mediului, Apelor şi Pădurilor, când enumeră petitele cu care a fost învestită instanţa, ignoră faptul că, prin soluţia pe care s-a solicitat a fi pronunţată în cauza pendinte în contradictoriu cu pârâtul Guvernul României, nu se vor regăsi obligaţii care să se răsfrângă asupra sa, direct sau indirect, ci doar asupra pârâtului.</w:t>
      </w:r>
    </w:p>
    <w:p w14:paraId="771984CE" w14:textId="77777777" w:rsidR="00F45014" w:rsidRDefault="0057192D">
      <w:pPr>
        <w:ind w:firstLine="709"/>
        <w:jc w:val="both"/>
      </w:pPr>
      <w:r>
        <w:t>În acest sens, reclamanţii au solicitat a se constata că titularul cererii de intervenţie accesorie nu justifică un interes legitim ocrotit pentru a formula apărări pertinente pe marginea unei soluţii dintr-o hotărâre care nu-1 vizează. În cadrul şi configuraţia procesuală a cauzei deduse judecăţii, în mod cert M.M.A.P. nu poate fi direct afectat de soluţia ce urmează a fi pronunţată în cauză. Aşa fiind, M.M.A.P. nu dovedeşte care ar fi folosul practic care l-ar putea urmări în speţa de faţă.</w:t>
      </w:r>
    </w:p>
    <w:p w14:paraId="2908B78B" w14:textId="77777777" w:rsidR="00F45014" w:rsidRDefault="0057192D">
      <w:pPr>
        <w:ind w:firstLine="709"/>
        <w:jc w:val="both"/>
      </w:pPr>
      <w:r>
        <w:t>Reclamanţii au mai arătat că, conform art. 18 din OUG nr. 57/2019, "Guvernul este alcătuit din prim-ministru şi miniştri". Aşadar, prin admiterea cererii de intervenţie în principiu se acordă dreptul aceleiaşi părţi (pârâtului) să îşi exprime poziţia procesuală de două ori, ceea ce este injust.</w:t>
      </w:r>
    </w:p>
    <w:p w14:paraId="4E7607C4" w14:textId="77777777" w:rsidR="00F45014" w:rsidRDefault="0057192D">
      <w:pPr>
        <w:ind w:firstLine="709"/>
        <w:jc w:val="both"/>
      </w:pPr>
      <w:r>
        <w:t>Acest aspect rezultă şi din prevederile art. 25 lit. L) din acelaşi act normativ indicat mai sus, potrivit cărora „În realizarea funcţiilor sale Guvernul îndeplineşte următoarele atribuţii principale: l) controlează activitatea ministerelor şi a celorlalte organe centrale de specialitate din subordinea sa".</w:t>
      </w:r>
    </w:p>
    <w:p w14:paraId="2114D3DB" w14:textId="77777777" w:rsidR="00F45014" w:rsidRDefault="0057192D">
      <w:pPr>
        <w:ind w:firstLine="709"/>
        <w:jc w:val="both"/>
      </w:pPr>
      <w:r>
        <w:t>De asemenea, s-a menţionat că Guvernul poate să obţină consultarea Ministerului, ca organ de specialitate, în cadrul poziţiei pe care o exprimă în acest dosar, fără însă ca Ministerul să devină parte în dosar.</w:t>
      </w:r>
    </w:p>
    <w:p w14:paraId="37103062" w14:textId="77777777" w:rsidR="00F45014" w:rsidRDefault="0057192D">
      <w:pPr>
        <w:ind w:firstLine="709"/>
        <w:jc w:val="both"/>
      </w:pPr>
      <w:r>
        <w:t>Potrivit art. 52 alin. 1 din Codul administrativ privind Rolul şi atribuţiile ministerelor se prevede că „Ministerele sunt organe de specialitate ale administraţiei publice centrale care realizează politica guvernamentală în domeniile de interes stabilite de Guvern".</w:t>
      </w:r>
    </w:p>
    <w:p w14:paraId="031CDF72" w14:textId="77777777" w:rsidR="00F45014" w:rsidRDefault="0057192D">
      <w:pPr>
        <w:ind w:firstLine="709"/>
        <w:jc w:val="both"/>
      </w:pPr>
      <w:r>
        <w:t xml:space="preserve">Totodată, poziţia exprimată de Minister cuprinde aceleaşi susţineri precum cele ale Guvernului, astfel că nu se aduc argumente juridice proprii, ci, dimpotrivă, susţinerile M.M.A.P. reprezintă o copie fidelă a argumentelor pârâtului. </w:t>
      </w:r>
    </w:p>
    <w:p w14:paraId="05B4C29A" w14:textId="77777777" w:rsidR="00F45014" w:rsidRDefault="0057192D">
      <w:pPr>
        <w:ind w:firstLine="709"/>
        <w:jc w:val="both"/>
      </w:pPr>
      <w:r>
        <w:t xml:space="preserve">Concluzionând, reclamanţii au precizat că intervenientul accesoriu M.M.A.P. nu are un interes propriu în a acţiona, respectiv acesta nu a fost dovedit odată cu depunerea cererii de intervenţie, dar şi având în vedere faptul că acesta susţine autoritatea publică centrală în a cărei subordine se află şi care este deja parte în proces.  </w:t>
      </w:r>
    </w:p>
    <w:p w14:paraId="029A4B8B" w14:textId="77777777" w:rsidR="00F45014" w:rsidRDefault="0057192D">
      <w:pPr>
        <w:ind w:firstLine="709"/>
        <w:jc w:val="both"/>
      </w:pPr>
      <w:r>
        <w:t>În al doilea rând, dacă instanţa va trece peste argumentele în sensul respingerii în principiu a cererii de intervenţie, reclamanţii au solicitat respingerea acesteia ca neîntemeiată.</w:t>
      </w:r>
    </w:p>
    <w:p w14:paraId="7450C370" w14:textId="77777777" w:rsidR="00F45014" w:rsidRDefault="0057192D">
      <w:pPr>
        <w:ind w:firstLine="709"/>
        <w:jc w:val="both"/>
      </w:pPr>
      <w:r>
        <w:t>Având în vedere identitatea de argumente între cele aparţinând pârâtului Guvernul României şi cele ale titularului cererii de intervenţie M.M.A.P., reclamanţii au arătat că îşi menţin poziţia procesuală exprimată cu ocazia formulării răspunsului la întâmpinarea pârâtului.</w:t>
      </w:r>
    </w:p>
    <w:p w14:paraId="59669A39" w14:textId="77777777" w:rsidR="00F45014" w:rsidRDefault="0057192D">
      <w:pPr>
        <w:ind w:firstLine="709"/>
        <w:jc w:val="both"/>
      </w:pPr>
      <w:r>
        <w:t>În altă ordine de idei, reclamanţi au arătat că intervenientul accesoriu M.M.A.P. invocă în susţinerea netemeiniciei pe fondul cauzei o serie de excepţii, după cum urmează:</w:t>
      </w:r>
    </w:p>
    <w:p w14:paraId="5037745E" w14:textId="77777777" w:rsidR="00F45014" w:rsidRDefault="0057192D">
      <w:pPr>
        <w:ind w:firstLine="709"/>
        <w:jc w:val="both"/>
      </w:pPr>
      <w:r>
        <w:t>a.) Excepţia prescripţiei raportat la prevederile art. 2500 şi art. 2517 din Codul Civil;</w:t>
      </w:r>
    </w:p>
    <w:p w14:paraId="7A78170E" w14:textId="77777777" w:rsidR="00F45014" w:rsidRDefault="0057192D">
      <w:pPr>
        <w:ind w:firstLine="709"/>
        <w:jc w:val="both"/>
      </w:pPr>
      <w:r>
        <w:t xml:space="preserve">b.) Excepţia lipsei calităţii procesual active a reclamanţilor. </w:t>
      </w:r>
    </w:p>
    <w:p w14:paraId="6C197D47" w14:textId="77777777" w:rsidR="00F45014" w:rsidRDefault="0057192D">
      <w:pPr>
        <w:ind w:firstLine="709"/>
        <w:jc w:val="both"/>
      </w:pPr>
      <w:r>
        <w:t>l.) Cu privire la excepţia prescripţiei raportat la prevederile art. 24 din Legea nr. 554/2004, reclamanţii au solicitat respingerea acesteia ca fiind efectiv complet nefondată, arătând că în fapt intervenientul accesoriu invocă această excepţie în mod abstract. Această excepţie a fost invocată şi de către pârâtul Guvernul României prin întâmpinarea depusă la dosarul cauzei, astfel că reclamanţii îşi menţin în totalitate argumentele care au prezentate pe larg prin răspunsul la întâmpinare, în sensul respingerii acestei excepţii ca nefondată.</w:t>
      </w:r>
    </w:p>
    <w:p w14:paraId="28E7FD1D" w14:textId="77777777" w:rsidR="00F45014" w:rsidRDefault="0057192D">
      <w:pPr>
        <w:ind w:firstLine="709"/>
        <w:jc w:val="both"/>
      </w:pPr>
      <w:r>
        <w:t>2.) Cu privire la excepţia lipsei calităţii procesuale active reclamanţii au solicitat respingerea acesteia ca fiind nefondată/neîntemeiată, precizând că susţine în integralitate cele expuse în răspunsul la întâmpinare.</w:t>
      </w:r>
    </w:p>
    <w:p w14:paraId="66E5FFCC" w14:textId="77777777" w:rsidR="00F45014" w:rsidRDefault="0057192D">
      <w:pPr>
        <w:ind w:firstLine="709"/>
        <w:jc w:val="both"/>
      </w:pPr>
      <w:r>
        <w:lastRenderedPageBreak/>
        <w:t>Pe scurt, s-a reiterat faptul că anularea parţială a HG nr. 1370/2022, aşa cum s-a solicitat prin cererea de chemare în judecată iniţială şi restructurată prin Precizarea de acţiune depusă la dosarul cauzei, nu presupune ultraactivarea Deciziei Comisiei Europene C(2012)5166 final, deoarece această decizie reglementează evident în mod indubitabil întreaga perioadă cuprinsă între 01.01.2010 şi 30.06.2014.</w:t>
      </w:r>
    </w:p>
    <w:p w14:paraId="20933324" w14:textId="77777777" w:rsidR="00F45014" w:rsidRDefault="0057192D">
      <w:pPr>
        <w:ind w:firstLine="709"/>
        <w:jc w:val="both"/>
      </w:pPr>
      <w:r>
        <w:t>Ceea ce nici pârâtul şi nici titularul cererii de intervenţie nu înţeleg este aceea că simplul fapt că în intervalul de timp pentru care există Decizia CE C(2012)5166 final din 12.07.2012 nu s-au acordat compensaţiile pe cale administrativă la care statul român s-a obligat prin însăşi o lege organică (Legea nr. 46/2008 cu modificări) nu echivalează cu pierderea dreptului la compensaţii pentru toţi proprietarii de păduri care suferă restricţii şi încetarea obligaţiei corelative a statului de a le acorda.</w:t>
      </w:r>
    </w:p>
    <w:p w14:paraId="4A1DB37C" w14:textId="77777777" w:rsidR="00F45014" w:rsidRDefault="0057192D">
      <w:pPr>
        <w:ind w:firstLine="709"/>
        <w:jc w:val="both"/>
      </w:pPr>
      <w:r>
        <w:t>În aceeaşi ordine de idei, s-a arătat că din nou autorităţile manifestă exces de putere prin aceea că:</w:t>
      </w:r>
    </w:p>
    <w:p w14:paraId="707B79DB" w14:textId="77777777" w:rsidR="00F45014" w:rsidRDefault="0057192D">
      <w:pPr>
        <w:ind w:firstLine="709"/>
        <w:jc w:val="both"/>
      </w:pPr>
      <w:r>
        <w:t>- în primul rând, nu au adoptat hotărârea de Guvern decât după 13 ani (adică la finele anului 2022) şi</w:t>
      </w:r>
    </w:p>
    <w:p w14:paraId="4BFEB048" w14:textId="77777777" w:rsidR="00F45014" w:rsidRDefault="0057192D">
      <w:pPr>
        <w:ind w:firstLine="709"/>
        <w:jc w:val="both"/>
      </w:pPr>
      <w:r>
        <w:t>- în al doilea rând, faptul că la momentul adoptării acesteia au prevăzut acordarea compensaţiilor (în optica/viziunea lor complet distorsionată juridic) decât pentru proprietarii de păduri care beneficiază de hotărâri judecătoreşti definitive de recunoaştere a dreptului, în dispreţul prevederilor legale cât şi a celor două hotărâri definitive ale ÎCCJ.</w:t>
      </w:r>
    </w:p>
    <w:p w14:paraId="04BD9F63" w14:textId="77777777" w:rsidR="00F45014" w:rsidRDefault="0057192D">
      <w:pPr>
        <w:ind w:firstLine="709"/>
        <w:jc w:val="both"/>
      </w:pPr>
      <w:r>
        <w:t>Mai mult, în viziunea acestora, recunoaşterea dreptului la compensaţii se poate manifesta doar prin hotărâri judecătoreşti definitive prin care Guvernul să fie obligat la adoptarea unor HG consecutive, fără număr, de aprobare a normelor metodologice, hotărâri judecătoreşti care să fie obţinute de fiecare proprietar de teren forestier în parte.</w:t>
      </w:r>
    </w:p>
    <w:p w14:paraId="79985BA6" w14:textId="77777777" w:rsidR="00F45014" w:rsidRDefault="0057192D">
      <w:pPr>
        <w:ind w:firstLine="709"/>
        <w:jc w:val="both"/>
      </w:pPr>
      <w:r>
        <w:t>Or, s-a arătat faptul că există deja două decizii ale ÎCCJ prin care Guvernul a fost obligat să adopte o astfel de hotărâre, sens în care reclamanţilor le scapă raţionamentul pârâtului şi al M.M.A.P. prin care aceştia induc instanţei ideea că trebuie să existe peste 15.000 .00 de hotărâri judecătoreşti prin care ÎCCJ să oblige la adoptarea aceluiaşi act administrativ normativ.</w:t>
      </w:r>
    </w:p>
    <w:p w14:paraId="6500E278" w14:textId="77777777" w:rsidR="00F45014" w:rsidRDefault="0057192D">
      <w:pPr>
        <w:ind w:firstLine="709"/>
        <w:jc w:val="both"/>
      </w:pPr>
      <w:r>
        <w:t>Astfel, s-a solicitat a se observa faptul că atât pârâtul, cât şi titularul cererii de intervenţie accesorie, încearcă prin diverse tertipuri să se exonereze de obligaţia de a acorda şi plăti pe cale administrativă compensaţiile prevăzute legal printr-o lege organică către toţi proprietarii de păduri cărora le este interzis să recolteze masa lemnoasă de pe terenurile pe care le deţin în proprietate; în realitate, să eludeze legea - pe care au obligaţia să o pună în executare tocmai în baza prevederilor constituţionale.</w:t>
      </w:r>
    </w:p>
    <w:p w14:paraId="6DFCF679" w14:textId="77777777" w:rsidR="00F45014" w:rsidRDefault="0057192D">
      <w:pPr>
        <w:ind w:firstLine="709"/>
        <w:jc w:val="both"/>
      </w:pPr>
      <w:r>
        <w:t xml:space="preserve">La aceeaşi dată, reclamanţii au depus la dosar </w:t>
      </w:r>
      <w:r>
        <w:rPr>
          <w:b/>
          <w:i/>
        </w:rPr>
        <w:t>răspuns la întâmpinarea</w:t>
      </w:r>
      <w:r>
        <w:t xml:space="preserve"> formulată de pârâtul Guvernul României, prin care au solicitat respingerea excepţiilor invocate şi admiterea cererii de chemare în judecată astfel cum a fost formulată şi precizată.</w:t>
      </w:r>
    </w:p>
    <w:p w14:paraId="1C887AD8" w14:textId="418E2EFF" w:rsidR="00F45014" w:rsidRDefault="0057192D">
      <w:pPr>
        <w:ind w:firstLine="709"/>
        <w:jc w:val="both"/>
      </w:pPr>
      <w:r>
        <w:t xml:space="preserve">Totodată, reclamanţii au depus </w:t>
      </w:r>
      <w:r>
        <w:rPr>
          <w:b/>
          <w:i/>
        </w:rPr>
        <w:t>note scrise completatoare</w:t>
      </w:r>
      <w:r>
        <w:t xml:space="preserve"> a apărărilor formulate iniţial, prin care, suplimentar faţă de cele invocate atât prin cererea de chemare în judecată, cât şi prin toate apărările, au menţionat că în data de 28.11.2023 Curtea Europeana a Drepturilor Omului în cauzele reunite nr. 46201/16 şi 47379/18 privind  Obştea de Pădure Porceni Pleşa şi Composesoratul Piciorul Bătrân Banciu (Braşov) versus România - într-o speţă </w:t>
      </w:r>
      <w:r w:rsidR="00942341">
        <w:t>....</w:t>
      </w:r>
      <w:r>
        <w:t>/</w:t>
      </w:r>
      <w:r w:rsidR="00942341">
        <w:t>...</w:t>
      </w:r>
      <w:r>
        <w:t xml:space="preserve"> cu prezenta cauză, CEDO  a constatat încălcarea gravă a art. 1 din Protocolul nr. 1 la Convenţie.</w:t>
      </w:r>
    </w:p>
    <w:p w14:paraId="3ADD5FC0" w14:textId="77777777" w:rsidR="00F45014" w:rsidRDefault="0057192D">
      <w:pPr>
        <w:ind w:firstLine="709"/>
        <w:jc w:val="both"/>
      </w:pPr>
      <w:r>
        <w:t>Reclamanţii au prezentat conţinutul paragrafelor 70, 71,, 72, 73, 74, 77 din Hotărârea CEDO, paragrafe pe care le consideră fundamentale, precizând că CEDO  a statuat că această conduită a Guvernului României - prin care acesta nu a adoptat şi publicat normele metodologice de acordare a ajutorului de stat menite să compenseze restricţiile impuse de lege proprietarilor terenurilor forestiere pentru anii 2010-2013 - a afectat direct principiul legalităţii. Reclamanţii apreciază că pentru repunerea părţilor în situaţia anterioară şi restabilirea legalităţii încălcate şi instaurarea ordinii de drept se impune admiterea cererii aşa cum a fost formulată.</w:t>
      </w:r>
    </w:p>
    <w:p w14:paraId="59AF13D4" w14:textId="77777777" w:rsidR="00F45014" w:rsidRDefault="0057192D">
      <w:pPr>
        <w:ind w:firstLine="709"/>
        <w:jc w:val="both"/>
      </w:pPr>
      <w:r>
        <w:t xml:space="preserve">Mai mult, în sens contrar , din cele ce precedă rezultă fără putinţă de tăgadă că absenţa normelor metodologice aprobate de Guvern prin care să se recunoască în concret dreptul la compensaţii constituie o încălcare flagrantă a art. 1 din Protocolul nr. 1 Adiţional la Convenţie </w:t>
      </w:r>
      <w:r>
        <w:lastRenderedPageBreak/>
        <w:t>şi drept urmare reclamanţii din prezenta pricină sunt prejudiciaţi în dreptul lor de proprietate  aşa cum a statuat şi CEDO în hotărârea menţionată.</w:t>
      </w:r>
    </w:p>
    <w:p w14:paraId="2C988602" w14:textId="77777777" w:rsidR="00F45014" w:rsidRDefault="0057192D">
      <w:pPr>
        <w:ind w:firstLine="709"/>
        <w:jc w:val="both"/>
      </w:pPr>
      <w:r>
        <w:t>Aşa fiind, pentru a nu expune România la o previzibilă nouă condamnare pentru încălcarea art. 1 din Protocolul nr. 1 Adiţional la Convenţie şi obligarea statului roman la plata de despăgubiri materiale şi morale precum şi la alte cheltuieli se impune admiterea tuturor petitelor cererii de chemare în judecată aşa cum  au fost formulate şi precizate.</w:t>
      </w:r>
    </w:p>
    <w:p w14:paraId="7259B3F8" w14:textId="77777777" w:rsidR="00F45014" w:rsidRDefault="0057192D">
      <w:pPr>
        <w:ind w:firstLine="709"/>
        <w:jc w:val="both"/>
      </w:pPr>
      <w:r>
        <w:t>Mai mult, hotărârea CEDO mai sus arătată face parte din Blocul de Convenţionalitate în materia drepturilor omului care se integrează în dreptul naţional şi devine prioritară, conform art. 20 alin. 2 din Constituţia României, devenind opozabilă Statului Roman şi implicit Guvernului României şi instanţelor de judecată naţională.</w:t>
      </w:r>
    </w:p>
    <w:p w14:paraId="765A289A" w14:textId="77777777" w:rsidR="00F45014" w:rsidRDefault="0057192D">
      <w:pPr>
        <w:ind w:firstLine="709"/>
        <w:jc w:val="both"/>
      </w:pPr>
      <w:r>
        <w:t>În acest context, instanţa naţională română, ca Prim Judecător al Convenţiei,  are obligaţia legală de a da eficienţă şi de a recunoaşte efectele hotărârilor pronunţate de jurisdicţia de contencios european ale drepturilor omului.</w:t>
      </w:r>
    </w:p>
    <w:p w14:paraId="7BD4915B" w14:textId="6D034608" w:rsidR="00F45014" w:rsidRDefault="0057192D">
      <w:pPr>
        <w:ind w:firstLine="709"/>
        <w:jc w:val="both"/>
      </w:pPr>
      <w:r>
        <w:t xml:space="preserve">La termenul de judecată din data de </w:t>
      </w:r>
      <w:r w:rsidR="005C08B7">
        <w:t>.................</w:t>
      </w:r>
      <w:r>
        <w:t>, instanţa admis în principiu cererea de intervenţie accesorie formulată de Ministerul Mediului Apelor şi Pădurilor.</w:t>
      </w:r>
    </w:p>
    <w:p w14:paraId="24D9422D" w14:textId="77777777" w:rsidR="00F45014" w:rsidRDefault="0057192D">
      <w:pPr>
        <w:suppressAutoHyphens/>
        <w:ind w:firstLine="720"/>
        <w:jc w:val="both"/>
        <w:rPr>
          <w:b/>
        </w:rPr>
      </w:pPr>
      <w:r>
        <w:rPr>
          <w:b/>
        </w:rPr>
        <w:t>Analizând actele şi lucrările dosarului, instanţa reţine următoarele:</w:t>
      </w:r>
    </w:p>
    <w:p w14:paraId="3DCC8466" w14:textId="77777777" w:rsidR="00F45014" w:rsidRDefault="0057192D">
      <w:pPr>
        <w:suppressAutoHyphens/>
        <w:ind w:firstLine="720"/>
        <w:jc w:val="both"/>
      </w:pPr>
      <w:r>
        <w:t xml:space="preserve">Referitor la excepţia netimbrării cererii de chemare în judecată invocată de pârât prin întâmpinare, instanţa reţine că, aceasta este neîntemeiată întrucât reclamanţii au depus la dosar, în original, chitanţele privind achitarea taxei judiciare de timbru în cuantum legal de câte 150 lei fiecare (filele 11-20 în dosar vol. III). </w:t>
      </w:r>
    </w:p>
    <w:p w14:paraId="6A0024E7" w14:textId="77777777" w:rsidR="00F45014" w:rsidRDefault="0057192D">
      <w:pPr>
        <w:ind w:firstLine="720"/>
        <w:jc w:val="both"/>
      </w:pPr>
      <w:r>
        <w:t xml:space="preserve">Referitor la excepția prescripţiei dreptului material la acţiune invocată de pârâtul Guvernul României prin întâmpinare, instanța constată că, pârâtul a susţinut că, în speţă, ar fi incidente în cauză prevederile art. 2500 din Codul civil şi art. 2517 din acelaşi act normativ şi că pretinsul drept de a cere plata compensaţiilor, constituie drepturi de creanţă, supuse termenului general de prescripţie de 3 ani, care a început să curgă de la data naşterii dreptului adică cel mai târziu din decembrie 2013 şi că cererile administrative au fost formulate după împlinirea termenului de 3 ani.  </w:t>
      </w:r>
    </w:p>
    <w:p w14:paraId="2294A8AE" w14:textId="77777777" w:rsidR="00F45014" w:rsidRDefault="0057192D">
      <w:pPr>
        <w:tabs>
          <w:tab w:val="left" w:pos="426"/>
        </w:tabs>
        <w:ind w:firstLine="709"/>
        <w:jc w:val="both"/>
      </w:pPr>
      <w:r>
        <w:t xml:space="preserve">Raportat la obiectul dedus judecăţii, cerere de chemare precizată, prezenta cauză are ca obiect nu plata unor drepturi de creanţă ci anularea în parte a Hotărârii nr. 1370 din 9 noiembrie 2022, publicată în Monitorul Oficial Nr. 1087 din 10 noiembrie 2022, respectiv, în parte art. 1 din Anexă - Normele metodologice, în parte Titlul Anexei nr. 1 la nomele metodologice şi în parte Titlul Anexei nr. 2 la normele metodologice în sensul de a se  înlătura sintagmele „beneficiarii cărora le-a fost stabilit prin hotărâri judecătoreşti definitive dreptul de a beneficia de despăgubiri”, prevăzut la art. 1 din Anexă - Normele metodologice, respectiv „beneficiarii cărora le-a fost stabilit acest drept prin hotărâri judecătoreşti definitive” din Titlul Anexei nr. 1 la nomele metodologice şi din Titlul Anexei nr. 2 la normele metodologice. </w:t>
      </w:r>
    </w:p>
    <w:p w14:paraId="3C17F13B" w14:textId="77777777" w:rsidR="00F45014" w:rsidRDefault="0057192D">
      <w:pPr>
        <w:ind w:firstLine="720"/>
        <w:jc w:val="both"/>
      </w:pPr>
      <w:r>
        <w:t>Aşa fiind, obiectul acţiunii îl constituie anularea în parte a unui act administrativ cu caracter normativ iar dispoziţiile art. 2500 din Codul civil şi art. 2517 din acelaşi act normativ nu sunt incidente în cauză, astfel că, instanţa va respinge excepţia prescripţiei dreptului material la acţiune, ca nefondată.</w:t>
      </w:r>
    </w:p>
    <w:p w14:paraId="7D8E2BFD" w14:textId="77777777" w:rsidR="00F45014" w:rsidRDefault="0057192D">
      <w:pPr>
        <w:ind w:firstLine="720"/>
        <w:jc w:val="both"/>
      </w:pPr>
      <w:r>
        <w:t>În ceea ce privește excepția lipsei de interes în promovarea acţiunii, pârâtul a susținut în esență că reclamanţii nu a dovedit un interes, un folos practic în demararea acestui demers judiciar, dat fiind că nu au făcut dovada încălcării unui drept sau interes legitim prin actul normativ a cărui anulare se solicită.</w:t>
      </w:r>
    </w:p>
    <w:p w14:paraId="523A74A8" w14:textId="2EF69299" w:rsidR="00F45014" w:rsidRDefault="0057192D">
      <w:pPr>
        <w:ind w:firstLine="720"/>
        <w:jc w:val="both"/>
      </w:pPr>
      <w:r>
        <w:t xml:space="preserve">În susţinerea excepţiei pârâtul a invocat faptul că, H.G. nr. 1370/2022 a fost elaborată pentru punerea în executare a Deciziei civile nr. </w:t>
      </w:r>
      <w:r w:rsidR="00217CA5">
        <w:t>.../....2021</w:t>
      </w:r>
      <w:r>
        <w:t xml:space="preserve"> precum şi a Deciziei civile nr. </w:t>
      </w:r>
      <w:r w:rsidR="00217CA5">
        <w:t>...</w:t>
      </w:r>
      <w:r>
        <w:t>/</w:t>
      </w:r>
      <w:r w:rsidR="00217CA5">
        <w:t>...2020</w:t>
      </w:r>
      <w:r>
        <w:t xml:space="preserve"> pronunţate de Înalta Curte de Casaţie şi Justiţie - Secţia de contencios administrativ şi fiscal în Dosarele nr. </w:t>
      </w:r>
      <w:r w:rsidR="00217CA5">
        <w:t>.../.../2017</w:t>
      </w:r>
      <w:r>
        <w:t xml:space="preserve"> şi nr. </w:t>
      </w:r>
      <w:r w:rsidR="00217CA5">
        <w:t>.../.../2017</w:t>
      </w:r>
      <w:r>
        <w:t xml:space="preserve"> în care reclamanţii nu au fost parte.</w:t>
      </w:r>
    </w:p>
    <w:p w14:paraId="279A32AA" w14:textId="77777777" w:rsidR="00F45014" w:rsidRDefault="0057192D">
      <w:pPr>
        <w:ind w:firstLine="720"/>
        <w:jc w:val="both"/>
      </w:pPr>
      <w:r>
        <w:t xml:space="preserve">Instanța consideră aceste susțineri nefondate pornind de la definirea interesului ca fiind folosul material ori moral pe care l-ar obține oricare dintre părți de pe urma activității judiciare pe care dorește să o desfășoare și având în vedere dispozițiile art. 1 alin. 1 și art. 2 alin. 1 lit. a din Legea nr. 554/2004 a contenciosului administrativ întrucât scopul introducerii acțiunii de către reclamanţi este tocmai obținerea, pe de o parte, a anulării actului administrativ contestat, </w:t>
      </w:r>
      <w:r>
        <w:lastRenderedPageBreak/>
        <w:t>dar și a aprobării de către Guvernul României a normelor metodologice de plată a despăgubirilor conform obligației rezultate din legislația internă și, pe de altă parte, ulterior despăgubirile cuvenite în baza acestei hotărâri.</w:t>
      </w:r>
    </w:p>
    <w:p w14:paraId="6196713B" w14:textId="57A4DD6C" w:rsidR="00F45014" w:rsidRDefault="0057192D">
      <w:pPr>
        <w:ind w:firstLine="708"/>
        <w:jc w:val="both"/>
      </w:pPr>
      <w:r>
        <w:t xml:space="preserve">În ceea ce priveşte apărarea pârâtului că, reclamanţii nu justifică vreun interes în promovarea cererii de chemare în judecată având în vedere faptul că, Hotărârea de Guvern nr. 1370/2022, privind aprobarea Normelor metodologice de acordare a contravalorii compensaţiilor cuvenite în perioada 2010-2013 pentru masa lemnoasă nerecoltată din cauza funcţiilor de protecţie stabilite prin amenajamente silvice, aferente acoperirii costurilor reclamante de gestionarea durabilă a pădurilor situate în siturile de importanţă comunitară Natura 2000, pentru punerea în executare a hotărârilor judecătoreşti definitive, a fost elaborată pentru punerea în executare a Deciziei civile nr. </w:t>
      </w:r>
      <w:r w:rsidR="00217CA5">
        <w:t>.../....2021</w:t>
      </w:r>
      <w:r>
        <w:t xml:space="preserve"> precum şi a Deciziei civile nr. </w:t>
      </w:r>
      <w:r w:rsidR="00217CA5">
        <w:t>...</w:t>
      </w:r>
      <w:r>
        <w:t>/</w:t>
      </w:r>
      <w:r w:rsidR="00217CA5">
        <w:t>...2020</w:t>
      </w:r>
      <w:r>
        <w:t xml:space="preserve"> pronunțate de către Înalta Curte de Casație și Justiție - Secția de contencios administrativ şi fiscal în Dosarul nr. </w:t>
      </w:r>
      <w:r w:rsidR="00217CA5">
        <w:t>.../.../2017</w:t>
      </w:r>
      <w:r>
        <w:t xml:space="preserve">, respectiv în Dosarul nr. </w:t>
      </w:r>
      <w:r w:rsidR="00942341">
        <w:t>...</w:t>
      </w:r>
      <w:r>
        <w:t>/</w:t>
      </w:r>
      <w:r w:rsidR="00942341">
        <w:t>...</w:t>
      </w:r>
      <w:r>
        <w:t xml:space="preserve">/20217, hotărâri ce privesc reclamantele </w:t>
      </w:r>
      <w:r w:rsidR="00B9612A">
        <w:t>D1</w:t>
      </w:r>
      <w:r>
        <w:t xml:space="preserve">, respectiv </w:t>
      </w:r>
      <w:r w:rsidR="005C08B7">
        <w:t>D2</w:t>
      </w:r>
      <w:r>
        <w:t xml:space="preserve">, instanţa constată că nu este de natură a dovedi lipsa de interes a reclamanţilor. </w:t>
      </w:r>
    </w:p>
    <w:p w14:paraId="6382DD97" w14:textId="77777777" w:rsidR="00F45014" w:rsidRDefault="0057192D">
      <w:pPr>
        <w:ind w:firstLine="708"/>
        <w:jc w:val="both"/>
      </w:pPr>
      <w:r>
        <w:t>Astfel, prin demersul lor judiciar, reclamanţii tind tocmai la emiterea unui act normativ care să reglementeze Normele metodologice de acordare a contravalorii compensaţiilor cuvenite în perioada 2010-2013 pentru masa lemnoasă nerecoltată din cauza funcţiilor de protecţie stabilite prin amenajamente silvice, aferente acoperirii costurilor reclamante de gestionarea durabilă a pădurilor situate în siturile de importanţă comunitară Natura 2000, norme care să se aplice tuturor proprietarilor de păduri care sufere restricţii în recoltarea de masă lemnoasă. Or, reclamanţii, potrivit înscrisurilor reprezentate de titlurile de proprietate şi procesele verbale de punere în posesie, deţin în proprietate suprafeţe de păduri aflate în siturile de importanţă comunitară Natura 2000, suferind astfel restricţii de recoltare.</w:t>
      </w:r>
    </w:p>
    <w:p w14:paraId="2E7BDF0B" w14:textId="77777777" w:rsidR="00F45014" w:rsidRDefault="0057192D">
      <w:pPr>
        <w:ind w:firstLine="708"/>
        <w:jc w:val="both"/>
      </w:pPr>
      <w:r>
        <w:t>Prin urmare, instanţa va respinge excepţia lipsei de interes ca fiind nefondată.</w:t>
      </w:r>
    </w:p>
    <w:p w14:paraId="61288621" w14:textId="77777777" w:rsidR="00F45014" w:rsidRDefault="0057192D">
      <w:pPr>
        <w:ind w:right="-108" w:firstLine="708"/>
        <w:jc w:val="both"/>
      </w:pPr>
      <w:r>
        <w:t>Sub aspectul excepției lipsei calității procesuale active a cererii de chemare în judecată, invocată prin întâmpinare, instanţa reţine că, potrivit dispoziţiilor art. 36 din Codul de procedură civilă „calitatea procesuală rezultă din identitatea dintre părţi şi subiectele raportului juridic, astfel cum acesta este dedus judecăţii”.</w:t>
      </w:r>
    </w:p>
    <w:p w14:paraId="6AAE97B9" w14:textId="77777777" w:rsidR="00F45014" w:rsidRDefault="0057192D">
      <w:pPr>
        <w:ind w:firstLine="708"/>
        <w:jc w:val="both"/>
      </w:pPr>
      <w:r>
        <w:t xml:space="preserve"> Aşadar, calitatea procesuală activă presupune existenţa unei identităţii între reclamant şi titularul dreptului dedus judecăţii. </w:t>
      </w:r>
    </w:p>
    <w:p w14:paraId="46FF7816" w14:textId="77777777" w:rsidR="00F45014" w:rsidRDefault="0057192D">
      <w:pPr>
        <w:ind w:firstLine="720"/>
        <w:jc w:val="both"/>
        <w:rPr>
          <w:color w:val="000000"/>
        </w:rPr>
      </w:pPr>
      <w:r>
        <w:rPr>
          <w:color w:val="000000"/>
        </w:rPr>
        <w:t xml:space="preserve">În susţinerea excepţiei lipsei calităţii procesuale active, pârâtul, în esenţă, a argumentat că, pentru a avea legitimare procesuală activă, persoana fizică sau juridică ce introduce acțiunea în contencios administrativ trebuie să facă dovada vătămării unui drept sau interes legitim. </w:t>
      </w:r>
    </w:p>
    <w:p w14:paraId="51AEC2B3" w14:textId="77777777" w:rsidR="00F45014" w:rsidRDefault="0057192D">
      <w:pPr>
        <w:ind w:firstLine="720"/>
        <w:jc w:val="both"/>
        <w:rPr>
          <w:color w:val="000000"/>
        </w:rPr>
      </w:pPr>
      <w:r>
        <w:rPr>
          <w:color w:val="000000"/>
        </w:rPr>
        <w:t>Susținerile sunt însă nefondate, dat fiind că,</w:t>
      </w:r>
      <w:r>
        <w:t xml:space="preserve"> potrivit înscrisurilor reprezentate de titlurile de proprietate şi procesele verbale de punere în posesie, </w:t>
      </w:r>
      <w:r>
        <w:rPr>
          <w:color w:val="000000"/>
        </w:rPr>
        <w:t xml:space="preserve">reclamanţii au calitatea de proprietari de terenuri cu vegetație forestieră, situate în arii protejate de tip Natura 2000, încadrate în tipurile funcționale T1 şi T2, fapt ce presupune restricții totale sau drastice în recoltarea de masă lemnoasă. Prin raportare la obiectul de reglementare al actului normativ a cărui anulare se solicită, reclamanţii se consideră vătămaţi într-un drept sau interes legitim, dovedirea în concret a vătămării fiind o chestiune ce ține de fondul cauzei, nu de legitimare procesuală activă a reclamanţilor. </w:t>
      </w:r>
    </w:p>
    <w:p w14:paraId="38703DA5" w14:textId="77777777" w:rsidR="00F45014" w:rsidRDefault="0057192D">
      <w:pPr>
        <w:spacing w:line="259" w:lineRule="auto"/>
        <w:ind w:firstLine="720"/>
        <w:jc w:val="both"/>
        <w:rPr>
          <w:color w:val="000000"/>
        </w:rPr>
      </w:pPr>
      <w:r>
        <w:rPr>
          <w:color w:val="000000"/>
        </w:rPr>
        <w:t>Totodată, instanța observă că, în principiu, reclamanţii intră în categoria persoanelor care ar putea, sub rezerva îndeplinirii unor formalități punctuale, să primească compensații/ajutoare de stat, de unde concluzia existenței calităţii procesuale active a acestora în promovarea prezentei acțiuni și posibilitatea ca ei să sufere o vătămare prin adoptarea actului normativ contestat în prezenta cauză.</w:t>
      </w:r>
    </w:p>
    <w:p w14:paraId="44F9BD01" w14:textId="77777777" w:rsidR="00F45014" w:rsidRDefault="0057192D">
      <w:pPr>
        <w:spacing w:line="259" w:lineRule="auto"/>
        <w:ind w:firstLine="720"/>
        <w:jc w:val="both"/>
        <w:rPr>
          <w:color w:val="000000"/>
        </w:rPr>
      </w:pPr>
      <w:r>
        <w:rPr>
          <w:color w:val="000000"/>
        </w:rPr>
        <w:t>În consecinţă, instanţa va respinge şi această excepţie, ca fiind neîntemeiată.</w:t>
      </w:r>
    </w:p>
    <w:p w14:paraId="3BD4B5F1" w14:textId="424E2C10" w:rsidR="00F45014" w:rsidRDefault="0057192D">
      <w:pPr>
        <w:ind w:firstLine="708"/>
        <w:jc w:val="both"/>
      </w:pPr>
      <w:r>
        <w:rPr>
          <w:color w:val="000000"/>
        </w:rPr>
        <w:t>Pe fondul cauzei, instanţa reţine că, p</w:t>
      </w:r>
      <w:r>
        <w:t xml:space="preserve">rin cererea de chemare în judecată, astfel cum a fost precizată ulterior, reclamanţii </w:t>
      </w:r>
      <w:r w:rsidR="00F51948">
        <w:t>A1</w:t>
      </w:r>
      <w:r>
        <w:t xml:space="preserve">, </w:t>
      </w:r>
      <w:r w:rsidR="00F51948">
        <w:t>A2</w:t>
      </w:r>
      <w:r>
        <w:t xml:space="preserve">, </w:t>
      </w:r>
      <w:r w:rsidR="00F51948">
        <w:t>A3</w:t>
      </w:r>
      <w:r>
        <w:t xml:space="preserve">, </w:t>
      </w:r>
      <w:r w:rsidR="00F51948">
        <w:t>A5</w:t>
      </w:r>
      <w:r>
        <w:t xml:space="preserve">, </w:t>
      </w:r>
      <w:r w:rsidR="00F51948">
        <w:t>A4</w:t>
      </w:r>
      <w:r>
        <w:t xml:space="preserve"> au solicitat, anularea în parte a Hotărârii nr. 1370 din 9 noiembrie 2022, publicată în Monitorul Oficial Nr. 1087 din 10 noiembrie 2022, respectiv, în parte art. 1 din Anexă - Normele metodologice, în parte Titlul Anexei nr. 1 la </w:t>
      </w:r>
      <w:r>
        <w:lastRenderedPageBreak/>
        <w:t xml:space="preserve">nomele metodologice şi în parte Titlul Anexei nr. 2 la normele metodologice în sensul înlăturării sintagmelor „beneficiarii cărora le-a fost stabilit prin hotărâri judecătoreşti definitive dreptul de a beneficia de despăgubiri”, prevăzute la art. 1 din Anexă - Normele metodologice, respectiv „beneficiarii cărora le-a fost stabilit acest drept prin hotărâri judecătoreşti definitive” din Titlul Anexei nr. 1 la nomele metodologice şi din Titlul Anexei nr. 2 la normele metodologice. </w:t>
      </w:r>
    </w:p>
    <w:p w14:paraId="6A54AB93" w14:textId="77777777" w:rsidR="00F45014" w:rsidRDefault="0057192D">
      <w:pPr>
        <w:ind w:firstLine="720"/>
        <w:jc w:val="both"/>
      </w:pPr>
      <w:r>
        <w:t xml:space="preserve">În prealabil, trebuie observat că, prin Hotărârea de Guvern nr. 1370 din 9 noiembrie 2022, publicată în Monitorul Oficial Nr. 1087 din 10 noiembrie 2022, Guvernul României a aprobat Normele Metodologice de acordare a contravalorii compensațiilor cuvenite în perioada 2010-2013 pentru masa lemnoasă nerecoltată din cauza funcțiilor de protecție stabilite prin amenajamente silvice, aferente acoperirii costurilor reclamate de gestionarea durabilă a pădurilor situate în siturile de importanță comunitară Natura 2000, pentru punerea în executare a hotărârilor judecătorești definitive. </w:t>
      </w:r>
    </w:p>
    <w:p w14:paraId="4D471C1D" w14:textId="01A61645" w:rsidR="00F45014" w:rsidRDefault="0057192D">
      <w:pPr>
        <w:ind w:firstLine="720"/>
        <w:jc w:val="both"/>
      </w:pPr>
      <w:r>
        <w:t xml:space="preserve">Conform prevederilor notei de fundamentare a acestui normativ, actul în cauză a fost adoptat ca urmare a Deciziei civile nr. </w:t>
      </w:r>
      <w:r w:rsidR="00217CA5">
        <w:t>.../....2021</w:t>
      </w:r>
      <w:r>
        <w:t xml:space="preserve"> și a Deciziei civile nr. </w:t>
      </w:r>
      <w:r w:rsidR="00217CA5">
        <w:t>...</w:t>
      </w:r>
      <w:r>
        <w:t>/</w:t>
      </w:r>
      <w:r w:rsidR="00217CA5">
        <w:t>...2020</w:t>
      </w:r>
      <w:r>
        <w:t xml:space="preserve">, pronunțate de Înalta Curte de Casație și Justiție, Secția Contencios Administrativ și Fiscal în dosarele nr. </w:t>
      </w:r>
      <w:r w:rsidR="00942341">
        <w:t>.../.../2017</w:t>
      </w:r>
      <w:r>
        <w:t xml:space="preserve">, respectiv nr. </w:t>
      </w:r>
      <w:r w:rsidR="00217CA5">
        <w:t>.../.../2017</w:t>
      </w:r>
      <w:r>
        <w:t xml:space="preserve">. </w:t>
      </w:r>
    </w:p>
    <w:p w14:paraId="3C0E6C16" w14:textId="35141580" w:rsidR="00F45014" w:rsidRDefault="0057192D">
      <w:pPr>
        <w:ind w:firstLine="720"/>
        <w:jc w:val="both"/>
      </w:pPr>
      <w:r>
        <w:t xml:space="preserve">Aşa fiind, Hotărârea de Guvern nr. 1370/2022, a fost adoptat pentru punerea în executare a Deciziei nr. </w:t>
      </w:r>
      <w:r w:rsidR="00217CA5">
        <w:t>.../....2021</w:t>
      </w:r>
      <w:r>
        <w:t xml:space="preserve">, pronunţată de Înalta Curte de Casație și Justiție, Secția Contencios Administrativ și Fiscal în dosarul nr. </w:t>
      </w:r>
      <w:r w:rsidR="00217CA5">
        <w:t>.../.../2017</w:t>
      </w:r>
      <w:r>
        <w:t xml:space="preserve"> și a Deciziei nr. </w:t>
      </w:r>
      <w:r w:rsidR="00217CA5">
        <w:t>...</w:t>
      </w:r>
      <w:r>
        <w:t>/</w:t>
      </w:r>
      <w:r w:rsidR="00217CA5">
        <w:t>...2020</w:t>
      </w:r>
      <w:r>
        <w:t xml:space="preserve">, pronunțată de Înalta Curte de Casație și Justiție, Secția Contencios Administrativ și Fiscal în dosarul înregistrat sub nr. </w:t>
      </w:r>
      <w:r w:rsidR="00217CA5">
        <w:t>.../.../2017</w:t>
      </w:r>
      <w:r>
        <w:t>.</w:t>
      </w:r>
    </w:p>
    <w:p w14:paraId="105562E2" w14:textId="5098B7E7" w:rsidR="00F45014" w:rsidRDefault="0057192D">
      <w:pPr>
        <w:ind w:firstLine="720"/>
        <w:jc w:val="both"/>
      </w:pPr>
      <w:r>
        <w:t xml:space="preserve">Instanţa reţine că, prin Decizia nr. </w:t>
      </w:r>
      <w:r w:rsidR="00217CA5">
        <w:t>...</w:t>
      </w:r>
      <w:r>
        <w:t>/</w:t>
      </w:r>
      <w:r w:rsidR="00217CA5">
        <w:t>...2020</w:t>
      </w:r>
      <w:r>
        <w:t xml:space="preserve">, pronunțată de Înalta Curte de Casație și Justiție, Secția Contencios Administrativ și Fiscal în dosarul înregistrat sub nr. </w:t>
      </w:r>
      <w:r w:rsidR="00217CA5">
        <w:t>.../.../2017</w:t>
      </w:r>
      <w:r>
        <w:t xml:space="preserve"> a fost respins recursul declarat de pârâtul Guvernul României împotriva sentinţei nr. </w:t>
      </w:r>
      <w:r w:rsidR="00942341">
        <w:t>.../...2018</w:t>
      </w:r>
      <w:r>
        <w:t xml:space="preserve">, pronunţată de Curtea de Apel </w:t>
      </w:r>
      <w:r w:rsidR="00217CA5">
        <w:t>....</w:t>
      </w:r>
      <w:r>
        <w:t xml:space="preserve">, Secția Contencios Administrativ și Fiscal, iar prin sentinţa recurată, prima instanță a admis în parte acțiunea formulată de </w:t>
      </w:r>
      <w:r w:rsidR="00B9612A">
        <w:t>D2</w:t>
      </w:r>
      <w:r>
        <w:t xml:space="preserve"> în contradictoriu cu pârâtul Guvernul României și a obligat pârâtul Guvernul României „să adopte o hotărâre de Guvern pentru aprobarea normelor metodologice de acordare, utilizare și control al compensațiilor reprezentând contravaloarea produselor pe care proprietarii nu le recoltează datorită funcțiilor de protecție stabilite prin amenajamente silvice care determină restricții în recoltarea de masă lemnoasă, respectiv a proiectului de Hotărâre de Guvern avizată de Guvern în Comisia Europeană care a stat la baza emiterii Deciziei nr. C (2012) 5166 final/19.07.2012”. </w:t>
      </w:r>
    </w:p>
    <w:p w14:paraId="36BF383E" w14:textId="77777777" w:rsidR="00F45014" w:rsidRDefault="0057192D">
      <w:pPr>
        <w:ind w:firstLine="720"/>
        <w:jc w:val="both"/>
      </w:pPr>
      <w:r>
        <w:t>Relevant în cauză este că, prin această sentinţă, definitivă prin respingerea recursului, instanţa a stabilit, definitiv, în sarcina pârâtului Guvernul României obligaţia de a adopta o hotărâre de Guvern pentru aprobarea normelor metodologice de acordare, utilizare și control al compensațiilor reprezentând contravaloarea produselor pe care proprietarii nu le recoltează datorită funcțiilor de protecție stabilite prin amenajamente silvice care determină restricții în recoltarea de masă lemnoasă, respectiv a proiectului de Hotărâre de Guvern avizată de Guvern în Comisia Europeană care a stat la baza emiterii Deciziei nr. C (2012) 5166 final/19.07.2012.</w:t>
      </w:r>
    </w:p>
    <w:p w14:paraId="60DD6894" w14:textId="77777777" w:rsidR="00F45014" w:rsidRDefault="0057192D">
      <w:pPr>
        <w:ind w:firstLine="720"/>
        <w:jc w:val="both"/>
      </w:pPr>
      <w:r>
        <w:t>Hotărârea de Guvern nr. 1370/2022 trebuie să se conformeze întocmai dispozitivului acestei sentinţe iar hotărârea urmând a se aplica tuturor proprietarilor care au restricţii în recoltarea de masă lemnoasă şi nu doar beneficiarilor cărora le-a fost stabilit prin hotărâri judecătoreşti definitive dreptul de a beneficia de despăgubiri.</w:t>
      </w:r>
    </w:p>
    <w:p w14:paraId="2901EF9A" w14:textId="77777777" w:rsidR="00F45014" w:rsidRDefault="0057192D">
      <w:pPr>
        <w:spacing w:line="259" w:lineRule="auto"/>
        <w:ind w:firstLine="709"/>
        <w:jc w:val="both"/>
      </w:pPr>
      <w:r>
        <w:t>În continuare, în baza obligaţiei sale care rezulta din hotărârea judecătorească definitivă cu autoritate de lucru judecat, pârâtul Guvernul României trebuia să adopte un act administrativ cu caracter normativ care să cuprindă reglementări formulate abstract, de principiu cu caracter obligatoriu pentru un număr nedeterminat de persoane sau situaţii care se încadrează în ipoteza normei pe care o instituie, determinate fiind numai criteriile pentru stabilirea sferei destinatarilor, iar nu fiecare beneficiar în parte.</w:t>
      </w:r>
    </w:p>
    <w:p w14:paraId="4A51A7C2" w14:textId="77777777" w:rsidR="00F45014" w:rsidRDefault="0057192D">
      <w:pPr>
        <w:ind w:firstLine="708"/>
        <w:jc w:val="both"/>
      </w:pPr>
      <w:r>
        <w:t xml:space="preserve">Natura juridică de act administrativ cu caracter normativ, la adoptarea căruia a fost obligat pârâtul rezultă şi din dispoziţiile art. 97 alin. 1 lit. b) din Legea nr. 46/2008, Codul silvic </w:t>
      </w:r>
      <w:r>
        <w:lastRenderedPageBreak/>
        <w:t>care prevede: „(1) În scopul gestionării durabile a fondului forestier proprietate privată a persoanelor fizice și juridice și a celui proprietate publică și privată a unităților administrativ-teritoriale, statul alocă anual de la buget, prin bugetul autorității publice centrale care răspunde de silvicultură, sume pentru:… b) acordarea unor compensaţii*) reprezentând contravaloarea produselor pe care proprietarii nu le recoltează, datorită funcţiilor de protecţie stabilite prin amenajamente silvice care determină restricţii în recoltarea de masă lemnoasă.”, respectiv din prevederile articolul 99 din același act normativ, potrivit căruia „Normele metodologice de acordare, utilizare şi control al sumelor anuale prevăzute la art. 98 se aprobă prin hotărâre a Guvernului, la propunerea autorităţii publice centrale care răspunde de silvicultură, în termen de 90 de zile de la data intrării în vigoare a prezentului cod.”</w:t>
      </w:r>
    </w:p>
    <w:p w14:paraId="399D9BE3" w14:textId="4A2818F9" w:rsidR="00F45014" w:rsidRDefault="0057192D">
      <w:pPr>
        <w:ind w:firstLine="708"/>
        <w:jc w:val="both"/>
      </w:pPr>
      <w:r>
        <w:t xml:space="preserve">În condiţiile în care pârâtul nu a elaborat astfel de Norme metodologice, instanţa de judecată, la iniţiativa reclamantelor </w:t>
      </w:r>
      <w:r w:rsidR="00B9612A">
        <w:t>D1</w:t>
      </w:r>
      <w:r>
        <w:t xml:space="preserve">, respectiv </w:t>
      </w:r>
      <w:r w:rsidR="005C08B7">
        <w:t>D2</w:t>
      </w:r>
      <w:r>
        <w:t xml:space="preserve"> a dispus obligarea acestuia la adoptarea acestor norme metodologice prin cele 2 Decizii: Decizia nr. </w:t>
      </w:r>
      <w:r w:rsidR="00217CA5">
        <w:t>.../....2021</w:t>
      </w:r>
      <w:r>
        <w:t xml:space="preserve">, pronunţată de Înalta Curte de Casație și Justiție, Secția Contencios Administrativ și Fiscal în dosarul nr. </w:t>
      </w:r>
      <w:r w:rsidR="00217CA5">
        <w:t>.../.../2017</w:t>
      </w:r>
      <w:r>
        <w:t xml:space="preserve">, respectiv Decizia nr. </w:t>
      </w:r>
      <w:r w:rsidR="00217CA5">
        <w:t>...</w:t>
      </w:r>
      <w:r>
        <w:t>/</w:t>
      </w:r>
      <w:r w:rsidR="00217CA5">
        <w:t>...2020</w:t>
      </w:r>
      <w:r>
        <w:t xml:space="preserve">, pronunțată de Înalta Curte de Casație și Justiție, Secția Contencios Administrativ și Fiscal în dosarul înregistrat sub nr. </w:t>
      </w:r>
      <w:r w:rsidR="00217CA5">
        <w:t>.../.../2017</w:t>
      </w:r>
      <w:r>
        <w:t>.</w:t>
      </w:r>
    </w:p>
    <w:p w14:paraId="6E722835" w14:textId="1D6FBBA0" w:rsidR="00F45014" w:rsidRDefault="0057192D">
      <w:pPr>
        <w:ind w:firstLine="720"/>
        <w:jc w:val="both"/>
      </w:pPr>
      <w:r>
        <w:t xml:space="preserve">De asemenea, prin Decizia nr. </w:t>
      </w:r>
      <w:r w:rsidR="00217CA5">
        <w:t>...</w:t>
      </w:r>
      <w:r>
        <w:t xml:space="preserve">/16 ianuarie 2021, pronunțată de Înalta Curte de Casație și Justiție în dosarul înregistrat sub nr. </w:t>
      </w:r>
      <w:r w:rsidR="00942341">
        <w:t>.../.../2017</w:t>
      </w:r>
      <w:r>
        <w:t xml:space="preserve">, în soluționarea recursului declarat împotriva sentinței civile nr. </w:t>
      </w:r>
      <w:r w:rsidR="00942341">
        <w:t>...</w:t>
      </w:r>
      <w:r>
        <w:t>/</w:t>
      </w:r>
      <w:r w:rsidR="00942341">
        <w:t>...</w:t>
      </w:r>
      <w:r>
        <w:t xml:space="preserve"> 2018, pronunțată de Curtea de Apel </w:t>
      </w:r>
      <w:r w:rsidR="00217CA5">
        <w:t>....</w:t>
      </w:r>
      <w:r>
        <w:t xml:space="preserve">, Secția Contencios Administrativ și Fiscal, instanța, casând sentința și rejudecând cauza, „a admis acțiunea reclamantei </w:t>
      </w:r>
      <w:r w:rsidR="00E7297E">
        <w:t>D1</w:t>
      </w:r>
      <w:r>
        <w:t xml:space="preserve"> și a obligat Guvernul României la adoptarea hotărârii de Guvern pentru aprobarea Normelor Metodologice de acordare, utilizare și control a compensațiilor reprezentând contravaloarea produselor pe care proprietarii nu le recoltează, datorită funcțiilor de protecție stabilite prin amenajamente silvice care determină restricții în recoltarea de masă lemnoasă, în vederea soluționării cererii privind compensațiile aferente perioadei 2010-2013, formulate de reclamantă”. </w:t>
      </w:r>
    </w:p>
    <w:p w14:paraId="2C7D63CE" w14:textId="77777777" w:rsidR="00F45014" w:rsidRDefault="0057192D">
      <w:pPr>
        <w:ind w:firstLine="720"/>
        <w:jc w:val="both"/>
      </w:pPr>
      <w:r>
        <w:t xml:space="preserve">Cu toate că, în nota de fundamentare se face trimitere la cele dispuse prin cele două hotărâri judecătorești, în cuprinsul art. 1 din H.G nr. 1370/2022 se statuează că „Prezentele norme se aplică beneficiarilor cărora le-a fost stabilit prin hotărâri judecătorești definitive dreptul de a beneficia de despăgubiri reprezentând contravaloarea compensațiilor pentru masa lemnoasă nerecoltată din cauza funcțiilor de protecție stabilite prin amenajamente silvice pentru suprafețele de păduri încadrate în tipurile funcționale T1 și T2, stabilite conform normelor tehnice pentru amenajarea pădurilor incluse în rețeaua ecologică europeană NATURA 2000, care determină restricții în recoltarea masei lemnoase”. </w:t>
      </w:r>
    </w:p>
    <w:p w14:paraId="616A94B3" w14:textId="77777777" w:rsidR="00F45014" w:rsidRDefault="0057192D">
      <w:pPr>
        <w:ind w:firstLine="720"/>
        <w:jc w:val="both"/>
      </w:pPr>
      <w:r>
        <w:t>Instanţa reţine că, deși în conținutul H.G nr. 1370/2022 se arată scopul emiterii actului ca fiind punerea în aplicare a celor două hotărâri judecătorești, conţinutul acestui act normativ nu reflectă cele stabilite definitiv de instanţă.</w:t>
      </w:r>
    </w:p>
    <w:p w14:paraId="50D78013" w14:textId="77777777" w:rsidR="00F45014" w:rsidRDefault="0057192D">
      <w:pPr>
        <w:ind w:firstLine="720"/>
        <w:jc w:val="both"/>
      </w:pPr>
      <w:r>
        <w:t>Totodată, instanţa mai reţine că, nu poate fi identificată nicio justificare rezonabilă pentru care, la elaborarea H.G. nr. 1370/2022, pârâtul a avut în vedere toți beneficiarii cărora le-a fost stabilit prin hotărâri judecătorești definitive dreptul de a beneficia de despăgubiri reprezentând contravaloarea compensațiilor pentru masa lemnoasă nerecoltată din cauza funcțiilor de protecție stabilite prin amenajamente silvice pentru suprafețele de păduri încadrate în tipurile funcționale T1 și T2, stabilite conform normelor tehnice pentru amenajarea pădurilor, incluse în rețeaua ecologică europeană Natura 2000, care determină restricții de recoltarea masei lemnoase, iar nu proprietarii de astfel de suprafeţe de păduri care determină restricţii în recoltarea de masă lemnoasă, astfel cum s-a stabilit prin hotărârile judecătoreşti menţionate mai înainte.</w:t>
      </w:r>
    </w:p>
    <w:p w14:paraId="76594C10" w14:textId="1A8D0630" w:rsidR="00F45014" w:rsidRDefault="0057192D">
      <w:pPr>
        <w:ind w:firstLine="720"/>
        <w:jc w:val="both"/>
      </w:pPr>
      <w:r>
        <w:t xml:space="preserve">Faţă de cele arătate mai sus, instanța va anula în parte în parte Hotărârea nr. 1370 din 9 noiembrie 2022, publicată în Monitorul Oficial Nr. 1087 din 10 noiembrie 2022, respectiv, în parte art. 1 din Anexă - Normele metodologice, în parte Titlul Anexei nr. 1 la nomele metodologice şi în parte Titlul Anexei nr. 2 la normele metodologice în sensul că: Înlătură sintagmele „beneficiarii cărora le-a fost stabilit prin hotărâri judecătoreşti definitive dreptul de a beneficia de despăgubiri”, prevăzut la art. 1 din Anexă - Normele metodologice, respectiv </w:t>
      </w:r>
      <w:r>
        <w:lastRenderedPageBreak/>
        <w:t>„beneficiarii cărora le-a fost stabilit acest drept prin hotărâri judecătoreşti definitive” din Titlul Anexei nr. 1 la nomele metodologice şi din Titlul Anexei nr. 2 la normele metodologice</w:t>
      </w:r>
      <w:r>
        <w:rPr>
          <w:color w:val="0B3857"/>
        </w:rPr>
        <w:t xml:space="preserve"> </w:t>
      </w:r>
      <w:r>
        <w:t xml:space="preserve">urmând ca pârâtul să adopte un nou act normativ care să fie in acord cu cele statuate definitiv prin decizia nr. </w:t>
      </w:r>
      <w:r w:rsidR="00217CA5">
        <w:t>...</w:t>
      </w:r>
      <w:r>
        <w:t>/</w:t>
      </w:r>
      <w:r w:rsidR="00217CA5">
        <w:t>...2020</w:t>
      </w:r>
      <w:r>
        <w:t xml:space="preserve">, pronunțată de Înalta Curte de Casație și Justiție, Secția Contencios Administrativ și Fiscal în dosarul înregistrat sub nr. </w:t>
      </w:r>
      <w:r w:rsidR="00217CA5">
        <w:t>.../.../2017</w:t>
      </w:r>
      <w:r>
        <w:t xml:space="preserve"> prin care a fost respins recursul declarat de pârâtul Guvernul României împotriva sentinţei nr. </w:t>
      </w:r>
      <w:r w:rsidR="00942341">
        <w:t>.../...2018</w:t>
      </w:r>
      <w:r>
        <w:t xml:space="preserve">, pronunţată de Curtea de Apel </w:t>
      </w:r>
      <w:r w:rsidR="00217CA5">
        <w:t>....</w:t>
      </w:r>
      <w:r>
        <w:t xml:space="preserve">, Secția Contencios Administrativ și Fiscal, hotărâre prin care a fost admis în parte acțiunea formulată de </w:t>
      </w:r>
      <w:r w:rsidR="00B9612A">
        <w:t>D2</w:t>
      </w:r>
      <w:r>
        <w:t xml:space="preserve"> în contradictoriu cu pârâtul Guvernul României și obligat pârâtul Guvernul României „să adopte o hotărâre de Guvern pentru aprobarea normelor metodologice de acordare, utilizare și control al compensațiilor reprezentând contravaloarea produselor pe care proprietarii nu le recoltează datorită funcțiilor de protecție stabilite prin amenajamente silvice care determină restricții în recoltarea de masă lemnoasă, respectiv a proiectului de Hotărâre de Guvern avizată de Guvern în Comisia Europeană care a stat la baza emiterii Deciziei nr. C (2012) 5166 final/19.07.2012”. </w:t>
      </w:r>
    </w:p>
    <w:p w14:paraId="5AC808FB" w14:textId="26572287" w:rsidR="00F45014" w:rsidRDefault="0057192D">
      <w:pPr>
        <w:ind w:firstLine="708"/>
        <w:jc w:val="both"/>
      </w:pPr>
      <w:r>
        <w:t xml:space="preserve">În temeiul art. 453 din Codul de procedură civilă, instanța va admite cererea de acordare a cheltuielilor de judecată, ca o consecință a admiterii acțiunii pârâtul Guvernul României şi intervenientul accesoriu Ministerul Mediului, Apelor şi Pădurilor se află în culpă procesuală şi va obliga pârâtul Guvernul României şi intervenientul accesoriu Ministerul Mediului, Apelor şi Pădurilor, în solidar, la plata către fiecare reclamant  a sumei de 5.160,80 lei, cu titlu de cheltuieli de judecată din care 150 lei, taxa judiciară de timbru, 60,80 lei cheltuieli de combustibil conform bonului fiscal (fila 50 în dosar vol. III), 4950 lei, reprezentând onorariu de avocat conform chitanţelor </w:t>
      </w:r>
      <w:r w:rsidR="00942341">
        <w:t>...</w:t>
      </w:r>
      <w:r>
        <w:t xml:space="preserve">/01.09.2023, </w:t>
      </w:r>
      <w:r w:rsidR="00942341">
        <w:t>...</w:t>
      </w:r>
      <w:r>
        <w:t xml:space="preserve">/01.09.2023, </w:t>
      </w:r>
      <w:r w:rsidR="00942341">
        <w:t>...</w:t>
      </w:r>
      <w:r>
        <w:t xml:space="preserve">/01.09.2023, </w:t>
      </w:r>
      <w:r w:rsidR="00942341">
        <w:t>...</w:t>
      </w:r>
      <w:r>
        <w:t xml:space="preserve">/02.09.2023, </w:t>
      </w:r>
      <w:r w:rsidR="00942341">
        <w:t>...</w:t>
      </w:r>
      <w:r>
        <w:t xml:space="preserve">/02.09.2023 (filele 45 - 49 în dosar vol. III). </w:t>
      </w:r>
    </w:p>
    <w:p w14:paraId="470D7919" w14:textId="77777777" w:rsidR="00F45014" w:rsidRDefault="0057192D">
      <w:pPr>
        <w:tabs>
          <w:tab w:val="left" w:pos="0"/>
        </w:tabs>
        <w:ind w:hanging="426"/>
        <w:jc w:val="center"/>
        <w:rPr>
          <w:b/>
        </w:rPr>
      </w:pPr>
      <w:r>
        <w:rPr>
          <w:b/>
        </w:rPr>
        <w:t xml:space="preserve">      </w:t>
      </w:r>
    </w:p>
    <w:p w14:paraId="6AEB8DD8" w14:textId="77777777" w:rsidR="00F45014" w:rsidRDefault="0057192D">
      <w:pPr>
        <w:tabs>
          <w:tab w:val="left" w:pos="0"/>
        </w:tabs>
        <w:ind w:hanging="426"/>
        <w:jc w:val="center"/>
        <w:rPr>
          <w:b/>
        </w:rPr>
      </w:pPr>
      <w:r>
        <w:rPr>
          <w:b/>
        </w:rPr>
        <w:t>PENTRU ACESTE MOTIVE,</w:t>
      </w:r>
      <w:r>
        <w:rPr>
          <w:b/>
        </w:rPr>
        <w:br/>
        <w:t>ÎN NUMELE LEGII</w:t>
      </w:r>
    </w:p>
    <w:p w14:paraId="69AD8889" w14:textId="77777777" w:rsidR="00F45014" w:rsidRDefault="0057192D">
      <w:pPr>
        <w:tabs>
          <w:tab w:val="left" w:pos="426"/>
        </w:tabs>
        <w:jc w:val="center"/>
        <w:rPr>
          <w:b/>
        </w:rPr>
      </w:pPr>
      <w:r>
        <w:rPr>
          <w:b/>
        </w:rPr>
        <w:t>HOTĂRĂŞTE</w:t>
      </w:r>
    </w:p>
    <w:p w14:paraId="415BCD5B" w14:textId="77777777" w:rsidR="00F45014" w:rsidRDefault="00F45014">
      <w:pPr>
        <w:tabs>
          <w:tab w:val="left" w:pos="426"/>
        </w:tabs>
        <w:ind w:firstLine="709"/>
        <w:jc w:val="center"/>
      </w:pPr>
    </w:p>
    <w:p w14:paraId="79E1F0E0" w14:textId="77777777" w:rsidR="00F45014" w:rsidRDefault="0057192D">
      <w:pPr>
        <w:tabs>
          <w:tab w:val="left" w:pos="426"/>
        </w:tabs>
        <w:ind w:firstLine="709"/>
        <w:jc w:val="both"/>
      </w:pPr>
      <w:r>
        <w:t xml:space="preserve">Respinge excepţia netimbrării cererii de chemare în judecată, excepţia lipsei de interes, excepţia lipsei calităţii procesuale active şi excepţia prescripţiei dreptului, invocate prin întâmpinare, ca nefondate. </w:t>
      </w:r>
    </w:p>
    <w:p w14:paraId="6BE2B2E4" w14:textId="1B6C69FB" w:rsidR="00F45014" w:rsidRDefault="0057192D">
      <w:pPr>
        <w:tabs>
          <w:tab w:val="left" w:pos="426"/>
        </w:tabs>
        <w:ind w:firstLine="709"/>
        <w:jc w:val="both"/>
      </w:pPr>
      <w:r>
        <w:t xml:space="preserve"> Admite cererea de chemare în judecată, astfel cum a fost precizată, formulată de reclamanţii </w:t>
      </w:r>
      <w:r w:rsidR="00F51948">
        <w:t>A1</w:t>
      </w:r>
      <w:r>
        <w:t xml:space="preserve"> (cu sediul în </w:t>
      </w:r>
      <w:r w:rsidR="00F51948">
        <w:t>..............................................</w:t>
      </w:r>
      <w:r>
        <w:t xml:space="preserve"> şi cu sediul procesual ales în </w:t>
      </w:r>
      <w:r w:rsidR="00F51948">
        <w:t>..............................................</w:t>
      </w:r>
      <w:r>
        <w:t xml:space="preserve">) şi </w:t>
      </w:r>
      <w:r w:rsidR="00F51948">
        <w:t>A2</w:t>
      </w:r>
      <w:r>
        <w:t xml:space="preserve"> (cu sediul în </w:t>
      </w:r>
      <w:r w:rsidR="00F51948">
        <w:t>..............................................</w:t>
      </w:r>
      <w:r>
        <w:t xml:space="preserve"> şi cu sediul procesual ales în </w:t>
      </w:r>
      <w:r w:rsidR="00F51948">
        <w:t>..............................................</w:t>
      </w:r>
      <w:r>
        <w:t xml:space="preserve">), </w:t>
      </w:r>
      <w:r w:rsidR="00F51948">
        <w:t>A3</w:t>
      </w:r>
      <w:r>
        <w:t xml:space="preserve"> (cu sediul în </w:t>
      </w:r>
      <w:r w:rsidR="00F51948">
        <w:t>..............................................</w:t>
      </w:r>
      <w:r>
        <w:t xml:space="preserve"> şi cu sediul procesual ales în </w:t>
      </w:r>
      <w:r w:rsidR="00F51948">
        <w:t>..............................................</w:t>
      </w:r>
      <w:r>
        <w:t xml:space="preserve">), </w:t>
      </w:r>
      <w:r w:rsidR="005C08B7">
        <w:t>A5</w:t>
      </w:r>
      <w:r>
        <w:t xml:space="preserve"> (cu sediul în </w:t>
      </w:r>
      <w:r w:rsidR="00F51948">
        <w:t>..............................................</w:t>
      </w:r>
      <w:r>
        <w:t xml:space="preserve"> şi cu sediul procesual ales în </w:t>
      </w:r>
      <w:r w:rsidR="00F51948">
        <w:t>..............................................</w:t>
      </w:r>
      <w:r>
        <w:t xml:space="preserve">), </w:t>
      </w:r>
      <w:r w:rsidR="00F51948">
        <w:t>A4</w:t>
      </w:r>
      <w:r>
        <w:t xml:space="preserve"> (cu sediul în </w:t>
      </w:r>
      <w:r w:rsidR="00F51948">
        <w:t>..............................................</w:t>
      </w:r>
      <w:r>
        <w:t xml:space="preserve"> şi cu sediul procesual ales în </w:t>
      </w:r>
      <w:r w:rsidR="00F51948">
        <w:t>..............................................</w:t>
      </w:r>
      <w:r>
        <w:t xml:space="preserve">)   în contradictoriu cu pârâtul Guvernul României (cu sediul în </w:t>
      </w:r>
      <w:r w:rsidR="00F51948">
        <w:t>..............................................</w:t>
      </w:r>
      <w:r>
        <w:t xml:space="preserve">) şi cu intervenientul accesorie Ministerul Mediului, Apelor şi Pădurilor (cu sediul în </w:t>
      </w:r>
      <w:r w:rsidR="00F51948">
        <w:t>..........................</w:t>
      </w:r>
      <w:r>
        <w:t xml:space="preserve">). </w:t>
      </w:r>
    </w:p>
    <w:p w14:paraId="72F5B5DC" w14:textId="77777777" w:rsidR="00F45014" w:rsidRDefault="0057192D">
      <w:pPr>
        <w:tabs>
          <w:tab w:val="left" w:pos="426"/>
        </w:tabs>
        <w:ind w:firstLine="709"/>
        <w:jc w:val="both"/>
      </w:pPr>
      <w:r>
        <w:t xml:space="preserve">Anulează în parte Hotărârea nr. 1370 din 9 noiembrie 2022, publicată în Monitorul Oficial Nr. 1087 din 10 noiembrie 2022, respectiv, în parte art. 1 din Anexă - Normele metodologice, în parte Titlul Anexei nr. 1 la nomele metodologice şi în parte Titlul Anexei nr. 2 la normele metodologice în sensul că: Înlătură sintagmele „beneficiarii cărora le-a fost stabilit prin hotărâri judecătoreşti definitive dreptul de a beneficia de despăgubiri”, prevăzut la art. 1 din Anexă - Normele metodologice, respectiv „beneficiarii cărora le-a fost stabilit acest drept prin hotărâri judecătoreşti definitive” din Titlul Anexei nr. 1 la nomele metodologice şi din Titlul Anexei nr. 2 la normele metodologice. </w:t>
      </w:r>
    </w:p>
    <w:p w14:paraId="574E9B74" w14:textId="77777777" w:rsidR="00F45014" w:rsidRDefault="0057192D">
      <w:pPr>
        <w:tabs>
          <w:tab w:val="left" w:pos="426"/>
        </w:tabs>
        <w:ind w:firstLine="709"/>
        <w:jc w:val="both"/>
      </w:pPr>
      <w:r>
        <w:t xml:space="preserve">Admite cererea reclamanţilor de obligare a pârâtului Guvernul României şi a intervenientului accesorie Ministerul Mediului, Apelor şi Pădurilor la plata cheltuielilor de judecată în solidar. </w:t>
      </w:r>
    </w:p>
    <w:p w14:paraId="7DAE8595" w14:textId="3DDFCD60" w:rsidR="00F45014" w:rsidRDefault="0057192D">
      <w:pPr>
        <w:tabs>
          <w:tab w:val="left" w:pos="426"/>
        </w:tabs>
        <w:ind w:firstLine="709"/>
        <w:jc w:val="both"/>
      </w:pPr>
      <w:r>
        <w:lastRenderedPageBreak/>
        <w:t xml:space="preserve"> Obligă pârâtul Guvernul României şi  intervenientul accesorie Ministerul Mediului, Apelor şi Pădurilor, în solidar, la plata către reclamantul </w:t>
      </w:r>
      <w:r w:rsidR="00F51948">
        <w:t>A1</w:t>
      </w:r>
      <w:r>
        <w:t xml:space="preserve"> a sumei de 5.160,80 lei, cu titlu de cheltuieli de judecată. </w:t>
      </w:r>
    </w:p>
    <w:p w14:paraId="2B479A2B" w14:textId="78D3A5DA" w:rsidR="00F45014" w:rsidRDefault="0057192D">
      <w:pPr>
        <w:tabs>
          <w:tab w:val="left" w:pos="426"/>
        </w:tabs>
        <w:ind w:firstLine="709"/>
        <w:jc w:val="both"/>
      </w:pPr>
      <w:r>
        <w:t xml:space="preserve">Obligă pârâtul Guvernul României şi  intervenientul accesorie Ministerul Mediului, Apelor şi Pădurilor, în solidar, la plata către reclamantul </w:t>
      </w:r>
      <w:r w:rsidR="00F51948">
        <w:t>A2</w:t>
      </w:r>
      <w:r>
        <w:t xml:space="preserve"> a sumei de 5.160,80 lei, cu titlu de cheltuieli de judecată. </w:t>
      </w:r>
    </w:p>
    <w:p w14:paraId="74F232F8" w14:textId="5795636E" w:rsidR="00F45014" w:rsidRDefault="0057192D">
      <w:pPr>
        <w:tabs>
          <w:tab w:val="left" w:pos="426"/>
        </w:tabs>
        <w:ind w:firstLine="709"/>
        <w:jc w:val="both"/>
      </w:pPr>
      <w:r>
        <w:t xml:space="preserve">Obligă pârâtul Guvernul României şi  intervenientul accesorie Ministerul Mediului, Apelor şi Pădurilor, în solidar, la plata către reclamantul </w:t>
      </w:r>
      <w:r w:rsidR="00F51948">
        <w:t>A3</w:t>
      </w:r>
      <w:r>
        <w:t xml:space="preserve"> a sumei de 5.160,80 lei, cu titlu de cheltuieli de judecată. </w:t>
      </w:r>
    </w:p>
    <w:p w14:paraId="0A9A3BA6" w14:textId="47E31C3B" w:rsidR="00F45014" w:rsidRDefault="0057192D">
      <w:pPr>
        <w:tabs>
          <w:tab w:val="left" w:pos="426"/>
        </w:tabs>
        <w:ind w:firstLine="709"/>
        <w:jc w:val="both"/>
      </w:pPr>
      <w:r>
        <w:t xml:space="preserve">Obligă pârâtul Guvernul României şi  intervenientul accesorie Ministerul Mediului, Apelor şi Pădurilor, în solidar, la plata către reclamantul </w:t>
      </w:r>
      <w:r w:rsidR="005C08B7">
        <w:t>A5</w:t>
      </w:r>
      <w:r>
        <w:t xml:space="preserve"> a sumei de 5.160,80 lei, cu titlu de cheltuieli de judecată. </w:t>
      </w:r>
    </w:p>
    <w:p w14:paraId="59EF03FA" w14:textId="68DBDF5E" w:rsidR="00F45014" w:rsidRDefault="0057192D">
      <w:pPr>
        <w:tabs>
          <w:tab w:val="left" w:pos="426"/>
        </w:tabs>
        <w:ind w:firstLine="709"/>
        <w:jc w:val="both"/>
      </w:pPr>
      <w:r>
        <w:t xml:space="preserve">Obligă pârâtul Guvernul României şi  intervenientul accesorie Ministerul Mediului, Apelor şi Pădurilor, în solidar, la plata către reclamantul </w:t>
      </w:r>
      <w:r w:rsidR="00F51948">
        <w:t>A4</w:t>
      </w:r>
      <w:r>
        <w:t xml:space="preserve"> a sumei de 5.160,80 lei, cu titlu de cheltuieli de judecată. </w:t>
      </w:r>
    </w:p>
    <w:p w14:paraId="41788242" w14:textId="77777777" w:rsidR="00F45014" w:rsidRDefault="0057192D">
      <w:pPr>
        <w:tabs>
          <w:tab w:val="left" w:pos="426"/>
        </w:tabs>
        <w:ind w:firstLine="709"/>
        <w:jc w:val="both"/>
      </w:pPr>
      <w:r>
        <w:t xml:space="preserve"> Cu drept de recurs in termen de 15 zile de la comunicare. </w:t>
      </w:r>
    </w:p>
    <w:p w14:paraId="472A0228" w14:textId="41EE964D" w:rsidR="00F45014" w:rsidRDefault="0057192D">
      <w:pPr>
        <w:tabs>
          <w:tab w:val="left" w:pos="426"/>
        </w:tabs>
        <w:ind w:firstLine="709"/>
        <w:jc w:val="both"/>
      </w:pPr>
      <w:r>
        <w:t xml:space="preserve"> Cererea de recurs se va depune la Curtea de Apel </w:t>
      </w:r>
      <w:r w:rsidR="005C08B7">
        <w:t>..........</w:t>
      </w:r>
      <w:r>
        <w:t xml:space="preserve">. </w:t>
      </w:r>
    </w:p>
    <w:p w14:paraId="31A18CC0" w14:textId="3AAC1D78" w:rsidR="00F45014" w:rsidRDefault="0057192D">
      <w:pPr>
        <w:tabs>
          <w:tab w:val="left" w:pos="426"/>
        </w:tabs>
        <w:ind w:firstLine="709"/>
        <w:jc w:val="both"/>
      </w:pPr>
      <w:r>
        <w:t xml:space="preserve"> Pronunţată prin punerea soluţiei la dispoziţia părţilor de către grefa instanţei, azi, </w:t>
      </w:r>
      <w:r w:rsidR="005C08B7">
        <w:t>..................</w:t>
      </w:r>
      <w:r>
        <w: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4" w:type="dxa"/>
          <w:bottom w:w="284" w:type="dxa"/>
        </w:tblCellMar>
        <w:tblLook w:val="04A0" w:firstRow="1" w:lastRow="0" w:firstColumn="1" w:lastColumn="0" w:noHBand="0" w:noVBand="1"/>
      </w:tblPr>
      <w:tblGrid>
        <w:gridCol w:w="3009"/>
        <w:gridCol w:w="3042"/>
        <w:gridCol w:w="3009"/>
      </w:tblGrid>
      <w:tr w:rsidR="00F45014" w14:paraId="5D0AA0F8" w14:textId="77777777">
        <w:trPr>
          <w:jc w:val="center"/>
        </w:trPr>
        <w:tc>
          <w:tcPr>
            <w:tcW w:w="3096" w:type="dxa"/>
          </w:tcPr>
          <w:p w14:paraId="1DA181E3" w14:textId="77777777" w:rsidR="00F45014" w:rsidRDefault="00F45014">
            <w:pPr>
              <w:tabs>
                <w:tab w:val="left" w:pos="426"/>
              </w:tabs>
              <w:jc w:val="center"/>
            </w:pPr>
          </w:p>
        </w:tc>
        <w:tc>
          <w:tcPr>
            <w:tcW w:w="3096" w:type="dxa"/>
          </w:tcPr>
          <w:p w14:paraId="580096AA" w14:textId="77777777" w:rsidR="00F45014" w:rsidRDefault="0057192D">
            <w:pPr>
              <w:tabs>
                <w:tab w:val="left" w:pos="426"/>
              </w:tabs>
              <w:jc w:val="center"/>
            </w:pPr>
            <w:r>
              <w:t>Preşedinte,</w:t>
            </w:r>
          </w:p>
          <w:p w14:paraId="29A0D040" w14:textId="5F6171DE" w:rsidR="00F45014" w:rsidRDefault="00F51948">
            <w:pPr>
              <w:tabs>
                <w:tab w:val="left" w:pos="426"/>
              </w:tabs>
              <w:jc w:val="center"/>
            </w:pPr>
            <w:r>
              <w:t>A0015</w:t>
            </w:r>
          </w:p>
        </w:tc>
        <w:tc>
          <w:tcPr>
            <w:tcW w:w="3096" w:type="dxa"/>
          </w:tcPr>
          <w:p w14:paraId="1961EE96" w14:textId="77777777" w:rsidR="00F45014" w:rsidRDefault="00F45014">
            <w:pPr>
              <w:tabs>
                <w:tab w:val="left" w:pos="426"/>
              </w:tabs>
              <w:jc w:val="center"/>
            </w:pPr>
          </w:p>
        </w:tc>
      </w:tr>
      <w:tr w:rsidR="00F45014" w14:paraId="597BD73B" w14:textId="77777777">
        <w:trPr>
          <w:jc w:val="center"/>
        </w:trPr>
        <w:tc>
          <w:tcPr>
            <w:tcW w:w="3096" w:type="dxa"/>
          </w:tcPr>
          <w:p w14:paraId="7BCE37EF" w14:textId="77777777" w:rsidR="00F45014" w:rsidRDefault="00F45014">
            <w:pPr>
              <w:tabs>
                <w:tab w:val="left" w:pos="426"/>
              </w:tabs>
              <w:jc w:val="center"/>
            </w:pPr>
          </w:p>
        </w:tc>
        <w:tc>
          <w:tcPr>
            <w:tcW w:w="3096" w:type="dxa"/>
          </w:tcPr>
          <w:p w14:paraId="3144D6F8" w14:textId="77777777" w:rsidR="00F45014" w:rsidRDefault="0057192D">
            <w:pPr>
              <w:tabs>
                <w:tab w:val="left" w:pos="426"/>
              </w:tabs>
              <w:jc w:val="center"/>
            </w:pPr>
            <w:r>
              <w:t>Grefier,</w:t>
            </w:r>
          </w:p>
          <w:p w14:paraId="38F7A769" w14:textId="1107EEDC" w:rsidR="00F45014" w:rsidRDefault="00F51948">
            <w:pPr>
              <w:tabs>
                <w:tab w:val="left" w:pos="426"/>
              </w:tabs>
              <w:jc w:val="center"/>
            </w:pPr>
            <w:r>
              <w:t>..................</w:t>
            </w:r>
          </w:p>
        </w:tc>
        <w:tc>
          <w:tcPr>
            <w:tcW w:w="3096" w:type="dxa"/>
          </w:tcPr>
          <w:p w14:paraId="0FDE2D48" w14:textId="77777777" w:rsidR="00F45014" w:rsidRDefault="00F45014">
            <w:pPr>
              <w:tabs>
                <w:tab w:val="left" w:pos="426"/>
              </w:tabs>
              <w:jc w:val="center"/>
            </w:pPr>
          </w:p>
        </w:tc>
      </w:tr>
    </w:tbl>
    <w:p w14:paraId="7EFCD57C" w14:textId="77777777" w:rsidR="00F45014" w:rsidRDefault="00F45014">
      <w:pPr>
        <w:tabs>
          <w:tab w:val="left" w:pos="426"/>
        </w:tabs>
        <w:jc w:val="center"/>
      </w:pPr>
    </w:p>
    <w:p w14:paraId="4496FB32" w14:textId="77777777" w:rsidR="00F45014" w:rsidRDefault="00F45014">
      <w:pPr>
        <w:tabs>
          <w:tab w:val="left" w:pos="426"/>
        </w:tabs>
        <w:ind w:firstLine="709"/>
        <w:jc w:val="center"/>
        <w:rPr>
          <w:i/>
        </w:rPr>
      </w:pPr>
    </w:p>
    <w:p w14:paraId="6F2F7E75" w14:textId="77777777" w:rsidR="00F45014" w:rsidRDefault="00F45014">
      <w:pPr>
        <w:tabs>
          <w:tab w:val="left" w:pos="426"/>
        </w:tabs>
        <w:rPr>
          <w:i/>
        </w:rPr>
      </w:pPr>
    </w:p>
    <w:p w14:paraId="0C1351C8" w14:textId="77777777" w:rsidR="00F45014" w:rsidRDefault="00F45014">
      <w:pPr>
        <w:tabs>
          <w:tab w:val="left" w:pos="426"/>
        </w:tabs>
        <w:rPr>
          <w:i/>
        </w:rPr>
      </w:pPr>
    </w:p>
    <w:p w14:paraId="5C35221F" w14:textId="77777777" w:rsidR="00F45014" w:rsidRDefault="00F45014">
      <w:pPr>
        <w:tabs>
          <w:tab w:val="left" w:pos="426"/>
        </w:tabs>
        <w:rPr>
          <w:i/>
        </w:rPr>
      </w:pPr>
    </w:p>
    <w:p w14:paraId="7D6AEF80" w14:textId="77777777" w:rsidR="00F45014" w:rsidRDefault="00F45014">
      <w:pPr>
        <w:tabs>
          <w:tab w:val="left" w:pos="426"/>
        </w:tabs>
        <w:rPr>
          <w:i/>
        </w:rPr>
      </w:pPr>
    </w:p>
    <w:p w14:paraId="0A730574" w14:textId="77777777" w:rsidR="00F45014" w:rsidRDefault="00F45014">
      <w:pPr>
        <w:tabs>
          <w:tab w:val="left" w:pos="426"/>
        </w:tabs>
        <w:rPr>
          <w:i/>
        </w:rPr>
      </w:pPr>
    </w:p>
    <w:p w14:paraId="79A4E1AB" w14:textId="77777777" w:rsidR="00F45014" w:rsidRDefault="00F45014">
      <w:pPr>
        <w:tabs>
          <w:tab w:val="left" w:pos="426"/>
        </w:tabs>
        <w:rPr>
          <w:i/>
        </w:rPr>
      </w:pPr>
    </w:p>
    <w:p w14:paraId="4572559B" w14:textId="77777777" w:rsidR="00F45014" w:rsidRDefault="00F45014">
      <w:pPr>
        <w:tabs>
          <w:tab w:val="left" w:pos="426"/>
        </w:tabs>
        <w:rPr>
          <w:i/>
        </w:rPr>
      </w:pPr>
    </w:p>
    <w:p w14:paraId="4E4AF825" w14:textId="77777777" w:rsidR="00F45014" w:rsidRDefault="00F45014">
      <w:pPr>
        <w:tabs>
          <w:tab w:val="left" w:pos="426"/>
        </w:tabs>
        <w:rPr>
          <w:i/>
        </w:rPr>
      </w:pPr>
    </w:p>
    <w:p w14:paraId="2D1E7F4E" w14:textId="77777777" w:rsidR="00F45014" w:rsidRDefault="00F45014">
      <w:pPr>
        <w:tabs>
          <w:tab w:val="left" w:pos="426"/>
        </w:tabs>
        <w:rPr>
          <w:i/>
        </w:rPr>
      </w:pPr>
    </w:p>
    <w:p w14:paraId="0606A157" w14:textId="77777777" w:rsidR="00F45014" w:rsidRDefault="00F45014">
      <w:pPr>
        <w:tabs>
          <w:tab w:val="left" w:pos="426"/>
        </w:tabs>
        <w:rPr>
          <w:i/>
        </w:rPr>
      </w:pPr>
    </w:p>
    <w:p w14:paraId="47683D74" w14:textId="77777777" w:rsidR="00F45014" w:rsidRDefault="00F45014">
      <w:pPr>
        <w:tabs>
          <w:tab w:val="left" w:pos="426"/>
        </w:tabs>
        <w:rPr>
          <w:i/>
        </w:rPr>
      </w:pPr>
    </w:p>
    <w:p w14:paraId="050A637C" w14:textId="77777777" w:rsidR="00F45014" w:rsidRDefault="00F45014">
      <w:pPr>
        <w:tabs>
          <w:tab w:val="left" w:pos="426"/>
        </w:tabs>
        <w:rPr>
          <w:i/>
        </w:rPr>
      </w:pPr>
    </w:p>
    <w:p w14:paraId="7A974570" w14:textId="77777777" w:rsidR="00F45014" w:rsidRDefault="00F45014">
      <w:pPr>
        <w:tabs>
          <w:tab w:val="left" w:pos="426"/>
        </w:tabs>
        <w:rPr>
          <w:i/>
        </w:rPr>
      </w:pPr>
    </w:p>
    <w:p w14:paraId="184FDF23" w14:textId="77777777" w:rsidR="00F45014" w:rsidRDefault="00F45014">
      <w:pPr>
        <w:tabs>
          <w:tab w:val="left" w:pos="426"/>
        </w:tabs>
        <w:rPr>
          <w:i/>
        </w:rPr>
      </w:pPr>
    </w:p>
    <w:p w14:paraId="4B300886" w14:textId="77777777" w:rsidR="00F45014" w:rsidRDefault="00F45014">
      <w:pPr>
        <w:tabs>
          <w:tab w:val="left" w:pos="426"/>
        </w:tabs>
        <w:rPr>
          <w:i/>
        </w:rPr>
      </w:pPr>
    </w:p>
    <w:p w14:paraId="0CC3C91C" w14:textId="77777777" w:rsidR="00F45014" w:rsidRDefault="00F45014">
      <w:pPr>
        <w:tabs>
          <w:tab w:val="left" w:pos="426"/>
        </w:tabs>
        <w:rPr>
          <w:i/>
        </w:rPr>
      </w:pPr>
    </w:p>
    <w:p w14:paraId="4E06F523" w14:textId="77777777" w:rsidR="00F45014" w:rsidRDefault="00F45014">
      <w:pPr>
        <w:tabs>
          <w:tab w:val="left" w:pos="426"/>
        </w:tabs>
        <w:rPr>
          <w:i/>
        </w:rPr>
      </w:pPr>
    </w:p>
    <w:p w14:paraId="7BF721DE" w14:textId="77777777" w:rsidR="00F45014" w:rsidRDefault="00F45014">
      <w:pPr>
        <w:tabs>
          <w:tab w:val="left" w:pos="426"/>
        </w:tabs>
        <w:rPr>
          <w:i/>
        </w:rPr>
      </w:pPr>
    </w:p>
    <w:p w14:paraId="52DB3FE7" w14:textId="77777777" w:rsidR="00F45014" w:rsidRDefault="00F45014">
      <w:pPr>
        <w:tabs>
          <w:tab w:val="left" w:pos="426"/>
        </w:tabs>
        <w:rPr>
          <w:i/>
        </w:rPr>
      </w:pPr>
    </w:p>
    <w:p w14:paraId="402F5D4E" w14:textId="77777777" w:rsidR="00F45014" w:rsidRDefault="00F45014">
      <w:pPr>
        <w:tabs>
          <w:tab w:val="left" w:pos="426"/>
        </w:tabs>
        <w:rPr>
          <w:i/>
        </w:rPr>
      </w:pPr>
    </w:p>
    <w:p w14:paraId="741B51C0" w14:textId="77777777" w:rsidR="00F45014" w:rsidRDefault="00F45014">
      <w:pPr>
        <w:tabs>
          <w:tab w:val="left" w:pos="426"/>
        </w:tabs>
        <w:rPr>
          <w:i/>
        </w:rPr>
      </w:pPr>
    </w:p>
    <w:p w14:paraId="571C197A" w14:textId="77777777" w:rsidR="00F45014" w:rsidRDefault="00F45014">
      <w:pPr>
        <w:tabs>
          <w:tab w:val="left" w:pos="426"/>
        </w:tabs>
        <w:rPr>
          <w:i/>
        </w:rPr>
      </w:pPr>
    </w:p>
    <w:p w14:paraId="6C0A385B" w14:textId="77777777" w:rsidR="00F45014" w:rsidRDefault="00F45014">
      <w:pPr>
        <w:tabs>
          <w:tab w:val="left" w:pos="426"/>
        </w:tabs>
        <w:rPr>
          <w:i/>
        </w:rPr>
      </w:pPr>
    </w:p>
    <w:p w14:paraId="5F20EF7F" w14:textId="14F13B6B" w:rsidR="00F45014" w:rsidRDefault="0057192D">
      <w:pPr>
        <w:tabs>
          <w:tab w:val="left" w:pos="426"/>
        </w:tabs>
        <w:rPr>
          <w:i/>
        </w:rPr>
      </w:pPr>
      <w:r>
        <w:rPr>
          <w:i/>
        </w:rPr>
        <w:t xml:space="preserve">Red.: </w:t>
      </w:r>
      <w:r w:rsidR="005C08B7">
        <w:rPr>
          <w:i/>
        </w:rPr>
        <w:t>A0015</w:t>
      </w:r>
      <w:r>
        <w:rPr>
          <w:i/>
        </w:rPr>
        <w:t xml:space="preserve">/tehnred.: </w:t>
      </w:r>
      <w:r w:rsidR="005C08B7">
        <w:rPr>
          <w:i/>
        </w:rPr>
        <w:t>........</w:t>
      </w:r>
    </w:p>
    <w:p w14:paraId="0D90BF78" w14:textId="6317E0EC" w:rsidR="00F45014" w:rsidRDefault="0057192D">
      <w:pPr>
        <w:tabs>
          <w:tab w:val="left" w:pos="426"/>
        </w:tabs>
        <w:rPr>
          <w:i/>
        </w:rPr>
      </w:pPr>
      <w:r>
        <w:rPr>
          <w:i/>
        </w:rPr>
        <w:lastRenderedPageBreak/>
        <w:t xml:space="preserve">Data conceptei: </w:t>
      </w:r>
      <w:r w:rsidR="005C08B7">
        <w:rPr>
          <w:i/>
        </w:rPr>
        <w:t>.............</w:t>
      </w:r>
    </w:p>
    <w:p w14:paraId="050E1A64" w14:textId="780DDE7A" w:rsidR="00F45014" w:rsidRDefault="0057192D">
      <w:pPr>
        <w:tabs>
          <w:tab w:val="left" w:pos="426"/>
        </w:tabs>
        <w:rPr>
          <w:i/>
        </w:rPr>
      </w:pPr>
      <w:r>
        <w:rPr>
          <w:i/>
        </w:rPr>
        <w:t xml:space="preserve">Data redactării: </w:t>
      </w:r>
      <w:r w:rsidR="005C08B7">
        <w:rPr>
          <w:i/>
        </w:rPr>
        <w:t>.............</w:t>
      </w:r>
    </w:p>
    <w:p w14:paraId="09171FDC" w14:textId="77777777" w:rsidR="00F45014" w:rsidRDefault="0057192D">
      <w:pPr>
        <w:tabs>
          <w:tab w:val="left" w:pos="426"/>
        </w:tabs>
        <w:rPr>
          <w:i/>
        </w:rPr>
      </w:pPr>
      <w:r>
        <w:rPr>
          <w:i/>
        </w:rPr>
        <w:t>9 ex.</w:t>
      </w:r>
      <w:bookmarkStart w:id="0" w:name="_PictureBullets"/>
      <w:r>
        <w:rPr>
          <w:noProof/>
          <w:vanish/>
        </w:rPr>
        <w:drawing>
          <wp:inline distT="0" distB="0" distL="0" distR="0" wp14:anchorId="1E4718C1" wp14:editId="288D6467">
            <wp:extent cx="161925" cy="6667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stretch>
                      <a:fillRect/>
                    </a:stretch>
                  </pic:blipFill>
                  <pic:spPr>
                    <a:xfrm>
                      <a:off x="0" y="0"/>
                      <a:ext cx="161925" cy="66675"/>
                    </a:xfrm>
                    <a:prstGeom prst="rect">
                      <a:avLst/>
                    </a:prstGeom>
                    <a:noFill/>
                  </pic:spPr>
                </pic:pic>
              </a:graphicData>
            </a:graphic>
          </wp:inline>
        </w:drawing>
      </w:r>
      <w:r>
        <w:rPr>
          <w:noProof/>
          <w:vanish/>
        </w:rPr>
        <w:drawing>
          <wp:inline distT="0" distB="0" distL="0" distR="0" wp14:anchorId="53519769" wp14:editId="7C2A88BC">
            <wp:extent cx="85725" cy="6667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5"/>
                    <a:stretch>
                      <a:fillRect/>
                    </a:stretch>
                  </pic:blipFill>
                  <pic:spPr>
                    <a:xfrm>
                      <a:off x="0" y="0"/>
                      <a:ext cx="85725" cy="66675"/>
                    </a:xfrm>
                    <a:prstGeom prst="rect">
                      <a:avLst/>
                    </a:prstGeom>
                    <a:noFill/>
                  </pic:spPr>
                </pic:pic>
              </a:graphicData>
            </a:graphic>
          </wp:inline>
        </w:drawing>
      </w:r>
      <w:r>
        <w:rPr>
          <w:noProof/>
          <w:vanish/>
        </w:rPr>
        <w:drawing>
          <wp:inline distT="0" distB="0" distL="0" distR="0" wp14:anchorId="06CC7C3A" wp14:editId="6DC66E25">
            <wp:extent cx="9525" cy="952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6"/>
                    <a:stretch>
                      <a:fillRect/>
                    </a:stretch>
                  </pic:blipFill>
                  <pic:spPr>
                    <a:xfrm>
                      <a:off x="0" y="0"/>
                      <a:ext cx="9525" cy="9525"/>
                    </a:xfrm>
                    <a:prstGeom prst="rect">
                      <a:avLst/>
                    </a:prstGeom>
                    <a:noFill/>
                  </pic:spPr>
                </pic:pic>
              </a:graphicData>
            </a:graphic>
          </wp:inline>
        </w:drawing>
      </w:r>
      <w:bookmarkEnd w:id="0"/>
    </w:p>
    <w:sectPr w:rsidR="00F45014">
      <w:footerReference w:type="default" r:id="rId17"/>
      <w:pgSz w:w="11906" w:h="16838"/>
      <w:pgMar w:top="993"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3F18" w14:textId="77777777" w:rsidR="0057192D" w:rsidRDefault="0057192D">
      <w:r>
        <w:separator/>
      </w:r>
    </w:p>
  </w:endnote>
  <w:endnote w:type="continuationSeparator" w:id="0">
    <w:p w14:paraId="75663684" w14:textId="77777777" w:rsidR="0057192D" w:rsidRDefault="0057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B3A3" w14:textId="77777777" w:rsidR="00F45014" w:rsidRDefault="0057192D">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AE189" w14:textId="77777777" w:rsidR="0057192D" w:rsidRDefault="0057192D">
      <w:r>
        <w:separator/>
      </w:r>
    </w:p>
  </w:footnote>
  <w:footnote w:type="continuationSeparator" w:id="0">
    <w:p w14:paraId="680824B3" w14:textId="77777777" w:rsidR="0057192D" w:rsidRDefault="00571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362C0"/>
    <w:multiLevelType w:val="hybridMultilevel"/>
    <w:tmpl w:val="E5462A14"/>
    <w:lvl w:ilvl="0" w:tplc="2EA279C2">
      <w:start w:val="1"/>
      <w:numFmt w:val="bullet"/>
      <w:lvlText w:val="•"/>
      <w:lvlJc w:val="left"/>
      <w:pPr>
        <w:ind w:left="2194"/>
      </w:pPr>
      <w:rPr>
        <w:rFonts w:ascii="Times New Roman" w:hAnsi="Times New Roman"/>
        <w:b w:val="0"/>
        <w:i w:val="0"/>
        <w:strike w:val="0"/>
        <w:color w:val="000000"/>
        <w:sz w:val="20"/>
        <w:u w:val="none" w:color="000000"/>
        <w:shd w:val="clear" w:color="auto" w:fill="auto"/>
        <w:vertAlign w:val="baseline"/>
      </w:rPr>
    </w:lvl>
    <w:lvl w:ilvl="1" w:tplc="1E052FBF">
      <w:start w:val="1"/>
      <w:numFmt w:val="bullet"/>
      <w:lvlText w:val="o"/>
      <w:lvlJc w:val="left"/>
      <w:pPr>
        <w:ind w:left="1750"/>
      </w:pPr>
      <w:rPr>
        <w:rFonts w:ascii="Times New Roman" w:hAnsi="Times New Roman"/>
        <w:b w:val="0"/>
        <w:i w:val="0"/>
        <w:strike w:val="0"/>
        <w:color w:val="000000"/>
        <w:sz w:val="20"/>
        <w:u w:val="none" w:color="000000"/>
        <w:shd w:val="clear" w:color="auto" w:fill="auto"/>
        <w:vertAlign w:val="baseline"/>
      </w:rPr>
    </w:lvl>
    <w:lvl w:ilvl="2" w:tplc="1B23B49F">
      <w:start w:val="1"/>
      <w:numFmt w:val="bullet"/>
      <w:lvlText w:val="▪"/>
      <w:lvlJc w:val="left"/>
      <w:pPr>
        <w:ind w:left="2470"/>
      </w:pPr>
      <w:rPr>
        <w:rFonts w:ascii="Times New Roman" w:hAnsi="Times New Roman"/>
        <w:b w:val="0"/>
        <w:i w:val="0"/>
        <w:strike w:val="0"/>
        <w:color w:val="000000"/>
        <w:sz w:val="20"/>
        <w:u w:val="none" w:color="000000"/>
        <w:shd w:val="clear" w:color="auto" w:fill="auto"/>
        <w:vertAlign w:val="baseline"/>
      </w:rPr>
    </w:lvl>
    <w:lvl w:ilvl="3" w:tplc="3BE2B9AB">
      <w:start w:val="1"/>
      <w:numFmt w:val="bullet"/>
      <w:lvlText w:val="•"/>
      <w:lvlJc w:val="left"/>
      <w:pPr>
        <w:ind w:left="3190"/>
      </w:pPr>
      <w:rPr>
        <w:rFonts w:ascii="Times New Roman" w:hAnsi="Times New Roman"/>
        <w:b w:val="0"/>
        <w:i w:val="0"/>
        <w:strike w:val="0"/>
        <w:color w:val="000000"/>
        <w:sz w:val="20"/>
        <w:u w:val="none" w:color="000000"/>
        <w:shd w:val="clear" w:color="auto" w:fill="auto"/>
        <w:vertAlign w:val="baseline"/>
      </w:rPr>
    </w:lvl>
    <w:lvl w:ilvl="4" w:tplc="2EC7529C">
      <w:start w:val="1"/>
      <w:numFmt w:val="bullet"/>
      <w:lvlText w:val="o"/>
      <w:lvlJc w:val="left"/>
      <w:pPr>
        <w:ind w:left="3910"/>
      </w:pPr>
      <w:rPr>
        <w:rFonts w:ascii="Times New Roman" w:hAnsi="Times New Roman"/>
        <w:b w:val="0"/>
        <w:i w:val="0"/>
        <w:strike w:val="0"/>
        <w:color w:val="000000"/>
        <w:sz w:val="20"/>
        <w:u w:val="none" w:color="000000"/>
        <w:shd w:val="clear" w:color="auto" w:fill="auto"/>
        <w:vertAlign w:val="baseline"/>
      </w:rPr>
    </w:lvl>
    <w:lvl w:ilvl="5" w:tplc="04737C99">
      <w:start w:val="1"/>
      <w:numFmt w:val="bullet"/>
      <w:lvlText w:val="▪"/>
      <w:lvlJc w:val="left"/>
      <w:pPr>
        <w:ind w:left="4630"/>
      </w:pPr>
      <w:rPr>
        <w:rFonts w:ascii="Times New Roman" w:hAnsi="Times New Roman"/>
        <w:b w:val="0"/>
        <w:i w:val="0"/>
        <w:strike w:val="0"/>
        <w:color w:val="000000"/>
        <w:sz w:val="20"/>
        <w:u w:val="none" w:color="000000"/>
        <w:shd w:val="clear" w:color="auto" w:fill="auto"/>
        <w:vertAlign w:val="baseline"/>
      </w:rPr>
    </w:lvl>
    <w:lvl w:ilvl="6" w:tplc="65D2326B">
      <w:start w:val="1"/>
      <w:numFmt w:val="bullet"/>
      <w:lvlText w:val="•"/>
      <w:lvlJc w:val="left"/>
      <w:pPr>
        <w:ind w:left="5350"/>
      </w:pPr>
      <w:rPr>
        <w:rFonts w:ascii="Times New Roman" w:hAnsi="Times New Roman"/>
        <w:b w:val="0"/>
        <w:i w:val="0"/>
        <w:strike w:val="0"/>
        <w:color w:val="000000"/>
        <w:sz w:val="20"/>
        <w:u w:val="none" w:color="000000"/>
        <w:shd w:val="clear" w:color="auto" w:fill="auto"/>
        <w:vertAlign w:val="baseline"/>
      </w:rPr>
    </w:lvl>
    <w:lvl w:ilvl="7" w:tplc="3F1E22AB">
      <w:start w:val="1"/>
      <w:numFmt w:val="bullet"/>
      <w:lvlText w:val="o"/>
      <w:lvlJc w:val="left"/>
      <w:pPr>
        <w:ind w:left="6070"/>
      </w:pPr>
      <w:rPr>
        <w:rFonts w:ascii="Times New Roman" w:hAnsi="Times New Roman"/>
        <w:b w:val="0"/>
        <w:i w:val="0"/>
        <w:strike w:val="0"/>
        <w:color w:val="000000"/>
        <w:sz w:val="20"/>
        <w:u w:val="none" w:color="000000"/>
        <w:shd w:val="clear" w:color="auto" w:fill="auto"/>
        <w:vertAlign w:val="baseline"/>
      </w:rPr>
    </w:lvl>
    <w:lvl w:ilvl="8" w:tplc="6C784DA5">
      <w:start w:val="1"/>
      <w:numFmt w:val="bullet"/>
      <w:lvlText w:val="▪"/>
      <w:lvlJc w:val="left"/>
      <w:pPr>
        <w:ind w:left="6790"/>
      </w:pPr>
      <w:rPr>
        <w:rFonts w:ascii="Times New Roman" w:hAnsi="Times New Roman"/>
        <w:b w:val="0"/>
        <w:i w:val="0"/>
        <w:strike w:val="0"/>
        <w:color w:val="000000"/>
        <w:sz w:val="20"/>
        <w:u w:val="none" w:color="000000"/>
        <w:shd w:val="clear" w:color="auto" w:fill="auto"/>
        <w:vertAlign w:val="baseline"/>
      </w:rPr>
    </w:lvl>
  </w:abstractNum>
  <w:abstractNum w:abstractNumId="1" w15:restartNumberingAfterBreak="0">
    <w:nsid w:val="1D8C4838"/>
    <w:multiLevelType w:val="multilevel"/>
    <w:tmpl w:val="AB3EED86"/>
    <w:lvl w:ilvl="0">
      <w:start w:val="1"/>
      <w:numFmt w:val="upperLetter"/>
      <w:lvlText w:val="%1."/>
      <w:lvlJc w:val="left"/>
      <w:pPr>
        <w:ind w:left="912"/>
      </w:pPr>
      <w:rPr>
        <w:rFonts w:ascii="Times New Roman" w:hAnsi="Times New Roman"/>
        <w:b w:val="0"/>
        <w:i w:val="0"/>
        <w:strike w:val="0"/>
        <w:color w:val="000000"/>
        <w:sz w:val="28"/>
        <w:u w:val="none" w:color="000000"/>
        <w:shd w:val="clear" w:color="auto" w:fill="auto"/>
        <w:vertAlign w:val="baseline"/>
      </w:rPr>
    </w:lvl>
    <w:lvl w:ilvl="1">
      <w:start w:val="1"/>
      <w:numFmt w:val="lowerLetter"/>
      <w:lvlText w:val="%2"/>
      <w:lvlJc w:val="left"/>
      <w:pPr>
        <w:ind w:left="1522"/>
      </w:pPr>
      <w:rPr>
        <w:rFonts w:ascii="Times New Roman" w:hAnsi="Times New Roman"/>
        <w:b w:val="0"/>
        <w:i w:val="0"/>
        <w:strike w:val="0"/>
        <w:color w:val="000000"/>
        <w:sz w:val="28"/>
        <w:u w:val="none" w:color="000000"/>
        <w:shd w:val="clear" w:color="auto" w:fill="auto"/>
        <w:vertAlign w:val="baseline"/>
      </w:rPr>
    </w:lvl>
    <w:lvl w:ilvl="2">
      <w:start w:val="1"/>
      <w:numFmt w:val="lowerRoman"/>
      <w:lvlText w:val="%3"/>
      <w:lvlJc w:val="left"/>
      <w:pPr>
        <w:ind w:left="2242"/>
      </w:pPr>
      <w:rPr>
        <w:rFonts w:ascii="Times New Roman" w:hAnsi="Times New Roman"/>
        <w:b w:val="0"/>
        <w:i w:val="0"/>
        <w:strike w:val="0"/>
        <w:color w:val="000000"/>
        <w:sz w:val="28"/>
        <w:u w:val="none" w:color="000000"/>
        <w:shd w:val="clear" w:color="auto" w:fill="auto"/>
        <w:vertAlign w:val="baseline"/>
      </w:rPr>
    </w:lvl>
    <w:lvl w:ilvl="3">
      <w:start w:val="1"/>
      <w:numFmt w:val="decimal"/>
      <w:lvlText w:val="%4"/>
      <w:lvlJc w:val="left"/>
      <w:pPr>
        <w:ind w:left="2962"/>
      </w:pPr>
      <w:rPr>
        <w:rFonts w:ascii="Times New Roman" w:hAnsi="Times New Roman"/>
        <w:b w:val="0"/>
        <w:i w:val="0"/>
        <w:strike w:val="0"/>
        <w:color w:val="000000"/>
        <w:sz w:val="28"/>
        <w:u w:val="none" w:color="000000"/>
        <w:shd w:val="clear" w:color="auto" w:fill="auto"/>
        <w:vertAlign w:val="baseline"/>
      </w:rPr>
    </w:lvl>
    <w:lvl w:ilvl="4">
      <w:start w:val="1"/>
      <w:numFmt w:val="lowerLetter"/>
      <w:lvlText w:val="%5"/>
      <w:lvlJc w:val="left"/>
      <w:pPr>
        <w:ind w:left="3682"/>
      </w:pPr>
      <w:rPr>
        <w:rFonts w:ascii="Times New Roman" w:hAnsi="Times New Roman"/>
        <w:b w:val="0"/>
        <w:i w:val="0"/>
        <w:strike w:val="0"/>
        <w:color w:val="000000"/>
        <w:sz w:val="28"/>
        <w:u w:val="none" w:color="000000"/>
        <w:shd w:val="clear" w:color="auto" w:fill="auto"/>
        <w:vertAlign w:val="baseline"/>
      </w:rPr>
    </w:lvl>
    <w:lvl w:ilvl="5">
      <w:start w:val="1"/>
      <w:numFmt w:val="lowerRoman"/>
      <w:lvlText w:val="%6"/>
      <w:lvlJc w:val="left"/>
      <w:pPr>
        <w:ind w:left="4402"/>
      </w:pPr>
      <w:rPr>
        <w:rFonts w:ascii="Times New Roman" w:hAnsi="Times New Roman"/>
        <w:b w:val="0"/>
        <w:i w:val="0"/>
        <w:strike w:val="0"/>
        <w:color w:val="000000"/>
        <w:sz w:val="28"/>
        <w:u w:val="none" w:color="000000"/>
        <w:shd w:val="clear" w:color="auto" w:fill="auto"/>
        <w:vertAlign w:val="baseline"/>
      </w:rPr>
    </w:lvl>
    <w:lvl w:ilvl="6">
      <w:start w:val="1"/>
      <w:numFmt w:val="decimal"/>
      <w:lvlText w:val="%7"/>
      <w:lvlJc w:val="left"/>
      <w:pPr>
        <w:ind w:left="5122"/>
      </w:pPr>
      <w:rPr>
        <w:rFonts w:ascii="Times New Roman" w:hAnsi="Times New Roman"/>
        <w:b w:val="0"/>
        <w:i w:val="0"/>
        <w:strike w:val="0"/>
        <w:color w:val="000000"/>
        <w:sz w:val="28"/>
        <w:u w:val="none" w:color="000000"/>
        <w:shd w:val="clear" w:color="auto" w:fill="auto"/>
        <w:vertAlign w:val="baseline"/>
      </w:rPr>
    </w:lvl>
    <w:lvl w:ilvl="7">
      <w:start w:val="1"/>
      <w:numFmt w:val="lowerLetter"/>
      <w:lvlText w:val="%8"/>
      <w:lvlJc w:val="left"/>
      <w:pPr>
        <w:ind w:left="5842"/>
      </w:pPr>
      <w:rPr>
        <w:rFonts w:ascii="Times New Roman" w:hAnsi="Times New Roman"/>
        <w:b w:val="0"/>
        <w:i w:val="0"/>
        <w:strike w:val="0"/>
        <w:color w:val="000000"/>
        <w:sz w:val="28"/>
        <w:u w:val="none" w:color="000000"/>
        <w:shd w:val="clear" w:color="auto" w:fill="auto"/>
        <w:vertAlign w:val="baseline"/>
      </w:rPr>
    </w:lvl>
    <w:lvl w:ilvl="8">
      <w:start w:val="1"/>
      <w:numFmt w:val="lowerRoman"/>
      <w:lvlText w:val="%9"/>
      <w:lvlJc w:val="left"/>
      <w:pPr>
        <w:ind w:left="6562"/>
      </w:pPr>
      <w:rPr>
        <w:rFonts w:ascii="Times New Roman" w:hAnsi="Times New Roman"/>
        <w:b w:val="0"/>
        <w:i w:val="0"/>
        <w:strike w:val="0"/>
        <w:color w:val="000000"/>
        <w:sz w:val="28"/>
        <w:u w:val="none" w:color="000000"/>
        <w:shd w:val="clear" w:color="auto" w:fill="auto"/>
        <w:vertAlign w:val="baseline"/>
      </w:rPr>
    </w:lvl>
  </w:abstractNum>
  <w:abstractNum w:abstractNumId="2" w15:restartNumberingAfterBreak="0">
    <w:nsid w:val="1F524FF8"/>
    <w:multiLevelType w:val="multilevel"/>
    <w:tmpl w:val="39FCE400"/>
    <w:lvl w:ilvl="0">
      <w:start w:val="4"/>
      <w:numFmt w:val="decimal"/>
      <w:lvlText w:val="%1."/>
      <w:lvlJc w:val="left"/>
      <w:pPr>
        <w:ind w:left="33"/>
      </w:pPr>
      <w:rPr>
        <w:rFonts w:ascii="Times New Roman" w:hAnsi="Times New Roman"/>
        <w:b w:val="0"/>
        <w:i w:val="0"/>
        <w:strike w:val="0"/>
        <w:color w:val="000000"/>
        <w:sz w:val="22"/>
        <w:u w:val="double" w:color="000000"/>
        <w:shd w:val="clear" w:color="auto" w:fill="auto"/>
        <w:vertAlign w:val="baseline"/>
      </w:rPr>
    </w:lvl>
    <w:lvl w:ilvl="1">
      <w:start w:val="1"/>
      <w:numFmt w:val="lowerLetter"/>
      <w:lvlText w:val="%2"/>
      <w:lvlJc w:val="left"/>
      <w:pPr>
        <w:ind w:left="1723"/>
      </w:pPr>
      <w:rPr>
        <w:rFonts w:ascii="Times New Roman" w:hAnsi="Times New Roman"/>
        <w:b w:val="0"/>
        <w:i w:val="0"/>
        <w:strike w:val="0"/>
        <w:color w:val="000000"/>
        <w:sz w:val="22"/>
        <w:u w:val="double" w:color="000000"/>
        <w:shd w:val="clear" w:color="auto" w:fill="auto"/>
        <w:vertAlign w:val="baseline"/>
      </w:rPr>
    </w:lvl>
    <w:lvl w:ilvl="2">
      <w:start w:val="1"/>
      <w:numFmt w:val="lowerRoman"/>
      <w:lvlText w:val="%3"/>
      <w:lvlJc w:val="left"/>
      <w:pPr>
        <w:ind w:left="2443"/>
      </w:pPr>
      <w:rPr>
        <w:rFonts w:ascii="Times New Roman" w:hAnsi="Times New Roman"/>
        <w:b w:val="0"/>
        <w:i w:val="0"/>
        <w:strike w:val="0"/>
        <w:color w:val="000000"/>
        <w:sz w:val="22"/>
        <w:u w:val="double" w:color="000000"/>
        <w:shd w:val="clear" w:color="auto" w:fill="auto"/>
        <w:vertAlign w:val="baseline"/>
      </w:rPr>
    </w:lvl>
    <w:lvl w:ilvl="3">
      <w:start w:val="1"/>
      <w:numFmt w:val="decimal"/>
      <w:lvlText w:val="%4"/>
      <w:lvlJc w:val="left"/>
      <w:pPr>
        <w:ind w:left="3163"/>
      </w:pPr>
      <w:rPr>
        <w:rFonts w:ascii="Times New Roman" w:hAnsi="Times New Roman"/>
        <w:b w:val="0"/>
        <w:i w:val="0"/>
        <w:strike w:val="0"/>
        <w:color w:val="000000"/>
        <w:sz w:val="22"/>
        <w:u w:val="double" w:color="000000"/>
        <w:shd w:val="clear" w:color="auto" w:fill="auto"/>
        <w:vertAlign w:val="baseline"/>
      </w:rPr>
    </w:lvl>
    <w:lvl w:ilvl="4">
      <w:start w:val="1"/>
      <w:numFmt w:val="lowerLetter"/>
      <w:lvlText w:val="%5"/>
      <w:lvlJc w:val="left"/>
      <w:pPr>
        <w:ind w:left="3883"/>
      </w:pPr>
      <w:rPr>
        <w:rFonts w:ascii="Times New Roman" w:hAnsi="Times New Roman"/>
        <w:b w:val="0"/>
        <w:i w:val="0"/>
        <w:strike w:val="0"/>
        <w:color w:val="000000"/>
        <w:sz w:val="22"/>
        <w:u w:val="double" w:color="000000"/>
        <w:shd w:val="clear" w:color="auto" w:fill="auto"/>
        <w:vertAlign w:val="baseline"/>
      </w:rPr>
    </w:lvl>
    <w:lvl w:ilvl="5">
      <w:start w:val="1"/>
      <w:numFmt w:val="lowerRoman"/>
      <w:lvlText w:val="%6"/>
      <w:lvlJc w:val="left"/>
      <w:pPr>
        <w:ind w:left="4603"/>
      </w:pPr>
      <w:rPr>
        <w:rFonts w:ascii="Times New Roman" w:hAnsi="Times New Roman"/>
        <w:b w:val="0"/>
        <w:i w:val="0"/>
        <w:strike w:val="0"/>
        <w:color w:val="000000"/>
        <w:sz w:val="22"/>
        <w:u w:val="double" w:color="000000"/>
        <w:shd w:val="clear" w:color="auto" w:fill="auto"/>
        <w:vertAlign w:val="baseline"/>
      </w:rPr>
    </w:lvl>
    <w:lvl w:ilvl="6">
      <w:start w:val="1"/>
      <w:numFmt w:val="decimal"/>
      <w:lvlText w:val="%7"/>
      <w:lvlJc w:val="left"/>
      <w:pPr>
        <w:ind w:left="5323"/>
      </w:pPr>
      <w:rPr>
        <w:rFonts w:ascii="Times New Roman" w:hAnsi="Times New Roman"/>
        <w:b w:val="0"/>
        <w:i w:val="0"/>
        <w:strike w:val="0"/>
        <w:color w:val="000000"/>
        <w:sz w:val="22"/>
        <w:u w:val="double" w:color="000000"/>
        <w:shd w:val="clear" w:color="auto" w:fill="auto"/>
        <w:vertAlign w:val="baseline"/>
      </w:rPr>
    </w:lvl>
    <w:lvl w:ilvl="7">
      <w:start w:val="1"/>
      <w:numFmt w:val="lowerLetter"/>
      <w:lvlText w:val="%8"/>
      <w:lvlJc w:val="left"/>
      <w:pPr>
        <w:ind w:left="6043"/>
      </w:pPr>
      <w:rPr>
        <w:rFonts w:ascii="Times New Roman" w:hAnsi="Times New Roman"/>
        <w:b w:val="0"/>
        <w:i w:val="0"/>
        <w:strike w:val="0"/>
        <w:color w:val="000000"/>
        <w:sz w:val="22"/>
        <w:u w:val="double" w:color="000000"/>
        <w:shd w:val="clear" w:color="auto" w:fill="auto"/>
        <w:vertAlign w:val="baseline"/>
      </w:rPr>
    </w:lvl>
    <w:lvl w:ilvl="8">
      <w:start w:val="1"/>
      <w:numFmt w:val="lowerRoman"/>
      <w:lvlText w:val="%9"/>
      <w:lvlJc w:val="left"/>
      <w:pPr>
        <w:ind w:left="6763"/>
      </w:pPr>
      <w:rPr>
        <w:rFonts w:ascii="Times New Roman" w:hAnsi="Times New Roman"/>
        <w:b w:val="0"/>
        <w:i w:val="0"/>
        <w:strike w:val="0"/>
        <w:color w:val="000000"/>
        <w:sz w:val="22"/>
        <w:u w:val="double" w:color="000000"/>
        <w:shd w:val="clear" w:color="auto" w:fill="auto"/>
        <w:vertAlign w:val="baseline"/>
      </w:rPr>
    </w:lvl>
  </w:abstractNum>
  <w:abstractNum w:abstractNumId="3" w15:restartNumberingAfterBreak="0">
    <w:nsid w:val="20AD4D56"/>
    <w:multiLevelType w:val="multilevel"/>
    <w:tmpl w:val="7D62B82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247C5A8A"/>
    <w:multiLevelType w:val="multilevel"/>
    <w:tmpl w:val="6FAA40B8"/>
    <w:lvl w:ilvl="0">
      <w:start w:val="1"/>
      <w:numFmt w:val="upp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25501FBC"/>
    <w:multiLevelType w:val="hybridMultilevel"/>
    <w:tmpl w:val="8586D89E"/>
    <w:lvl w:ilvl="0" w:tplc="0B521503">
      <w:start w:val="1"/>
      <w:numFmt w:val="bullet"/>
      <w:lvlText w:val="•"/>
      <w:lvlJc w:val="left"/>
      <w:pPr>
        <w:ind w:left="758"/>
      </w:pPr>
      <w:rPr>
        <w:rFonts w:ascii="Times New Roman" w:hAnsi="Times New Roman"/>
        <w:b w:val="0"/>
        <w:i w:val="0"/>
        <w:strike w:val="0"/>
        <w:color w:val="000000"/>
        <w:sz w:val="28"/>
        <w:u w:val="none" w:color="000000"/>
        <w:shd w:val="clear" w:color="auto" w:fill="auto"/>
        <w:vertAlign w:val="baseline"/>
      </w:rPr>
    </w:lvl>
    <w:lvl w:ilvl="1" w:tplc="197DD107">
      <w:start w:val="1"/>
      <w:numFmt w:val="bullet"/>
      <w:lvlText w:val="o"/>
      <w:lvlJc w:val="left"/>
      <w:pPr>
        <w:ind w:left="1745"/>
      </w:pPr>
      <w:rPr>
        <w:rFonts w:ascii="Times New Roman" w:hAnsi="Times New Roman"/>
        <w:b w:val="0"/>
        <w:i w:val="0"/>
        <w:strike w:val="0"/>
        <w:color w:val="000000"/>
        <w:sz w:val="28"/>
        <w:u w:val="none" w:color="000000"/>
        <w:shd w:val="clear" w:color="auto" w:fill="auto"/>
        <w:vertAlign w:val="baseline"/>
      </w:rPr>
    </w:lvl>
    <w:lvl w:ilvl="2" w:tplc="7F830E7A">
      <w:start w:val="1"/>
      <w:numFmt w:val="bullet"/>
      <w:lvlText w:val="▪"/>
      <w:lvlJc w:val="left"/>
      <w:pPr>
        <w:ind w:left="2465"/>
      </w:pPr>
      <w:rPr>
        <w:rFonts w:ascii="Times New Roman" w:hAnsi="Times New Roman"/>
        <w:b w:val="0"/>
        <w:i w:val="0"/>
        <w:strike w:val="0"/>
        <w:color w:val="000000"/>
        <w:sz w:val="28"/>
        <w:u w:val="none" w:color="000000"/>
        <w:shd w:val="clear" w:color="auto" w:fill="auto"/>
        <w:vertAlign w:val="baseline"/>
      </w:rPr>
    </w:lvl>
    <w:lvl w:ilvl="3" w:tplc="318ABC94">
      <w:start w:val="1"/>
      <w:numFmt w:val="bullet"/>
      <w:lvlText w:val="•"/>
      <w:lvlJc w:val="left"/>
      <w:pPr>
        <w:ind w:left="3185"/>
      </w:pPr>
      <w:rPr>
        <w:rFonts w:ascii="Times New Roman" w:hAnsi="Times New Roman"/>
        <w:b w:val="0"/>
        <w:i w:val="0"/>
        <w:strike w:val="0"/>
        <w:color w:val="000000"/>
        <w:sz w:val="28"/>
        <w:u w:val="none" w:color="000000"/>
        <w:shd w:val="clear" w:color="auto" w:fill="auto"/>
        <w:vertAlign w:val="baseline"/>
      </w:rPr>
    </w:lvl>
    <w:lvl w:ilvl="4" w:tplc="666B2F7C">
      <w:start w:val="1"/>
      <w:numFmt w:val="bullet"/>
      <w:lvlText w:val="o"/>
      <w:lvlJc w:val="left"/>
      <w:pPr>
        <w:ind w:left="3905"/>
      </w:pPr>
      <w:rPr>
        <w:rFonts w:ascii="Times New Roman" w:hAnsi="Times New Roman"/>
        <w:b w:val="0"/>
        <w:i w:val="0"/>
        <w:strike w:val="0"/>
        <w:color w:val="000000"/>
        <w:sz w:val="28"/>
        <w:u w:val="none" w:color="000000"/>
        <w:shd w:val="clear" w:color="auto" w:fill="auto"/>
        <w:vertAlign w:val="baseline"/>
      </w:rPr>
    </w:lvl>
    <w:lvl w:ilvl="5" w:tplc="0A94E319">
      <w:start w:val="1"/>
      <w:numFmt w:val="bullet"/>
      <w:lvlText w:val="▪"/>
      <w:lvlJc w:val="left"/>
      <w:pPr>
        <w:ind w:left="4625"/>
      </w:pPr>
      <w:rPr>
        <w:rFonts w:ascii="Times New Roman" w:hAnsi="Times New Roman"/>
        <w:b w:val="0"/>
        <w:i w:val="0"/>
        <w:strike w:val="0"/>
        <w:color w:val="000000"/>
        <w:sz w:val="28"/>
        <w:u w:val="none" w:color="000000"/>
        <w:shd w:val="clear" w:color="auto" w:fill="auto"/>
        <w:vertAlign w:val="baseline"/>
      </w:rPr>
    </w:lvl>
    <w:lvl w:ilvl="6" w:tplc="0380688A">
      <w:start w:val="1"/>
      <w:numFmt w:val="bullet"/>
      <w:lvlText w:val="•"/>
      <w:lvlJc w:val="left"/>
      <w:pPr>
        <w:ind w:left="5345"/>
      </w:pPr>
      <w:rPr>
        <w:rFonts w:ascii="Times New Roman" w:hAnsi="Times New Roman"/>
        <w:b w:val="0"/>
        <w:i w:val="0"/>
        <w:strike w:val="0"/>
        <w:color w:val="000000"/>
        <w:sz w:val="28"/>
        <w:u w:val="none" w:color="000000"/>
        <w:shd w:val="clear" w:color="auto" w:fill="auto"/>
        <w:vertAlign w:val="baseline"/>
      </w:rPr>
    </w:lvl>
    <w:lvl w:ilvl="7" w:tplc="73EA6421">
      <w:start w:val="1"/>
      <w:numFmt w:val="bullet"/>
      <w:lvlText w:val="o"/>
      <w:lvlJc w:val="left"/>
      <w:pPr>
        <w:ind w:left="6065"/>
      </w:pPr>
      <w:rPr>
        <w:rFonts w:ascii="Times New Roman" w:hAnsi="Times New Roman"/>
        <w:b w:val="0"/>
        <w:i w:val="0"/>
        <w:strike w:val="0"/>
        <w:color w:val="000000"/>
        <w:sz w:val="28"/>
        <w:u w:val="none" w:color="000000"/>
        <w:shd w:val="clear" w:color="auto" w:fill="auto"/>
        <w:vertAlign w:val="baseline"/>
      </w:rPr>
    </w:lvl>
    <w:lvl w:ilvl="8" w:tplc="39E4E952">
      <w:start w:val="1"/>
      <w:numFmt w:val="bullet"/>
      <w:lvlText w:val="▪"/>
      <w:lvlJc w:val="left"/>
      <w:pPr>
        <w:ind w:left="6785"/>
      </w:pPr>
      <w:rPr>
        <w:rFonts w:ascii="Times New Roman" w:hAnsi="Times New Roman"/>
        <w:b w:val="0"/>
        <w:i w:val="0"/>
        <w:strike w:val="0"/>
        <w:color w:val="000000"/>
        <w:sz w:val="28"/>
        <w:u w:val="none" w:color="000000"/>
        <w:shd w:val="clear" w:color="auto" w:fill="auto"/>
        <w:vertAlign w:val="baseline"/>
      </w:rPr>
    </w:lvl>
  </w:abstractNum>
  <w:abstractNum w:abstractNumId="6" w15:restartNumberingAfterBreak="0">
    <w:nsid w:val="25CF3E2B"/>
    <w:multiLevelType w:val="hybridMultilevel"/>
    <w:tmpl w:val="AB72D118"/>
    <w:lvl w:ilvl="0" w:tplc="36C55DDA">
      <w:start w:val="1"/>
      <w:numFmt w:val="bullet"/>
      <w:lvlText w:val=""/>
      <w:lvlJc w:val="left"/>
      <w:pPr>
        <w:tabs>
          <w:tab w:val="left" w:pos="720"/>
        </w:tabs>
        <w:ind w:left="720" w:hanging="360"/>
      </w:pPr>
      <w:rPr>
        <w:rFonts w:ascii="Symbol" w:hAnsi="Symbol"/>
      </w:rPr>
    </w:lvl>
    <w:lvl w:ilvl="1" w:tplc="15373C2D">
      <w:start w:val="1"/>
      <w:numFmt w:val="bullet"/>
      <w:lvlText w:val=""/>
      <w:lvlJc w:val="left"/>
      <w:pPr>
        <w:tabs>
          <w:tab w:val="left" w:pos="1440"/>
        </w:tabs>
        <w:ind w:left="1440" w:hanging="360"/>
      </w:pPr>
      <w:rPr>
        <w:rFonts w:ascii="Symbol" w:hAnsi="Symbol"/>
      </w:rPr>
    </w:lvl>
    <w:lvl w:ilvl="2" w:tplc="22A86770">
      <w:start w:val="1"/>
      <w:numFmt w:val="bullet"/>
      <w:lvlText w:val=""/>
      <w:lvlJc w:val="left"/>
      <w:pPr>
        <w:tabs>
          <w:tab w:val="left" w:pos="2160"/>
        </w:tabs>
        <w:ind w:left="2160" w:hanging="360"/>
      </w:pPr>
      <w:rPr>
        <w:rFonts w:ascii="Symbol" w:hAnsi="Symbol"/>
      </w:rPr>
    </w:lvl>
    <w:lvl w:ilvl="3" w:tplc="49A33BAD">
      <w:start w:val="1"/>
      <w:numFmt w:val="bullet"/>
      <w:lvlText w:val=""/>
      <w:lvlJc w:val="left"/>
      <w:pPr>
        <w:tabs>
          <w:tab w:val="left" w:pos="2880"/>
        </w:tabs>
        <w:ind w:left="2880" w:hanging="360"/>
      </w:pPr>
      <w:rPr>
        <w:rFonts w:ascii="Symbol" w:hAnsi="Symbol"/>
      </w:rPr>
    </w:lvl>
    <w:lvl w:ilvl="4" w:tplc="212BC433">
      <w:start w:val="1"/>
      <w:numFmt w:val="bullet"/>
      <w:lvlText w:val=""/>
      <w:lvlJc w:val="left"/>
      <w:pPr>
        <w:tabs>
          <w:tab w:val="left" w:pos="3600"/>
        </w:tabs>
        <w:ind w:left="3600" w:hanging="360"/>
      </w:pPr>
      <w:rPr>
        <w:rFonts w:ascii="Symbol" w:hAnsi="Symbol"/>
      </w:rPr>
    </w:lvl>
    <w:lvl w:ilvl="5" w:tplc="4C5AEB85">
      <w:start w:val="1"/>
      <w:numFmt w:val="bullet"/>
      <w:lvlText w:val=""/>
      <w:lvlJc w:val="left"/>
      <w:pPr>
        <w:tabs>
          <w:tab w:val="left" w:pos="4320"/>
        </w:tabs>
        <w:ind w:left="4320" w:hanging="360"/>
      </w:pPr>
      <w:rPr>
        <w:rFonts w:ascii="Symbol" w:hAnsi="Symbol"/>
      </w:rPr>
    </w:lvl>
    <w:lvl w:ilvl="6" w:tplc="490F6411">
      <w:start w:val="1"/>
      <w:numFmt w:val="bullet"/>
      <w:lvlText w:val=""/>
      <w:lvlJc w:val="left"/>
      <w:pPr>
        <w:tabs>
          <w:tab w:val="left" w:pos="5040"/>
        </w:tabs>
        <w:ind w:left="5040" w:hanging="360"/>
      </w:pPr>
      <w:rPr>
        <w:rFonts w:ascii="Symbol" w:hAnsi="Symbol"/>
      </w:rPr>
    </w:lvl>
    <w:lvl w:ilvl="7" w:tplc="09AC7D13">
      <w:start w:val="1"/>
      <w:numFmt w:val="bullet"/>
      <w:lvlText w:val=""/>
      <w:lvlJc w:val="left"/>
      <w:pPr>
        <w:tabs>
          <w:tab w:val="left" w:pos="5760"/>
        </w:tabs>
        <w:ind w:left="5760" w:hanging="360"/>
      </w:pPr>
      <w:rPr>
        <w:rFonts w:ascii="Symbol" w:hAnsi="Symbol"/>
      </w:rPr>
    </w:lvl>
    <w:lvl w:ilvl="8" w:tplc="6E4EBB05">
      <w:start w:val="1"/>
      <w:numFmt w:val="bullet"/>
      <w:lvlText w:val=""/>
      <w:lvlJc w:val="left"/>
      <w:pPr>
        <w:tabs>
          <w:tab w:val="left" w:pos="6480"/>
        </w:tabs>
        <w:ind w:left="6480" w:hanging="360"/>
      </w:pPr>
      <w:rPr>
        <w:rFonts w:ascii="Symbol" w:hAnsi="Symbol"/>
      </w:rPr>
    </w:lvl>
  </w:abstractNum>
  <w:abstractNum w:abstractNumId="7" w15:restartNumberingAfterBreak="0">
    <w:nsid w:val="2F6979ED"/>
    <w:multiLevelType w:val="multilevel"/>
    <w:tmpl w:val="DB7EFD56"/>
    <w:lvl w:ilvl="0">
      <w:start w:val="1"/>
      <w:numFmt w:val="decimal"/>
      <w:lvlText w:val="%1."/>
      <w:lvlJc w:val="left"/>
      <w:pPr>
        <w:ind w:left="1211" w:hanging="360"/>
      </w:pPr>
      <w:rPr>
        <w:u w:val="single"/>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 w15:restartNumberingAfterBreak="0">
    <w:nsid w:val="5EED7275"/>
    <w:multiLevelType w:val="multilevel"/>
    <w:tmpl w:val="B1582B72"/>
    <w:lvl w:ilvl="0">
      <w:start w:val="1"/>
      <w:numFmt w:val="upp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64502BBB"/>
    <w:multiLevelType w:val="multilevel"/>
    <w:tmpl w:val="99327DD0"/>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4B8407B"/>
    <w:multiLevelType w:val="multilevel"/>
    <w:tmpl w:val="B9F0A8EE"/>
    <w:lvl w:ilvl="0">
      <w:start w:val="1"/>
      <w:numFmt w:val="decimal"/>
      <w:lvlText w:val="%1."/>
      <w:lvlJc w:val="left"/>
      <w:pPr>
        <w:ind w:left="1129" w:hanging="360"/>
      </w:pPr>
    </w:lvl>
    <w:lvl w:ilvl="1">
      <w:start w:val="1"/>
      <w:numFmt w:val="lowerLetter"/>
      <w:lvlText w:val="%2."/>
      <w:lvlJc w:val="left"/>
      <w:pPr>
        <w:ind w:left="1849" w:hanging="360"/>
      </w:pPr>
    </w:lvl>
    <w:lvl w:ilvl="2">
      <w:start w:val="1"/>
      <w:numFmt w:val="lowerRoman"/>
      <w:lvlText w:val="%3."/>
      <w:lvlJc w:val="right"/>
      <w:pPr>
        <w:ind w:left="2569" w:hanging="180"/>
      </w:pPr>
    </w:lvl>
    <w:lvl w:ilvl="3">
      <w:start w:val="1"/>
      <w:numFmt w:val="decimal"/>
      <w:lvlText w:val="%4."/>
      <w:lvlJc w:val="left"/>
      <w:pPr>
        <w:ind w:left="3289" w:hanging="360"/>
      </w:pPr>
    </w:lvl>
    <w:lvl w:ilvl="4">
      <w:start w:val="1"/>
      <w:numFmt w:val="lowerLetter"/>
      <w:lvlText w:val="%5."/>
      <w:lvlJc w:val="left"/>
      <w:pPr>
        <w:ind w:left="4009" w:hanging="360"/>
      </w:pPr>
    </w:lvl>
    <w:lvl w:ilvl="5">
      <w:start w:val="1"/>
      <w:numFmt w:val="lowerRoman"/>
      <w:lvlText w:val="%6."/>
      <w:lvlJc w:val="right"/>
      <w:pPr>
        <w:ind w:left="4729" w:hanging="180"/>
      </w:pPr>
    </w:lvl>
    <w:lvl w:ilvl="6">
      <w:start w:val="1"/>
      <w:numFmt w:val="decimal"/>
      <w:lvlText w:val="%7."/>
      <w:lvlJc w:val="left"/>
      <w:pPr>
        <w:ind w:left="5449" w:hanging="360"/>
      </w:pPr>
    </w:lvl>
    <w:lvl w:ilvl="7">
      <w:start w:val="1"/>
      <w:numFmt w:val="lowerLetter"/>
      <w:lvlText w:val="%8."/>
      <w:lvlJc w:val="left"/>
      <w:pPr>
        <w:ind w:left="6169" w:hanging="360"/>
      </w:pPr>
    </w:lvl>
    <w:lvl w:ilvl="8">
      <w:start w:val="1"/>
      <w:numFmt w:val="lowerRoman"/>
      <w:lvlText w:val="%9."/>
      <w:lvlJc w:val="right"/>
      <w:pPr>
        <w:ind w:left="6889" w:hanging="180"/>
      </w:pPr>
    </w:lvl>
  </w:abstractNum>
  <w:abstractNum w:abstractNumId="11" w15:restartNumberingAfterBreak="0">
    <w:nsid w:val="68402C03"/>
    <w:multiLevelType w:val="multilevel"/>
    <w:tmpl w:val="4B8A746C"/>
    <w:lvl w:ilvl="0">
      <w:start w:val="1"/>
      <w:numFmt w:val="upp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6C787D37"/>
    <w:multiLevelType w:val="multilevel"/>
    <w:tmpl w:val="E80498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CD5510A"/>
    <w:multiLevelType w:val="hybridMultilevel"/>
    <w:tmpl w:val="6F324540"/>
    <w:lvl w:ilvl="0" w:tplc="4FFB02A7">
      <w:start w:val="4"/>
      <w:numFmt w:val="bullet"/>
      <w:lvlText w:val="-"/>
      <w:lvlJc w:val="left"/>
      <w:pPr>
        <w:ind w:left="720" w:hanging="360"/>
      </w:pPr>
      <w:rPr>
        <w:rFonts w:ascii="Times New Roman" w:hAnsi="Times New Roman"/>
      </w:rPr>
    </w:lvl>
    <w:lvl w:ilvl="1" w:tplc="1F4951DA">
      <w:start w:val="1"/>
      <w:numFmt w:val="bullet"/>
      <w:lvlText w:val="o"/>
      <w:lvlJc w:val="left"/>
      <w:pPr>
        <w:ind w:left="1440" w:hanging="360"/>
      </w:pPr>
      <w:rPr>
        <w:rFonts w:ascii="Courier New" w:hAnsi="Courier New"/>
      </w:rPr>
    </w:lvl>
    <w:lvl w:ilvl="2" w:tplc="4CFA8744">
      <w:start w:val="1"/>
      <w:numFmt w:val="bullet"/>
      <w:lvlText w:val=""/>
      <w:lvlJc w:val="left"/>
      <w:pPr>
        <w:ind w:left="2160" w:hanging="360"/>
      </w:pPr>
      <w:rPr>
        <w:rFonts w:ascii="Wingdings" w:hAnsi="Wingdings"/>
      </w:rPr>
    </w:lvl>
    <w:lvl w:ilvl="3" w:tplc="02F1D896">
      <w:start w:val="1"/>
      <w:numFmt w:val="bullet"/>
      <w:lvlText w:val=""/>
      <w:lvlJc w:val="left"/>
      <w:pPr>
        <w:ind w:left="2880" w:hanging="360"/>
      </w:pPr>
      <w:rPr>
        <w:rFonts w:ascii="Symbol" w:hAnsi="Symbol"/>
      </w:rPr>
    </w:lvl>
    <w:lvl w:ilvl="4" w:tplc="095DF6CE">
      <w:start w:val="1"/>
      <w:numFmt w:val="bullet"/>
      <w:lvlText w:val="o"/>
      <w:lvlJc w:val="left"/>
      <w:pPr>
        <w:ind w:left="3600" w:hanging="360"/>
      </w:pPr>
      <w:rPr>
        <w:rFonts w:ascii="Courier New" w:hAnsi="Courier New"/>
      </w:rPr>
    </w:lvl>
    <w:lvl w:ilvl="5" w:tplc="5A1741EF">
      <w:start w:val="1"/>
      <w:numFmt w:val="bullet"/>
      <w:lvlText w:val=""/>
      <w:lvlJc w:val="left"/>
      <w:pPr>
        <w:ind w:left="4320" w:hanging="360"/>
      </w:pPr>
      <w:rPr>
        <w:rFonts w:ascii="Wingdings" w:hAnsi="Wingdings"/>
      </w:rPr>
    </w:lvl>
    <w:lvl w:ilvl="6" w:tplc="3917A790">
      <w:start w:val="1"/>
      <w:numFmt w:val="bullet"/>
      <w:lvlText w:val=""/>
      <w:lvlJc w:val="left"/>
      <w:pPr>
        <w:ind w:left="5040" w:hanging="360"/>
      </w:pPr>
      <w:rPr>
        <w:rFonts w:ascii="Symbol" w:hAnsi="Symbol"/>
      </w:rPr>
    </w:lvl>
    <w:lvl w:ilvl="7" w:tplc="7479EE27">
      <w:start w:val="1"/>
      <w:numFmt w:val="bullet"/>
      <w:lvlText w:val="o"/>
      <w:lvlJc w:val="left"/>
      <w:pPr>
        <w:ind w:left="5760" w:hanging="360"/>
      </w:pPr>
      <w:rPr>
        <w:rFonts w:ascii="Courier New" w:hAnsi="Courier New"/>
      </w:rPr>
    </w:lvl>
    <w:lvl w:ilvl="8" w:tplc="75F53D9E">
      <w:start w:val="1"/>
      <w:numFmt w:val="bullet"/>
      <w:lvlText w:val=""/>
      <w:lvlJc w:val="left"/>
      <w:pPr>
        <w:ind w:left="6480" w:hanging="360"/>
      </w:pPr>
      <w:rPr>
        <w:rFonts w:ascii="Wingdings" w:hAnsi="Wingdings"/>
      </w:rPr>
    </w:lvl>
  </w:abstractNum>
  <w:abstractNum w:abstractNumId="14" w15:restartNumberingAfterBreak="0">
    <w:nsid w:val="7FBE6EC6"/>
    <w:multiLevelType w:val="multilevel"/>
    <w:tmpl w:val="4AA887A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1220348">
    <w:abstractNumId w:val="1"/>
  </w:num>
  <w:num w:numId="2" w16cid:durableId="278612449">
    <w:abstractNumId w:val="5"/>
  </w:num>
  <w:num w:numId="3" w16cid:durableId="1976063627">
    <w:abstractNumId w:val="0"/>
  </w:num>
  <w:num w:numId="4" w16cid:durableId="475882720">
    <w:abstractNumId w:val="2"/>
  </w:num>
  <w:num w:numId="5" w16cid:durableId="1479877499">
    <w:abstractNumId w:val="11"/>
  </w:num>
  <w:num w:numId="6" w16cid:durableId="1358895045">
    <w:abstractNumId w:val="10"/>
  </w:num>
  <w:num w:numId="7" w16cid:durableId="1366491610">
    <w:abstractNumId w:val="7"/>
  </w:num>
  <w:num w:numId="8" w16cid:durableId="408430323">
    <w:abstractNumId w:val="3"/>
  </w:num>
  <w:num w:numId="9" w16cid:durableId="1985431193">
    <w:abstractNumId w:val="13"/>
  </w:num>
  <w:num w:numId="10" w16cid:durableId="1517883305">
    <w:abstractNumId w:val="6"/>
  </w:num>
  <w:num w:numId="11" w16cid:durableId="1508447248">
    <w:abstractNumId w:val="4"/>
  </w:num>
  <w:num w:numId="12" w16cid:durableId="1265965051">
    <w:abstractNumId w:val="8"/>
  </w:num>
  <w:num w:numId="13" w16cid:durableId="904610663">
    <w:abstractNumId w:val="12"/>
  </w:num>
  <w:num w:numId="14" w16cid:durableId="1845825374">
    <w:abstractNumId w:val="14"/>
  </w:num>
  <w:num w:numId="15" w16cid:durableId="6119813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765221&amp;id_departament=4&amp;id_sesiune=495068&amp;id_user=174&amp;id_institutie=43&amp;actiune=modifica"/>
  </w:docVars>
  <w:rsids>
    <w:rsidRoot w:val="00F45014"/>
    <w:rsid w:val="000911FB"/>
    <w:rsid w:val="00217CA5"/>
    <w:rsid w:val="0057192D"/>
    <w:rsid w:val="005C08B7"/>
    <w:rsid w:val="00713AD4"/>
    <w:rsid w:val="008912B4"/>
    <w:rsid w:val="00942341"/>
    <w:rsid w:val="009600FD"/>
    <w:rsid w:val="00990453"/>
    <w:rsid w:val="00B2264D"/>
    <w:rsid w:val="00B9612A"/>
    <w:rsid w:val="00CA5D4E"/>
    <w:rsid w:val="00DE7FC5"/>
    <w:rsid w:val="00E7297E"/>
    <w:rsid w:val="00F45014"/>
    <w:rsid w:val="00F51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47B81"/>
  <w15:docId w15:val="{24CBB498-AAC6-4367-B0DA-3764F319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link w:val="Titlu1Caracter"/>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paragraph" w:styleId="TextnBalon">
    <w:name w:val="Balloon Text"/>
    <w:basedOn w:val="Normal"/>
    <w:link w:val="TextnBalonCaracter"/>
    <w:rPr>
      <w:rFonts w:ascii="Tahoma" w:hAnsi="Tahoma"/>
      <w:sz w:val="16"/>
    </w:rPr>
  </w:style>
  <w:style w:type="paragraph" w:styleId="Listparagraf">
    <w:name w:val="List Paragraph"/>
    <w:basedOn w:val="Normal"/>
    <w:qFormat/>
    <w:pPr>
      <w:ind w:left="720"/>
      <w:contextualSpacing/>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customStyle="1" w:styleId="Titlu1Caracter">
    <w:name w:val="Titlu 1 Caracter"/>
    <w:link w:val="Titlu1"/>
    <w:rPr>
      <w:b/>
      <w:sz w:val="28"/>
      <w:lang w:val="en-US"/>
    </w:rPr>
  </w:style>
  <w:style w:type="character" w:customStyle="1" w:styleId="TextnBalonCaracter">
    <w:name w:val="Text în Balon Caracter"/>
    <w:link w:val="TextnBalon"/>
    <w:rPr>
      <w:rFonts w:ascii="Tahoma" w:hAnsi="Tahoma"/>
      <w:sz w:val="16"/>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Pr>
      <w:rFonts w:ascii="Calibri" w:hAnsi="Calibri"/>
      <w:lang w:val="en-GB"/>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30</Pages>
  <Words>18465</Words>
  <Characters>107103</Characters>
  <Application>Microsoft Office Word</Application>
  <DocSecurity>0</DocSecurity>
  <Lines>892</Lines>
  <Paragraphs>250</Paragraphs>
  <ScaleCrop>false</ScaleCrop>
  <HeadingPairs>
    <vt:vector size="2" baseType="variant">
      <vt:variant>
        <vt:lpstr>Titlu</vt:lpstr>
      </vt:variant>
      <vt:variant>
        <vt:i4>1</vt:i4>
      </vt:variant>
    </vt:vector>
  </HeadingPairs>
  <TitlesOfParts>
    <vt:vector size="1" baseType="lpstr">
      <vt:lpstr>Numar dosar ﷡﷡﷡﷡﷡</vt:lpstr>
    </vt:vector>
  </TitlesOfParts>
  <Manager/>
  <Company/>
  <LinksUpToDate>false</LinksUpToDate>
  <CharactersWithSpaces>125318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5</cp:revision>
  <cp:lastPrinted>2024-03-21T08:30:00Z</cp:lastPrinted>
  <dcterms:created xsi:type="dcterms:W3CDTF">2026-09-02T09:08:00Z</dcterms:created>
  <dcterms:modified xsi:type="dcterms:W3CDTF">2026-09-02T09:25:00Z</dcterms:modified>
  <cp:category/>
  <dc:identifier/>
  <cp:contentStatus/>
  <dc:language/>
  <cp:version/>
</cp:coreProperties>
</file>